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9" w:lineRule="exact"/>
        <w:rPr>
          <w:rFonts w:ascii="MS PGothic" w:cs="MS PGothic" w:eastAsia="MS PGothic" w:hAnsi="MS PGothic"/>
          <w:sz w:val="16"/>
          <w:szCs w:val="16"/>
          <w:color w:val="auto"/>
          <w:highlight w:val="black"/>
        </w:rPr>
      </w:pPr>
    </w:p>
    <w:p>
      <w:pPr>
        <w:ind w:left="39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fiscal year ended December 31, 2023</w:t>
      </w:r>
    </w:p>
    <w:p>
      <w:pPr>
        <w:spacing w:after="0" w:line="63" w:lineRule="exact"/>
        <w:rPr>
          <w:rFonts w:ascii="MS PGothic" w:cs="MS PGothic" w:eastAsia="MS PGothic" w:hAnsi="MS PGothic"/>
          <w:sz w:val="16"/>
          <w:szCs w:val="16"/>
          <w:color w:val="auto"/>
          <w:highlight w:val="black"/>
        </w:rPr>
      </w:pPr>
    </w:p>
    <w:p>
      <w:pPr>
        <w:ind w:left="54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001-39335</w:t>
      </w:r>
    </w:p>
    <w:p>
      <w:pPr>
        <w:spacing w:after="0" w:line="7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-270510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9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Québec</w:t>
      </w:r>
    </w:p>
    <w:p>
      <w:pPr>
        <w:spacing w:after="0" w:line="4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80" w:lineRule="exact"/>
        <w:rPr>
          <w:sz w:val="24"/>
          <w:szCs w:val="24"/>
          <w:color w:val="auto"/>
        </w:rPr>
      </w:pPr>
    </w:p>
    <w:p>
      <w:pPr>
        <w:sectPr>
          <w:pgSz w:w="11900" w:h="16838" w:orient="portrait"/>
          <w:cols w:equalWidth="0" w:num="2">
            <w:col w:w="7640" w:space="300"/>
            <w:col w:w="33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500" w:type="dxa"/>
            <w:vAlign w:val="bottom"/>
          </w:tcPr>
          <w:p>
            <w:pPr>
              <w:jc w:val="center"/>
              <w:ind w:left="1067"/>
              <w:spacing w:after="0"/>
              <w:rPr>
                <w:sz w:val="20"/>
                <w:szCs w:val="20"/>
                <w:color w:val="auto"/>
              </w:rPr>
            </w:pPr>
            <w:r>
              <w:rPr>
                <w:rFonts w:ascii="Times New Roman" w:cs="Times New Roman" w:eastAsia="Times New Roman" w:hAnsi="Times New Roman"/>
                <w:sz w:val="16"/>
                <w:szCs w:val="16"/>
                <w:b w:val="1"/>
                <w:bCs w:val="1"/>
                <w:color w:val="auto"/>
              </w:rPr>
              <w:t>7171 Frederick-Banting, Building 2, Suite 270</w:t>
            </w: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tcPr>
          <w:p>
            <w:pPr>
              <w:jc w:val="center"/>
              <w:ind w:left="1047"/>
              <w:spacing w:after="0"/>
              <w:rPr>
                <w:sz w:val="20"/>
                <w:szCs w:val="20"/>
                <w:color w:val="auto"/>
              </w:rPr>
            </w:pPr>
            <w:r>
              <w:rPr>
                <w:rFonts w:ascii="Times New Roman" w:cs="Times New Roman" w:eastAsia="Times New Roman" w:hAnsi="Times New Roman"/>
                <w:sz w:val="16"/>
                <w:szCs w:val="16"/>
                <w:b w:val="1"/>
                <w:bCs w:val="1"/>
                <w:color w:val="auto"/>
              </w:rPr>
              <w:t>St-Laurent, Québec, Canada</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H4S 1Z9</w:t>
            </w:r>
          </w:p>
        </w:tc>
        <w:tc>
          <w:tcPr>
            <w:tcW w:w="0" w:type="dxa"/>
            <w:vAlign w:val="bottom"/>
          </w:tcPr>
          <w:p>
            <w:pPr>
              <w:spacing w:after="0"/>
              <w:rPr>
                <w:sz w:val="1"/>
                <w:szCs w:val="1"/>
                <w:color w:val="auto"/>
              </w:rPr>
            </w:pPr>
          </w:p>
        </w:tc>
      </w:tr>
      <w:tr>
        <w:trPr>
          <w:trHeight w:val="179"/>
        </w:trPr>
        <w:tc>
          <w:tcPr>
            <w:tcW w:w="4500" w:type="dxa"/>
            <w:vAlign w:val="bottom"/>
          </w:tcPr>
          <w:p>
            <w:pPr>
              <w:jc w:val="center"/>
              <w:ind w:left="106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Pr>
          <w:p>
            <w:pPr>
              <w:ind w:left="138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53"/>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 412-7018</w:t>
            </w:r>
          </w:p>
        </w:tc>
        <w:tc>
          <w:tcPr>
            <w:tcW w:w="0" w:type="dxa"/>
            <w:vAlign w:val="bottom"/>
          </w:tcPr>
          <w:p>
            <w:pPr>
              <w:spacing w:after="0"/>
              <w:rPr>
                <w:sz w:val="1"/>
                <w:szCs w:val="1"/>
                <w:color w:val="auto"/>
              </w:rPr>
            </w:pPr>
          </w:p>
        </w:tc>
      </w:tr>
      <w:tr>
        <w:trPr>
          <w:trHeight w:val="100"/>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0" w:type="dxa"/>
            <w:vAlign w:val="bottom"/>
          </w:tcPr>
          <w:p>
            <w:pPr>
              <w:spacing w:after="0"/>
              <w:rPr>
                <w:sz w:val="14"/>
                <w:szCs w:val="1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83"/>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 no par value</w:t>
            </w:r>
          </w:p>
        </w:tc>
        <w:tc>
          <w:tcPr>
            <w:tcW w:w="120" w:type="dxa"/>
            <w:vAlign w:val="bottom"/>
          </w:tcPr>
          <w:p>
            <w:pPr>
              <w:spacing w:after="0"/>
              <w:rPr>
                <w:sz w:val="15"/>
                <w:szCs w:val="15"/>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RPTX</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6" w:lineRule="exact"/>
        <w:rPr>
          <w:sz w:val="24"/>
          <w:szCs w:val="24"/>
          <w:color w:val="auto"/>
        </w:rPr>
      </w:pPr>
    </w:p>
    <w:p>
      <w:pPr>
        <w:ind w:right="452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020" w:type="dxa"/>
            <w:vAlign w:val="bottom"/>
          </w:tcPr>
          <w:p>
            <w:pPr>
              <w:ind w:left="106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1860"/>
              <w:spacing w:after="0"/>
              <w:rPr>
                <w:sz w:val="20"/>
                <w:szCs w:val="20"/>
                <w:color w:val="auto"/>
              </w:rPr>
            </w:pPr>
            <w:r>
              <w:rPr>
                <w:rFonts w:ascii="Times New Roman" w:cs="Times New Roman" w:eastAsia="Times New Roman" w:hAnsi="Times New Roman"/>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020" w:type="dxa"/>
            <w:vAlign w:val="bottom"/>
          </w:tcPr>
          <w:p>
            <w:pPr>
              <w:ind w:left="106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18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020" w:type="dxa"/>
            <w:vAlign w:val="bottom"/>
          </w:tcPr>
          <w:p>
            <w:pPr>
              <w:ind w:left="106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18" w:lineRule="exact"/>
        <w:rPr>
          <w:sz w:val="24"/>
          <w:szCs w:val="24"/>
          <w:color w:val="auto"/>
        </w:rPr>
      </w:pPr>
    </w:p>
    <w:p>
      <w:pPr>
        <w:jc w:val="both"/>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right="2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40"/>
        <w:spacing w:after="0"/>
        <w:rPr>
          <w:sz w:val="20"/>
          <w:szCs w:val="20"/>
          <w:color w:val="auto"/>
        </w:rPr>
      </w:pPr>
      <w:r>
        <w:rPr>
          <w:rFonts w:ascii="Times New Roman" w:cs="Times New Roman" w:eastAsia="Times New Roman" w:hAnsi="Times New Roman"/>
          <w:sz w:val="13"/>
          <w:szCs w:val="13"/>
          <w:color w:val="auto"/>
        </w:rPr>
        <w:t>The aggregate market value of the registrant’s common shares held by non-affiliates was $383,103,514 as of June 30, 2023, based on a total of 36,210,162 common shares held by non-affiliates and a closing price of $10.58 as reported on The Nasdaq Stock Market on June 30, 2023.</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shares outstanding as of February 23, 2024 was 42,182,177.</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Portions of the definitive proxy statement for the registrant’s 2024 annual meeting of shareholders, which is to be filed within 120 days after the end of the registrant’s fiscal year ended December 31, 2023, are incorporated by reference into Part III of this Form 10-K, to the extent described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58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SUMMARY RISK FACTORS</w:t>
            </w: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36"/>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SPECIAL NOTE REGARDING FORWARD LOOKING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200" w:type="dxa"/>
            <w:vAlign w:val="bottom"/>
            <w:gridSpan w:val="23"/>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080" w:type="dxa"/>
            <w:vAlign w:val="bottom"/>
            <w:gridSpan w:val="14"/>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120" w:type="dxa"/>
            <w:vAlign w:val="bottom"/>
            <w:gridSpan w:val="2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380" w:type="dxa"/>
            <w:vAlign w:val="bottom"/>
            <w:gridSpan w:val="27"/>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8"/>
                <w:szCs w:val="18"/>
                <w:color w:val="auto"/>
              </w:rPr>
            </w:pPr>
          </w:p>
        </w:tc>
        <w:tc>
          <w:tcPr>
            <w:tcW w:w="7780" w:type="dxa"/>
            <w:vAlign w:val="bottom"/>
            <w:gridSpan w:val="19"/>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345"/>
        </w:trPr>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780" w:type="dxa"/>
            <w:vAlign w:val="bottom"/>
            <w:gridSpan w:val="3"/>
          </w:tcPr>
          <w:p>
            <w:pPr>
              <w:spacing w:after="0"/>
              <w:rPr>
                <w:sz w:val="18"/>
                <w:szCs w:val="18"/>
                <w:color w:val="auto"/>
              </w:rPr>
            </w:pPr>
          </w:p>
        </w:tc>
        <w:tc>
          <w:tcPr>
            <w:tcW w:w="80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0" w:type="dxa"/>
            <w:vAlign w:val="bottom"/>
            <w:tcBorders>
              <w:bottom w:val="single" w:sz="8" w:color="0000EE"/>
            </w:tcBorders>
          </w:tcPr>
          <w:p>
            <w:pPr>
              <w:spacing w:after="0"/>
              <w:rPr>
                <w:sz w:val="18"/>
                <w:szCs w:val="18"/>
                <w:color w:val="auto"/>
              </w:rPr>
            </w:pPr>
          </w:p>
        </w:tc>
        <w:tc>
          <w:tcPr>
            <w:tcW w:w="8260" w:type="dxa"/>
            <w:vAlign w:val="bottom"/>
            <w:gridSpan w:val="2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7.</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8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3"/>
          </w:tcPr>
          <w:p>
            <w:pPr>
              <w:spacing w:after="0"/>
              <w:rPr>
                <w:sz w:val="18"/>
                <w:szCs w:val="18"/>
                <w:color w:val="auto"/>
              </w:rPr>
            </w:pPr>
          </w:p>
        </w:tc>
        <w:tc>
          <w:tcPr>
            <w:tcW w:w="478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620" w:type="dxa"/>
            <w:vAlign w:val="bottom"/>
            <w:gridSpan w:val="3"/>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60" w:type="dxa"/>
            <w:vAlign w:val="bottom"/>
            <w:gridSpan w:val="16"/>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8"/>
                <w:szCs w:val="18"/>
                <w:color w:val="auto"/>
              </w:rPr>
            </w:pPr>
          </w:p>
        </w:tc>
        <w:tc>
          <w:tcPr>
            <w:tcW w:w="7800" w:type="dxa"/>
            <w:vAlign w:val="bottom"/>
            <w:gridSpan w:val="20"/>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345"/>
        </w:trPr>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top w:val="single" w:sz="8" w:color="0000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Item 10.</w:t>
            </w:r>
          </w:p>
        </w:tc>
        <w:tc>
          <w:tcPr>
            <w:tcW w:w="680" w:type="dxa"/>
            <w:vAlign w:val="bottom"/>
          </w:tcPr>
          <w:p>
            <w:pPr>
              <w:spacing w:after="0"/>
              <w:rPr>
                <w:sz w:val="18"/>
                <w:szCs w:val="18"/>
                <w:color w:val="auto"/>
              </w:rPr>
            </w:pPr>
          </w:p>
        </w:tc>
        <w:tc>
          <w:tcPr>
            <w:tcW w:w="4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04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11.</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4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68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14.</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345"/>
        </w:trPr>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98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15.</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8"/>
                <w:szCs w:val="18"/>
                <w:color w:val="auto"/>
              </w:rPr>
            </w:pPr>
          </w:p>
        </w:tc>
        <w:tc>
          <w:tcPr>
            <w:tcW w:w="1580" w:type="dxa"/>
            <w:vAlign w:val="bottom"/>
            <w:tcBorders>
              <w:top w:val="single" w:sz="8" w:color="0000FF"/>
            </w:tcBorders>
            <w:gridSpan w:val="5"/>
          </w:tcPr>
          <w:p>
            <w:pPr>
              <w:spacing w:after="0"/>
              <w:rPr>
                <w:sz w:val="18"/>
                <w:szCs w:val="18"/>
                <w:color w:val="auto"/>
              </w:rPr>
            </w:pPr>
          </w:p>
        </w:tc>
        <w:tc>
          <w:tcPr>
            <w:tcW w:w="5980" w:type="dxa"/>
            <w:vAlign w:val="bottom"/>
            <w:gridSpan w:val="1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7"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numerous risks, including the risks described in “Part I—Item 1A. Risk Factors” of this Annual Report on Form 10-K. Below are some of our principal risks, any one of which could materially adversely affect our business, financial condition, results of operations, and prospects:</w:t>
      </w:r>
    </w:p>
    <w:p>
      <w:pPr>
        <w:spacing w:after="0" w:line="6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If we are unable to advance our product candidates into and through clinical development, obtain regulatory approval and ultimately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substantially depends upon the successful development of product candidates generated through the application of our SNIPRx platform, and in particular, our initial product candidates, camonsertib (also known as RP-3500) and lunresertib (also known as RP-6306). If we or our collaborators, are unable to obtain regulatory approval for, and successfully commercialize, products developed through the application of our SNIPRx platform, our business may be materially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of targeted therapeutics, including our portfolio of synthetic lethality small molecule inhibitors, as well as any related diagnostics, is highly uncertain.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collaborations will be important to our business. If we are unable to enter into new collaborations as appropriate, or if these collaborations are not successful, our business could be adversely affected.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applying our SNIPRx platform to discover synthetic lethality targets with therapeutic and commercial potential or in the discovery and development of commercially viable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enrolling patients could delay or prevent clinical trials of our product candidates. We may find it difficult to enroll patients in our ongoing and planned clinical trials with the genomic alterations that these trials are designed to target.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drugs before or more successfully than us.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new products and product candidates or compete successfully with respect to acquisitions, joint ventures, licenses or other collaboration opportunities, our ability to continue to expand our product pipeline and our growth and development would be impaired.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86" w:lineRule="exact"/>
        <w:rPr>
          <w:sz w:val="20"/>
          <w:szCs w:val="20"/>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shares has been and is likely to continue to be volatile and fluctuate substantially.</w:t>
      </w:r>
    </w:p>
    <w:p>
      <w:pPr>
        <w:spacing w:after="0" w:line="200" w:lineRule="exact"/>
        <w:rPr>
          <w:sz w:val="20"/>
          <w:szCs w:val="20"/>
          <w:color w:val="auto"/>
        </w:rPr>
      </w:pPr>
    </w:p>
    <w:p>
      <w:pPr>
        <w:spacing w:after="0" w:line="24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about us and our industry that involve substantial risks and uncertainties. All statements other than statements of historical facts contained in this Annual Report,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Annual Report include, among other things, statements about:</w:t>
      </w:r>
    </w:p>
    <w:p>
      <w:pPr>
        <w:spacing w:after="0" w:line="117"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camonsertib, lunresertib and any of our other current and future product candidates that we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 using our SNIPRx platform;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the initiation, patient enrollment, development and operation of our clinical trials, including a public health emergency or pandemic;</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impact of macroeconomic events, including health pandemics, changes in inflation, the U.S. Federal Reserve raising interest rates, disruptions in access to bank deposits or lending commitments due to bank failures and the Russia-Ukraine and Middle-East conflicts, on our operations, supply chains, general economic conditions, our ability to raise additional capital, and the continuity of our business, including our preclinical studies and clinical trials;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to timely and successfully complete those trials and to receive necessary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enrollment and availability of data from our current preclinical studies and clinical trials, including ongoing clinical trials of camonsertib and lunresertib;</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filings with regulatory authorities for any product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for any current or future product candidates that we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any milestone or royalty payments under our collaboration and license agreements;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termination of our collaboration with Hoffmann-La Roche Inc. and F. Hoffmann-La Roche Ltd for the development and commercialization of camonsertib, including our expectations regarding the development of camonsertib following the transition of commercial and development rights in camonsertib back to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the collaboration compounds retained by us following the termination of our collaboration with F. Hoffmann-La Roche Ltd and Hoffman-La Roche Inc.;</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with respect to camonsertib, lunresertib, or any of our other current or future product candidates, as well as innovations by current and future competitors in our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86"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maintain and enforce for intellectual property rights covering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our ability to effectively manage our anticipated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section titled “Risk Factors” in this Annual Report.</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the macroeconomic events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 performance or achievements expressed or implied by these forward-looking statements. You are urged to carefully review the disclosures we make concerning these risks and other factors that may affect our business and operating results in this Annual Report.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 leading clinical-stage precision oncology company enabled by our proprietary synthetic lethality approach to the discovery and development of novel therapeutics. Synthetic lethality (SL) represents a clinically validated approach to drug development. We use our proprietary, genome-wide, CRISPR-enabled SNIPRx platform to systematically discover and develop highly targeted cancer therapies that preferentially treat cancers due to mechanisms of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have internally developed four clinical or near-term clinical therapeutic candidates:</w:t>
      </w:r>
    </w:p>
    <w:p>
      <w:pPr>
        <w:spacing w:after="0" w:line="293" w:lineRule="exact"/>
        <w:rPr>
          <w:sz w:val="20"/>
          <w:szCs w:val="20"/>
          <w:color w:val="auto"/>
        </w:rPr>
      </w:pPr>
    </w:p>
    <w:p>
      <w:pPr>
        <w:jc w:val="both"/>
        <w:ind w:left="1020" w:hanging="503"/>
        <w:spacing w:after="0" w:line="259" w:lineRule="auto"/>
        <w:tabs>
          <w:tab w:leader="none" w:pos="10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Lunresertib </w:t>
      </w:r>
      <w:r>
        <w:rPr>
          <w:rFonts w:ascii="Times New Roman" w:cs="Times New Roman" w:eastAsia="Times New Roman" w:hAnsi="Times New Roman"/>
          <w:sz w:val="18"/>
          <w:szCs w:val="18"/>
          <w:color w:val="auto"/>
        </w:rPr>
        <w:t>(RP-6306) is a first-in-class, selective and potent oral small molecule inhibitor of PKMYT1 (Protein Kinase Membrane-associated tyrosine- and threonine- specific cdc-2 inhibitory kinase), a cancer target Repare discovered and identified as synthetic lethal with cyclin E1 (CCNE1) amplification, or deleterious alterations in FBXW7 or PPP2R1A in solid tumors such as gynecological, colorectal and upper gastrointestinal malignancies. Lunresertib is currently the sole PKMYT1 inhibitor known to be in clinical trials and is being evaluated alone and in combinations across several clinical trials in the US, UK/EU4, and Canada.</w:t>
      </w:r>
    </w:p>
    <w:p>
      <w:pPr>
        <w:spacing w:after="0" w:line="183" w:lineRule="exact"/>
        <w:rPr>
          <w:sz w:val="20"/>
          <w:szCs w:val="20"/>
          <w:color w:val="auto"/>
        </w:rPr>
      </w:pPr>
    </w:p>
    <w:p>
      <w:pPr>
        <w:jc w:val="both"/>
        <w:ind w:left="1060"/>
        <w:spacing w:after="0" w:line="254" w:lineRule="auto"/>
        <w:rPr>
          <w:sz w:val="20"/>
          <w:szCs w:val="20"/>
          <w:color w:val="auto"/>
        </w:rPr>
      </w:pPr>
      <w:r>
        <w:rPr>
          <w:rFonts w:ascii="Times New Roman" w:cs="Times New Roman" w:eastAsia="Times New Roman" w:hAnsi="Times New Roman"/>
          <w:sz w:val="18"/>
          <w:szCs w:val="18"/>
          <w:color w:val="auto"/>
        </w:rPr>
        <w:t>We presented positive initial Phase 1 data from our ongoing Phase 1 MYTHIC trial demonstrating proof of concept for lunresertib alone and in combination with camonsertib at the 35th AACR-NCI-EORTC International Conference in October 2023. Lunresertib was shown to be well tolerated with a compelling safety profile. We further presented anti-tumor activity for lunresertib in combination with camonsertib. Initial combination data included an overall RECIST response rate of 50% in the 10 patients with heavily pre-treated gynecological tumors treated at the preliminary recommended Phase 2 dose. We expect to provide MYTHIC data from expansion cohorts of the lunresertib and camonsertib combination in the second half of 2024. In the third quarter of 2023, we received fast track designation for lunresertib in combination with camonsertib for the treatment of adult patients with CCNE1 amplified, or FBXW7 or PPP2R1A mutated endometrial cancer.</w:t>
      </w:r>
    </w:p>
    <w:p>
      <w:pPr>
        <w:spacing w:after="0" w:line="192" w:lineRule="exact"/>
        <w:rPr>
          <w:sz w:val="20"/>
          <w:szCs w:val="20"/>
          <w:color w:val="auto"/>
        </w:rPr>
      </w:pPr>
    </w:p>
    <w:p>
      <w:pPr>
        <w:jc w:val="both"/>
        <w:ind w:left="1060"/>
        <w:spacing w:after="0" w:line="253" w:lineRule="auto"/>
        <w:rPr>
          <w:sz w:val="20"/>
          <w:szCs w:val="20"/>
          <w:color w:val="auto"/>
        </w:rPr>
      </w:pPr>
      <w:r>
        <w:rPr>
          <w:rFonts w:ascii="Times New Roman" w:cs="Times New Roman" w:eastAsia="Times New Roman" w:hAnsi="Times New Roman"/>
          <w:sz w:val="18"/>
          <w:szCs w:val="18"/>
          <w:color w:val="auto"/>
        </w:rPr>
        <w:t xml:space="preserve">We initiated additional Phase 1 combination clinical trials of lunresertib with gemcitabine (MAGNETIC) in December 2021 and with FOLFIRI (MINOTAUR) in August 2022, for which we expect to share data in the second half and first half of 2024, respectively. In the fourth quarter of 2022, we received fast track designation for lunresertib in combination with gemcitabine for the treatment of adult patients with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amplified, or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PPP2R1A</w:t>
      </w:r>
      <w:r>
        <w:rPr>
          <w:rFonts w:ascii="Times New Roman" w:cs="Times New Roman" w:eastAsia="Times New Roman" w:hAnsi="Times New Roman"/>
          <w:sz w:val="18"/>
          <w:szCs w:val="18"/>
          <w:color w:val="auto"/>
        </w:rPr>
        <w:t xml:space="preserve"> mutated platinum resistant ovarian cancer. We are collaborating with the Canadian Cancer Trials Group in an ongoing basket Phase 2 Investigator Sponsored Clinical Trial (IST) that is enrolling patients with selected, advanced cancers receiving lunresertib as combination (NCT05605509). A sub-study to that protocol that will evaluate lunresertib in combination with gemcitabine in patients with CDK4/6 inhibitor treated ER+/HER2- metastatic breast cancer (NCT05601440) was activated more recently and is also enrolling patients. We are also collaborating with University Health Network, Toronto on an investigator-sponsored Phase 1 clinical trial of luneresertib in combination with carboplatin and paclitaxel in TP53 ovarian and uterine cancer (NCT06107868) that is expected to be activated shortly.</w:t>
      </w:r>
    </w:p>
    <w:p>
      <w:pPr>
        <w:spacing w:after="0" w:line="194"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In January 2024, we announced our sponsorship of a global trial as a new arm in the ongoing MYTHIC trial combining lunresertib with Debiopharm's Debio 0123, a highly selective clinical WEE1 inhibitor. Dosing of the first patient with the synergistic lunresertib and Debio 0123 combination is expected to occur in the first half of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298" w:lineRule="exact"/>
        <w:rPr>
          <w:sz w:val="20"/>
          <w:szCs w:val="20"/>
          <w:color w:val="auto"/>
        </w:rPr>
      </w:pPr>
    </w:p>
    <w:p>
      <w:pPr>
        <w:jc w:val="both"/>
        <w:ind w:left="503" w:hanging="503"/>
        <w:spacing w:after="0" w:line="268" w:lineRule="auto"/>
        <w:tabs>
          <w:tab w:leader="none" w:pos="50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Camonsertib </w:t>
      </w:r>
      <w:r>
        <w:rPr>
          <w:rFonts w:ascii="Times New Roman" w:cs="Times New Roman" w:eastAsia="Times New Roman" w:hAnsi="Times New Roman"/>
          <w:sz w:val="18"/>
          <w:szCs w:val="18"/>
          <w:color w:val="auto"/>
        </w:rPr>
        <w:t>(RP-3500) is a potent and selective oral small molecule inhibitor of ATR (Ataxia-Telangiectasia and Rad3-related protein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kinase) in clinical development for the treatment of solid tumors with specific DNA damage repair-related genomic alterations, including those in the ATM gene (ataxia telangiectasia mutated kinase).</w:t>
      </w:r>
    </w:p>
    <w:p>
      <w:pPr>
        <w:spacing w:after="0" w:line="175" w:lineRule="exact"/>
        <w:rPr>
          <w:sz w:val="20"/>
          <w:szCs w:val="20"/>
          <w:color w:val="auto"/>
        </w:rPr>
      </w:pPr>
    </w:p>
    <w:p>
      <w:pPr>
        <w:jc w:val="both"/>
        <w:ind w:left="543"/>
        <w:spacing w:after="0" w:line="258" w:lineRule="auto"/>
        <w:rPr>
          <w:sz w:val="20"/>
          <w:szCs w:val="20"/>
          <w:color w:val="auto"/>
        </w:rPr>
      </w:pPr>
      <w:r>
        <w:rPr>
          <w:rFonts w:ascii="Times New Roman" w:cs="Times New Roman" w:eastAsia="Times New Roman" w:hAnsi="Times New Roman"/>
          <w:sz w:val="18"/>
          <w:szCs w:val="18"/>
          <w:color w:val="auto"/>
        </w:rPr>
        <w:t>In a Clinical Trials Plenary Session at the 2023 AACR Annual Meeting, we presented initial clinical data from the Phase 1/2 TRESR and ATTACC clinical trials evaluating camonsertib in combination with three poly (ADP-ribose) polymerase (PARP) inhibitors - talazoparib, niraparib, and olaparib. Camonsertib demonstrated 48% overall CBR in patients with advanced solid tumors across tumor types regardless of choice of PARP inhibitor or platinum resistance, with a favorable safety and tolerability profile. The Phase 1/2 TRESR and ATTACC clinical trials are fully-enrolled and we expect to complete these trials in 2024.</w:t>
      </w:r>
    </w:p>
    <w:p>
      <w:pPr>
        <w:spacing w:after="0" w:line="183" w:lineRule="exact"/>
        <w:rPr>
          <w:sz w:val="20"/>
          <w:szCs w:val="20"/>
          <w:color w:val="auto"/>
        </w:rPr>
      </w:pPr>
    </w:p>
    <w:p>
      <w:pPr>
        <w:jc w:val="both"/>
        <w:ind w:left="543"/>
        <w:spacing w:after="0" w:line="254" w:lineRule="auto"/>
        <w:rPr>
          <w:sz w:val="20"/>
          <w:szCs w:val="20"/>
          <w:color w:val="auto"/>
        </w:rPr>
      </w:pPr>
      <w:r>
        <w:rPr>
          <w:rFonts w:ascii="Times New Roman" w:cs="Times New Roman" w:eastAsia="Times New Roman" w:hAnsi="Times New Roman"/>
          <w:sz w:val="18"/>
          <w:szCs w:val="18"/>
          <w:color w:val="auto"/>
        </w:rPr>
        <w:t>In June 2022, we entered into a worldwide license and collaboration agreement with Hoffmann-La Roche Inc. and F. Hoffmann-La Roche Ltd (collectively “Roche”) for the development and commercialization of camonsertib, which resulted in an initial $125 million upfront payment. In January 2024, we earned a $40 million milestone payment from Roche upon dosing of the first patient with camonsertib in Roche’s TAPISTRY trial, which was subsequently received in February 2024. Since inception of the Roche camonsertib collaboration, we have earned a cumulative total of $182.6 million, including the upfront payment, the milestone payment, as well as additional reimbursements from Roche. On February 7, 2024, we received written notice from Roche of their election to terminate the Roche camonsertib collaboration. The termination will become effective in May 2024, at which time we will regain global development and commercialization rights for camonsertib from Roche. We are currently actively engaged in transition activities related to the termination and expect to provide further guidance on our plans for camonsertib in the second quarter of 2024.</w:t>
      </w:r>
    </w:p>
    <w:p>
      <w:pPr>
        <w:spacing w:after="0" w:line="292" w:lineRule="exact"/>
        <w:rPr>
          <w:sz w:val="20"/>
          <w:szCs w:val="20"/>
          <w:color w:val="auto"/>
        </w:rPr>
      </w:pPr>
    </w:p>
    <w:p>
      <w:pPr>
        <w:jc w:val="both"/>
        <w:ind w:left="503" w:hanging="503"/>
        <w:spacing w:after="0" w:line="259" w:lineRule="auto"/>
        <w:tabs>
          <w:tab w:leader="none" w:pos="50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RP-1664 </w:t>
      </w:r>
      <w:r>
        <w:rPr>
          <w:rFonts w:ascii="Times New Roman" w:cs="Times New Roman" w:eastAsia="Times New Roman" w:hAnsi="Times New Roman"/>
          <w:sz w:val="18"/>
          <w:szCs w:val="18"/>
          <w:color w:val="auto"/>
        </w:rPr>
        <w:t>is a first-in-class, highly selective, oral PLK4 inhibitor designed to harness the synthetic lethal relationship with TRIM37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amplification or overexpression in solid tumors. Tumors rely on PLK4 for centriole biogenesis in S-phase of the cell cycle when TRIM37, an E3 ligase that reduces pericentriolar material, is high. Preclinical studies demonstrate that RP-1664 selectively inhibits PLK4 and drives potent synthetic lethality in TRIM37-high tumor models,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Elevated TRIM37 is a feature found across a range of solid tumors and in approximately 80% of high-grade neuroblastoma. RP-1664 is the only selective PLK4 inhibitor known to be in the clinic.</w:t>
      </w:r>
    </w:p>
    <w:p>
      <w:pPr>
        <w:spacing w:after="0" w:line="183" w:lineRule="exact"/>
        <w:rPr>
          <w:sz w:val="20"/>
          <w:szCs w:val="20"/>
          <w:color w:val="auto"/>
        </w:rPr>
      </w:pPr>
    </w:p>
    <w:p>
      <w:pPr>
        <w:jc w:val="both"/>
        <w:ind w:left="543"/>
        <w:spacing w:after="0" w:line="255" w:lineRule="auto"/>
        <w:rPr>
          <w:sz w:val="20"/>
          <w:szCs w:val="20"/>
          <w:color w:val="auto"/>
        </w:rPr>
      </w:pPr>
      <w:r>
        <w:rPr>
          <w:rFonts w:ascii="Times New Roman" w:cs="Times New Roman" w:eastAsia="Times New Roman" w:hAnsi="Times New Roman"/>
          <w:sz w:val="18"/>
          <w:szCs w:val="18"/>
          <w:color w:val="auto"/>
        </w:rPr>
        <w:t xml:space="preserve">We reported comprehensive preclinical data for RP-1664 in November 2023, including deep tumor growth inhibition and regressions in multiple TRIM37-high solid tumor or neuroblastoma xenograft models. The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 evaluations were performed both internally and in collaboration with Children’s Hospital of Philadelphia (CHOP). In February 2024, we dosed the first patient in the LIONS (PLK4 Inhibitor in Advanced Solid Tumors) clinical trial, a multicenter, open-label Phase 1 clinical trial to investigate safety, pharmacokinetics, pharmacodynamics, and the preliminary efficacy of RP-1664. After evaluating safety in adult patients with recurrent solid tumors in the LIONS clinical trial, we expect to move into a Phase 1/2 clinical trial in high risk, recurrent pediatric neuroblastoma, in which children have limited treatment options and high prevalence of TRIM37-altered tumors.</w:t>
      </w:r>
    </w:p>
    <w:p>
      <w:pPr>
        <w:spacing w:after="0" w:line="293" w:lineRule="exact"/>
        <w:rPr>
          <w:sz w:val="20"/>
          <w:szCs w:val="20"/>
          <w:color w:val="auto"/>
        </w:rPr>
      </w:pPr>
    </w:p>
    <w:p>
      <w:pPr>
        <w:jc w:val="both"/>
        <w:ind w:left="503" w:hanging="503"/>
        <w:spacing w:after="0" w:line="255" w:lineRule="auto"/>
        <w:tabs>
          <w:tab w:leader="none" w:pos="50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RP-3467 </w:t>
      </w:r>
      <w:r>
        <w:rPr>
          <w:rFonts w:ascii="Times New Roman" w:cs="Times New Roman" w:eastAsia="Times New Roman" w:hAnsi="Times New Roman"/>
          <w:sz w:val="18"/>
          <w:szCs w:val="18"/>
          <w:color w:val="auto"/>
        </w:rPr>
        <w:t>is a potential best-in-class inhibitor of adenosinetriphosphatase (ATPase) activity on the helicase domain of DNA polymerase theta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(Polθ). Polθ is a synthetic lethal target associated with homologous recombination deficiency (HRD) tumors, including those with BRCA1/2 mutations or other genomic alterations. Data suggest that RP-3467 works effectively and synergistically with therapies that result in double stranded DNA breaks, such as PARP inhibition, radioligand therapy (RLT) and multiple chemotherapies and antibody-drug conjugates (ADCs). Initial data suggest that Polθ inhibition may interfere with mechanisms central to the development of PARPi resistance, which could be relevant to currently marketed PARP 1/2 inhibitors and the emerging PARP1-selective inhibitors. We also reported comprehensive preclinical data for RP-3467 in November 2023, in which RP-3467 demonstrated complete, sustained regressions in combination with PARP inhibitors and compelling anti-tumor activity</w:t>
      </w:r>
    </w:p>
    <w:p>
      <w:pPr>
        <w:spacing w:after="0" w:line="200" w:lineRule="exact"/>
        <w:rPr>
          <w:sz w:val="20"/>
          <w:szCs w:val="20"/>
          <w:color w:val="auto"/>
        </w:rPr>
      </w:pPr>
    </w:p>
    <w:p>
      <w:pPr>
        <w:spacing w:after="0" w:line="20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9" w:name="page10"/>
    <w:bookmarkEnd w:id="9"/>
    <w:p>
      <w:pPr>
        <w:spacing w:after="0" w:line="3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combination with RLT and chemotherapy. We expect to initiate a Phase 1 trial of RP-3467 in the second half of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powerful SL-based approach to the development of new precision oncology therapeutics has multiple potential benefits:</w:t>
      </w:r>
    </w:p>
    <w:p>
      <w:pPr>
        <w:spacing w:after="0" w:line="11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address previously un-targetable tumor biology</w:t>
      </w:r>
      <w:r>
        <w:rPr>
          <w:rFonts w:ascii="Times New Roman" w:cs="Times New Roman" w:eastAsia="Times New Roman" w:hAnsi="Times New Roman"/>
          <w:sz w:val="18"/>
          <w:szCs w:val="18"/>
          <w:color w:val="auto"/>
        </w:rPr>
        <w:t>, including, for example, loss-of-function mutations;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Enhanced benefit-risk profile</w:t>
      </w:r>
      <w:r>
        <w:rPr>
          <w:rFonts w:ascii="Times New Roman" w:cs="Times New Roman" w:eastAsia="Times New Roman" w:hAnsi="Times New Roman"/>
          <w:sz w:val="18"/>
          <w:szCs w:val="18"/>
          <w:color w:val="auto"/>
        </w:rPr>
        <w:t>, by precisely targeting tumor cells with the defined mutation while sparing normal, non-cancerous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Genetic stratification of patients</w:t>
      </w:r>
      <w:r>
        <w:rPr>
          <w:rFonts w:ascii="Times New Roman" w:cs="Times New Roman" w:eastAsia="Times New Roman" w:hAnsi="Times New Roman"/>
          <w:sz w:val="18"/>
          <w:szCs w:val="18"/>
          <w:color w:val="auto"/>
        </w:rPr>
        <w:t>, potentially enabling higher response rates;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Tumor-agnostic approach</w:t>
      </w:r>
      <w:r>
        <w:rPr>
          <w:rFonts w:ascii="Times New Roman" w:cs="Times New Roman" w:eastAsia="Times New Roman" w:hAnsi="Times New Roman"/>
          <w:sz w:val="18"/>
          <w:szCs w:val="18"/>
          <w:color w:val="auto"/>
        </w:rPr>
        <w:t>, focusing on specific genetics and enabling the application to multiple tumor types.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cornerstone of our company is our SNIPRx platform, which enables us to accurately identify SL gene pairs and the corresponding patients who are most likely to benefit from our therapies based on the genetic profile of their tumors. We are developing a portfolio of product candidates based on these differentiated patient selection insights to identify targets that may treat cancers with high unmet medical need. For example, camonsertib is designed as a selective inhibitor of the DNA repair protein ataxia telangiectasia and Rad3-related protein (ATR), a kinase that is activated by DNA replication stress. Tumors containing alterations in genes encoding other DNA repair proteins, such as ataxia-telangiectasia mutated kinase (ATM), are SL with ATR inhibition and were observed to be hypersensitive to camonsertib in our preclinical models. We believe that the preclinical selectivity and pharmacokinetic properties of camonsertib support the profile of a differentiated therapy with the potential to enhance anti-tumor activity as compared to third party ATR inhibitors currently in development. Based on our preclinical studies, we believe camonsertib has the potential to provide therapeutic benefit to identified patient populations both as a monotherapy and in combination with other therapies such as PARP inhibitors.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core of our SNIPRx platform is the ability to identify both known and novel SL targets. Our SNIPRx platform begins with a genome-wide CRISPR-based screening approach that utilizes our proprietary isogenic cell 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8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have systematically analyzed genomic data from approximately 60,000 tumor samples and identified a set of clinically relevant tumor genomic alterations, which we refer to as tumor lesions, that are linked to genomic instability. The initial tumor lesions are present in approximately 30% of tumors. For each of these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based on their potential to be amenable to small molecule inhibitors with drug-like properties. Once a SL product candidate is identified, we perform our proprietary SNIPRx Targeted Expansion of Patient Populations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screens to identify additional genomic alterations that are SL to our product candidate. Using these screens, we are able to enrich the patient population in our clinical trials and expand the patient populations that may be addressable with our product candidates.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leader in developing innovative SL therapies and have built our SNIPRx platform based on three primary pillars:</w:t>
      </w:r>
    </w:p>
    <w:p>
      <w:pPr>
        <w:spacing w:after="0" w:line="113" w:lineRule="exact"/>
        <w:rPr>
          <w:sz w:val="20"/>
          <w:szCs w:val="20"/>
          <w:color w:val="auto"/>
        </w:rPr>
      </w:pPr>
    </w:p>
    <w:p>
      <w:pPr>
        <w:ind w:left="1020" w:hanging="503"/>
        <w:spacing w:after="0" w:line="286" w:lineRule="auto"/>
        <w:tabs>
          <w:tab w:leader="none" w:pos="102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Identify </w:t>
      </w:r>
      <w:r>
        <w:rPr>
          <w:rFonts w:ascii="Times New Roman" w:cs="Times New Roman" w:eastAsia="Times New Roman" w:hAnsi="Times New Roman"/>
          <w:sz w:val="18"/>
          <w:szCs w:val="18"/>
          <w:color w:val="auto"/>
        </w:rPr>
        <w:t>novel SL targets using our proprietary, genome-wide, CRISPR-enabled screening technology against clinically relevant genomic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alterations in tumors with high unmet medical need;</w:t>
      </w:r>
    </w:p>
    <w:p>
      <w:pPr>
        <w:spacing w:after="0" w:line="46" w:lineRule="exact"/>
        <w:rPr>
          <w:rFonts w:ascii="Times New Roman" w:cs="Times New Roman" w:eastAsia="Times New Roman" w:hAnsi="Times New Roman"/>
          <w:sz w:val="18"/>
          <w:szCs w:val="18"/>
          <w:b w:val="1"/>
          <w:bCs w:val="1"/>
          <w:i w:val="1"/>
          <w:i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Design and synthesize </w:t>
      </w:r>
      <w:r>
        <w:rPr>
          <w:rFonts w:ascii="Times New Roman" w:cs="Times New Roman" w:eastAsia="Times New Roman" w:hAnsi="Times New Roman"/>
          <w:sz w:val="18"/>
          <w:szCs w:val="18"/>
          <w:color w:val="auto"/>
        </w:rPr>
        <w:t>potent and selective small molecule inhibitors of these targets; and</w:t>
      </w:r>
    </w:p>
    <w:p>
      <w:pPr>
        <w:spacing w:after="0" w:line="127" w:lineRule="exact"/>
        <w:rPr>
          <w:rFonts w:ascii="Times New Roman" w:cs="Times New Roman" w:eastAsia="Times New Roman" w:hAnsi="Times New Roman"/>
          <w:sz w:val="18"/>
          <w:szCs w:val="18"/>
          <w:b w:val="1"/>
          <w:bCs w:val="1"/>
          <w:i w:val="1"/>
          <w:iCs w:val="1"/>
          <w:color w:val="auto"/>
        </w:rPr>
      </w:pPr>
    </w:p>
    <w:p>
      <w:pPr>
        <w:ind w:left="1020" w:hanging="503"/>
        <w:spacing w:after="0" w:line="233" w:lineRule="auto"/>
        <w:tabs>
          <w:tab w:leader="none" w:pos="102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Expand </w:t>
      </w:r>
      <w:r>
        <w:rPr>
          <w:rFonts w:ascii="Times New Roman" w:cs="Times New Roman" w:eastAsia="Times New Roman" w:hAnsi="Times New Roman"/>
          <w:sz w:val="18"/>
          <w:szCs w:val="18"/>
          <w:color w:val="auto"/>
        </w:rPr>
        <w:t>beyond the initial target population based on the additional genomic alterations identified by our proprietary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screens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SL with our inhibitors.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leveraging our proprietary SNIPRx platform to discover, validate and build a robust pipeline of SL-based therapeutics. Our current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349240" cy="2528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 and Team</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now at Memorial Sloan Kettering Cancer Center and Frank Sicheri, Ph.D. at the Lunenfeld-Tanenbaum Research Institute, also played a key role in the development of our company.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assembled a highly qualified management team with broad experience in drug discovery and development to execute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GSK, Merck, Eli Lilly and Company, Bicycle Therapeutics, Y-mAbs Therapeutics, Santhera Pharmaceuticals and Clementia Pharmaceuticals. We have an experienced research and development team focused on leveraging our deep expertise and differentiated know-how across genomic target identification, target prioritization and selection, drug discovery chemistry and clinical development to develop highly potent and selective small molecule inhibitors based on SL for the treatment of cancer.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goal is to be the leading biopharmaceutical company developing precision oncology, small molecule therapies based on SL. The key elements of our strategy are to:</w:t>
      </w:r>
    </w:p>
    <w:p>
      <w:pPr>
        <w:spacing w:after="0" w:line="50" w:lineRule="exact"/>
        <w:rPr>
          <w:sz w:val="20"/>
          <w:szCs w:val="20"/>
          <w:color w:val="auto"/>
        </w:rPr>
      </w:pPr>
    </w:p>
    <w:p>
      <w:pPr>
        <w:jc w:val="both"/>
        <w:ind w:left="102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lunresertib through clinical development by leveraging our innovative patient selection approach and identifying the optimal combination treatment among our active and planned clinical trials to move forward into a potential registration-directed clinical trial. </w:t>
      </w:r>
      <w:r>
        <w:rPr>
          <w:rFonts w:ascii="Times New Roman" w:cs="Times New Roman" w:eastAsia="Times New Roman" w:hAnsi="Times New Roman"/>
          <w:sz w:val="18"/>
          <w:szCs w:val="18"/>
          <w:color w:val="auto"/>
        </w:rPr>
        <w:t>To date, we have initiated clinical trials evaluating lunresertib in monotherapy and multiple combinations,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combinations with camonsertib (MYTHIC Module 2), FOLFIRI (MINOTAUR) and gemcitabine (MAGNETIC). In January 2024, we also announced our sponsorship of a global study as a new arm in the ongoing MYTHIC trial combining lunresertib with Debiopharm's Debio 0123, a highly selective clinical WEE1 inhibitor.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ind w:left="503"/>
        <w:spacing w:after="0"/>
        <w:rPr>
          <w:sz w:val="20"/>
          <w:szCs w:val="20"/>
          <w:color w:val="auto"/>
        </w:rPr>
      </w:pPr>
      <w:r>
        <w:rPr>
          <w:rFonts w:ascii="Times New Roman" w:cs="Times New Roman" w:eastAsia="Times New Roman" w:hAnsi="Times New Roman"/>
          <w:sz w:val="18"/>
          <w:szCs w:val="18"/>
          <w:color w:val="auto"/>
        </w:rPr>
        <w:t>Dosing of the first patient with the synergistic lunresertib and Debio 0123 combination is expected to occur in the first half of 2024.</w:t>
      </w:r>
    </w:p>
    <w:p>
      <w:pPr>
        <w:spacing w:after="0" w:line="225" w:lineRule="exact"/>
        <w:rPr>
          <w:sz w:val="20"/>
          <w:szCs w:val="20"/>
          <w:color w:val="auto"/>
        </w:rPr>
      </w:pPr>
    </w:p>
    <w:p>
      <w:pPr>
        <w:jc w:val="both"/>
        <w:ind w:left="543"/>
        <w:spacing w:after="0" w:line="255" w:lineRule="auto"/>
        <w:rPr>
          <w:sz w:val="20"/>
          <w:szCs w:val="20"/>
          <w:color w:val="auto"/>
        </w:rPr>
      </w:pPr>
      <w:r>
        <w:rPr>
          <w:rFonts w:ascii="Times New Roman" w:cs="Times New Roman" w:eastAsia="Times New Roman" w:hAnsi="Times New Roman"/>
          <w:sz w:val="18"/>
          <w:szCs w:val="18"/>
          <w:color w:val="auto"/>
        </w:rPr>
        <w:t>We have achieved the first clinical proof-of-concept for a synthetic lethal strategy with a PKMYT1 inhibitor combined with an ATR inhibitor in patients with molecularly-selected cancers when we presented positive initial Phase 1 data from our ongoing Phase 1 MYTHIC trial demonstrating proof of concept for lunresertib alone and in combination with camonsertib at the 35th AACR-NCI-EORTC International Conference in October 2023. We expect to provide MYTHIC data from expansion cohorts of the lunresertib and camonsertib combination in the second half of 2024. We also expect to provide data readouts of MAGNETIC and MINOTAUR in the second half and first half of 2024, respectively. Our goal is to identify the optimal combination treatment amongst all lunrsertib clinical trials to move forward into a potential pivotal or registration-directed clinical trial as an outcome of these data readouts.</w:t>
      </w:r>
    </w:p>
    <w:p>
      <w:pPr>
        <w:spacing w:after="0" w:line="77" w:lineRule="exact"/>
        <w:rPr>
          <w:sz w:val="20"/>
          <w:szCs w:val="20"/>
          <w:color w:val="auto"/>
        </w:rPr>
      </w:pPr>
    </w:p>
    <w:p>
      <w:pPr>
        <w:jc w:val="both"/>
        <w:ind w:left="503" w:hanging="503"/>
        <w:spacing w:after="0" w:line="253"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camonsertib ongoing clinical development and determine future development strategy following the return of global rights from Roche. </w:t>
      </w:r>
      <w:r>
        <w:rPr>
          <w:rFonts w:ascii="Times New Roman" w:cs="Times New Roman" w:eastAsia="Times New Roman" w:hAnsi="Times New Roman"/>
          <w:sz w:val="18"/>
          <w:szCs w:val="18"/>
          <w:color w:val="auto"/>
        </w:rPr>
        <w:t>To date, we have initiated clinical trials evaluating camonsertib in monotherapy and multiple combinations. In July 2020,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began monotherapy dosing in our open-label Phase 1/2 clinical trial (TRESR Module 1). In parallel with the monotherapy dose-escalation portion of the trial, in February 2021, we initiated patient recruitment of the combination therapy arm to evaluate the safety and efficacy of camonsertib in combination with a PARP inhibitor, talazoparib, in the same patient subgroups (TRESR Module 3). In August 2021, we initiated patient recruitment in our open-label Phase 1b/2 ATTACC trial of camonsertib in combination with niraparib and olaparib, two additional PARP inhibitors. In October 2021, we presented initial Phase 1 monotherapy clinical data from our open-label Phase 1/2 TRESR trial of camonsertib in patients with solid tumors. We then presented comprehensive Phase 1 monotherapy clinical data from this trial in April 2022. In a Clinical Trials Plenary Session at the 2023 AACR Annual Meeting, we presented initial clinical data from the Phase 1/2 TRESR and ATTACC clinical trials evaluating camonsertib in combination with three PARP inhibitors - talazoparib, niraparib, and olaparib. The Phase 1/2 TRESR and ATTACC clinical trials are fully-enrolled and we expect to complete these clinical trials in 2024. In May 2024, we will regain global development and commercialization rights for camonsertib from Roche. We are currently actively engaged in transition activities related to the termination and expect to provide further guidance on our plans for camonsertib in the second quarter of 2024.</w:t>
      </w:r>
    </w:p>
    <w:p>
      <w:pPr>
        <w:spacing w:after="0" w:line="79" w:lineRule="exact"/>
        <w:rPr>
          <w:rFonts w:ascii="Times New Roman" w:cs="Times New Roman" w:eastAsia="Times New Roman" w:hAnsi="Times New Roman"/>
          <w:sz w:val="18"/>
          <w:szCs w:val="18"/>
          <w:color w:val="auto"/>
        </w:rPr>
      </w:pPr>
    </w:p>
    <w:p>
      <w:pPr>
        <w:jc w:val="both"/>
        <w:ind w:left="503" w:hanging="503"/>
        <w:spacing w:after="0" w:line="253"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RP-1664 as the first highly selective PLK4 inhibitor in the clinic with a differentiated patient selection strategy. </w:t>
      </w:r>
      <w:r>
        <w:rPr>
          <w:rFonts w:ascii="Times New Roman" w:cs="Times New Roman" w:eastAsia="Times New Roman" w:hAnsi="Times New Roman"/>
          <w:sz w:val="18"/>
          <w:szCs w:val="18"/>
          <w:color w:val="auto"/>
        </w:rPr>
        <w:t>RP-1664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only selective PLK4 inhibitor known to be in the clinic. We reported comprehensive preclinical data for RP-1664 in November 2023, including deep tumor growth inhibition and regressions in multiple TRIM37-high solid tumor or neuroblastoma xenograft models. The preclinical evaluation was performed both internally and in collaboration with Children’s Hospital of Philadelphia (CHOP). We did not observe any RP-1664 activity against the Aurora kinase family, which we would consider to be an off-target effect. In February 2024, we dosed the first patient in the LIONS (PLK4 Inhibitor in Advanced Solid Tumors) clinical trial, a multicenter, open-label Phase 1 clinical trial to investigate safety, pharmacokinetics, pharmacodynamics, and the preliminary efficacy of RP-1664. The LIONS clinical trial is the first time a selective PLK4 inhibitor program has utilized a genomically-targeted patient selection approach, which has been enabled by our SNIPRx platform. After evaluating safety in adult patients with recurrent solid tumors in the LIONS clinical trial, we expect to move into a Phase 1/2 clinical trial in high risk, recurrent pediatric neuroblastoma, in which children have limited treatment options and high prevalence of TRIM37-altered tumors. In this study, we expect to create a separate oral, pediatric formulation, distinct from that used in the LIONS clinical trial, to facilitate dosing of smaller children.</w:t>
      </w:r>
    </w:p>
    <w:p>
      <w:pPr>
        <w:spacing w:after="0" w:line="81" w:lineRule="exact"/>
        <w:rPr>
          <w:rFonts w:ascii="Times New Roman" w:cs="Times New Roman" w:eastAsia="Times New Roman" w:hAnsi="Times New Roman"/>
          <w:sz w:val="18"/>
          <w:szCs w:val="18"/>
          <w:color w:val="auto"/>
        </w:rPr>
      </w:pPr>
    </w:p>
    <w:p>
      <w:pPr>
        <w:jc w:val="both"/>
        <w:ind w:left="503" w:hanging="503"/>
        <w:spacing w:after="0" w:line="256" w:lineRule="auto"/>
        <w:tabs>
          <w:tab w:leader="none" w:pos="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advance our preclinical programs into clinical development. </w:t>
      </w:r>
      <w:r>
        <w:rPr>
          <w:rFonts w:ascii="Times New Roman" w:cs="Times New Roman" w:eastAsia="Times New Roman" w:hAnsi="Times New Roman"/>
          <w:sz w:val="18"/>
          <w:szCs w:val="18"/>
          <w:color w:val="auto"/>
        </w:rPr>
        <w:t>We expect to initiate a Phase 1 trial of RP-3467, our Polθ</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ATPase inhibitor, in the second half of 2024. RP-3467 is a potential best-in-class inhibitor based on preclinical data presented in November 2023, in which we demonstrated complete, sustained regressions in combination with PARP inhibitors and compelling anti-tumor activity in combination with RLT and chemotherapy. We believe RP-3467’s greatest therapeutic opportunities are in combination with dsDNA damaging agents. We observed RP-3467 synergies with both PARP1/2 and PARP1 selective inhibitors in vitro. Further, we observed highly durable regressions, following tumors treated with the combination of RP-3467 and olaparib for up to 90 days post treatment, with no additive</w:t>
      </w:r>
    </w:p>
    <w:p>
      <w:pPr>
        <w:spacing w:after="0" w:line="200" w:lineRule="exact"/>
        <w:rPr>
          <w:sz w:val="20"/>
          <w:szCs w:val="20"/>
          <w:color w:val="auto"/>
        </w:rPr>
      </w:pPr>
    </w:p>
    <w:p>
      <w:pPr>
        <w:spacing w:after="0" w:line="203"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2" w:name="page13"/>
    <w:bookmarkEnd w:id="12"/>
    <w:p>
      <w:pPr>
        <w:spacing w:after="0" w:line="86"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nor synergistic toxicity in the haematopoetic compartment. RLT is a driver of dsDNA breaks and we found the combination with RP-3467 drove a statistically significant overall survival benefit versus a full dose of the RLT in a homologous recombination proficient background. In other words, patients with unselected tumor backgrounds may benefit from RP-3467 in combination with RLT. Since chemotherapies also result in dsDNA breaks, we studied both carboplatin and topoisomerase inhibitor (SN-38/Irinotecan) combinations, in vitro and in vivo. Both combinations demonstrated in vitro synergy and clear in vivo combination benefit with no additional toxicity.</w:t>
      </w:r>
    </w:p>
    <w:p>
      <w:pPr>
        <w:spacing w:after="0" w:line="71" w:lineRule="exact"/>
        <w:rPr>
          <w:sz w:val="20"/>
          <w:szCs w:val="20"/>
          <w:color w:val="auto"/>
        </w:rPr>
      </w:pPr>
    </w:p>
    <w:p>
      <w:pPr>
        <w:jc w:val="both"/>
        <w:ind w:left="1020" w:hanging="503"/>
        <w:spacing w:after="0" w:line="25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Extend our leading position in SL drug discovery</w:t>
      </w:r>
      <w:r>
        <w:rPr>
          <w:rFonts w:ascii="Times New Roman" w:cs="Times New Roman" w:eastAsia="Times New Roman" w:hAnsi="Times New Roman"/>
          <w:sz w:val="18"/>
          <w:szCs w:val="18"/>
          <w:color w:val="auto"/>
        </w:rPr>
        <w:t>. We have systematically analyzed genomic data from approximately 60,000 tumor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samples and have identified a set of tumor lesions that are linked to genomic instability. This current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STEP2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5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Opportunistically pursue strategic partnerships to maximize the full potential of our pipeline and SNIPRx platform</w:t>
      </w:r>
      <w:r>
        <w:rPr>
          <w:rFonts w:ascii="Times New Roman" w:cs="Times New Roman" w:eastAsia="Times New Roman" w:hAnsi="Times New Roman"/>
          <w:sz w:val="18"/>
          <w:szCs w:val="18"/>
          <w:color w:val="auto"/>
        </w:rPr>
        <w:t>. The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regularly evaluate the potential of partnerships and other collaborative efforts to maximize the long-term value of our portfolio.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Targeted Oncology Therapeutics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first-generation of approved targeted therapies were predominately directed at driver mutations, which target specific types of receptor tyrosine kinases, such as, bcr-abl, EGFR and HER2, and have largely represented the focus of the targeted oncology sector for the last 20 years. A rapid evolution in the understanding of tumor biology coupled with an improved ability to segment subsets of tumors based on genomic alterations have led to the development of new generations of targeted cancer therapies for a variety of additional tumor-specific genomic abnormalities.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Targeting DNA repair genes and specifically loss of function alterations is an emerging area of research with PARP inhibitors pioneering the field. The growing number of compounds in development and multiple clinical studies have begun to reveal patterns of clinical benefit alone and in combination with several other agents. We expect both monotherapy and combination trials with these agents to emerge quickly and reshape the therapeutic landscape across many disease areas. Consistent with this trend and the specific cell cycle-related mechanisms of action for our lead assets, we have initiated comprehensive development plans for camonsertib and lunresertib alone or in combination with multiple agents.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speed at which the field has identified genetic changes associated with tumors has outpaced the discovery and development of precision medicines that can target those alterations. Oncology drug development has been primarily focused on genes with readily druggable alterations that confer new or enhanced protein activity, known as gain-of-function targets, such as EGFR. These include both gain-of-function alterations, such as CCNE1, as well as loss-of-function alterations, such as BRCA1. In June 2019, the New England Journal of Medicine referred to SL as a particularly attractive means to target the complex and gene-network oriented relationships associated with this previously undiscovered domain of oncology targets.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50" w:lineRule="exact"/>
        <w:rPr>
          <w:sz w:val="20"/>
          <w:szCs w:val="20"/>
          <w:color w:val="auto"/>
        </w:rPr>
      </w:pPr>
    </w:p>
    <w:p>
      <w:pPr>
        <w:ind w:left="102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Clinically-relevant tumor genomic data: </w:t>
      </w:r>
      <w:r>
        <w:rPr>
          <w:rFonts w:ascii="Times New Roman" w:cs="Times New Roman" w:eastAsia="Times New Roman" w:hAnsi="Times New Roman"/>
          <w:sz w:val="18"/>
          <w:szCs w:val="18"/>
          <w:color w:val="auto"/>
        </w:rPr>
        <w:t>the increasing adoption and regulatory acceptance of molecular tumor testing, enabling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accurate profiling of patient tumors;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Consolidated and annotated databases: </w:t>
      </w:r>
      <w:r>
        <w:rPr>
          <w:rFonts w:ascii="Times New Roman" w:cs="Times New Roman" w:eastAsia="Times New Roman" w:hAnsi="Times New Roman"/>
          <w:sz w:val="18"/>
          <w:szCs w:val="18"/>
          <w:color w:val="auto"/>
        </w:rPr>
        <w:t>the availability of multiple new and publicly accessible databases that consolidate, analyze,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synthesize new genetic data on tens of thousands of tumors; and</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Tools to apply emerging genetic knowledge: </w:t>
      </w:r>
      <w:r>
        <w:rPr>
          <w:rFonts w:ascii="Times New Roman" w:cs="Times New Roman" w:eastAsia="Times New Roman" w:hAnsi="Times New Roman"/>
          <w:sz w:val="18"/>
          <w:szCs w:val="18"/>
          <w:color w:val="auto"/>
        </w:rPr>
        <w:t>the emergence of new tools and methodologies, including CRISPR/Cas9, enabling large-scale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studies of genetic networks underlying cancer biology.</w:t>
      </w:r>
    </w:p>
    <w:p>
      <w:pPr>
        <w:spacing w:after="0" w:line="2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Synthetic Lethality Opportunity and Challenge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Illustration of Synthetic Lethality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242570</wp:posOffset>
            </wp:positionV>
            <wp:extent cx="4997450" cy="254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745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first clinically-validated SL gene pair was PARP-BRCA1/2, and based on the efficacy of PARP inhibitors, the SL approach to treating cancer has achieved substantial commercial validation. PARP enzymes regulate critical DNA repair pathways that cancer cells rely on as they grow and divide. PARP inhibition blocks these pathways, preventing DNA repair in cancer cells with a BRCA1/2 alteration and resulting in cancer cell death while sparing normal cells. Multiple PARP inhibitors, including olaparib (AstraZeneca), niraparib (GlaxoSmithKline), talazoparib (Pfizer), rucaparib (Clovis) and pamiparib (Beigene), have been approved for the treatment of tumors with BRCA and other DNA damage repair alterations, including ovarian, breast, prostate and pancreatic cancers.</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An Overview of Our Drug Discovery and Development Platform</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SNIPRx platform integrates our deep expertise and differentiated know-how across genomic target identification, target prioritization and selection, drug discovery chemistry and clinical development. Our approach can be divided into six steps, as depicted in the graphic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Integrated Approach to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242570</wp:posOffset>
            </wp:positionV>
            <wp:extent cx="5349240" cy="2031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1. Select tumor lesion of interest.</w:t>
      </w:r>
    </w:p>
    <w:p>
      <w:pPr>
        <w:spacing w:after="0" w:line="119" w:lineRule="exact"/>
        <w:rPr>
          <w:sz w:val="20"/>
          <w:szCs w:val="20"/>
          <w:color w:val="auto"/>
        </w:rPr>
      </w:pPr>
    </w:p>
    <w:p>
      <w:pPr>
        <w:ind w:left="520"/>
        <w:spacing w:after="0" w:line="284" w:lineRule="auto"/>
        <w:rPr>
          <w:sz w:val="20"/>
          <w:szCs w:val="20"/>
          <w:color w:val="auto"/>
        </w:rPr>
      </w:pPr>
      <w:r>
        <w:rPr>
          <w:rFonts w:ascii="Times New Roman" w:cs="Times New Roman" w:eastAsia="Times New Roman" w:hAnsi="Times New Roman"/>
          <w:sz w:val="18"/>
          <w:szCs w:val="18"/>
          <w:i w:val="1"/>
          <w:iCs w:val="1"/>
          <w:color w:val="auto"/>
        </w:rPr>
        <w:t>Apply our deep understanding of tumor lesions with a bias for alterations associated with genomic instability and cancers with high unmet medical need.</w:t>
      </w:r>
    </w:p>
    <w:p>
      <w:pPr>
        <w:spacing w:after="0" w:line="5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2016, we have systematically analyzed genomic data from approximately 60,000 tumor samples. We consult with leading oncology clinicians and key advisors to identify cancer types and subtypes where the current standard of care is not adequately improving patient survival. We then prioritize genetic lesions based on various criteria including mutation frequency and the feasibility of identifying lesion-positive patients. Of those, we focus on lesions that are known to directly or indirectly impact processes involved in genomic instability, such as DNA repair and cell cycle regulation.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 Execute SNIPRx screen campaign.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Utilize our SNIPRx screening technology to identify target gene candidates that induce SL in the context of our set of tumor lesions.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each of the tumor lesions we identified, each of which we refer to as an original tumor lesion, we have completed a screen campaign utilizing CRISPR technology and other tools to create proprietary isogenic cell lines, which are pairs of cell lines that are identical with the exception of a single genomic alteration. This allows us to identify, on a genome-wide basis, both known and novel targets that are SL with each original tumor lesion. Our SNIPRx platform has been optimized to both sensitivity and reproducibility, resulting in a significant decrease in false negatives compared to what has been reported with other CRISPR-based screening technologies.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3. Prioritize, select, and validate druggable targets.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Evaluate the multiple SL targets identified for each original tumor lesion.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screen campaigns result in the identification of multiple SL targets for each original tumor lesion. We prioritize and select targets to advance into drug discovery based on a systematic and proprietary set of criteria, which include thresholds for biological validation, cellular function, known and likely toxicity, druggability with small molecules, patentability, and the potential for clinical impact versus alternative therapies. Our processes include extensive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genetic,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validation of targets and comprehensive development of tool compounds for initial pharmacological corroboration.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4. Develop potent and selective inhibitors.</w:t>
      </w:r>
    </w:p>
    <w:p>
      <w:pPr>
        <w:spacing w:after="0" w:line="119" w:lineRule="exact"/>
        <w:rPr>
          <w:sz w:val="20"/>
          <w:szCs w:val="20"/>
          <w:color w:val="auto"/>
        </w:rPr>
      </w:pPr>
    </w:p>
    <w:p>
      <w:pPr>
        <w:ind w:left="520"/>
        <w:spacing w:after="0" w:line="284" w:lineRule="auto"/>
        <w:rPr>
          <w:sz w:val="20"/>
          <w:szCs w:val="20"/>
          <w:color w:val="auto"/>
        </w:rPr>
      </w:pPr>
      <w:r>
        <w:rPr>
          <w:rFonts w:ascii="Times New Roman" w:cs="Times New Roman" w:eastAsia="Times New Roman" w:hAnsi="Times New Roman"/>
          <w:sz w:val="18"/>
          <w:szCs w:val="18"/>
          <w:i w:val="1"/>
          <w:iCs w:val="1"/>
          <w:color w:val="auto"/>
        </w:rPr>
        <w:t>Develop small molecule product candidates that are highly potent and selective and advance them from lead discovery through the identification of a clinical candidate.</w:t>
      </w:r>
    </w:p>
    <w:p>
      <w:pPr>
        <w:spacing w:after="0" w:line="5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have assembled an internal research team that has extensive experience in small molecule drug discovery with a proven track record of identifying development candidates and delivering them into and through the clinic. Our team has deep in-house capabilities in cell biology, molecular biology, biochemistry, enzymology, medicinal chemistry, computational chemistry, and molecular modeling. We also have proven capabilities in drug metabolism, pharmacokinetic/pharmacodynamics, and absorption, distribution, metabolism, and excretion evaluation, as well as pharmacology, including dedicated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facilities to internally drive translational studies for human clinical trials. We believe these capabilities were demonstrated in the discovery and development of camonsertib and lunresertib.</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5. Perform SNIPRx Targeted Expansion of Patient Populations (STEP</w:t>
      </w:r>
      <w:r>
        <w:rPr>
          <w:rFonts w:ascii="Times New Roman" w:cs="Times New Roman" w:eastAsia="Times New Roman" w:hAnsi="Times New Roman"/>
          <w:sz w:val="24"/>
          <w:szCs w:val="24"/>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screens.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Expand our potential patient populations beyond those identified by the original SL pair.</w:t>
      </w:r>
    </w:p>
    <w:p>
      <w:pPr>
        <w:spacing w:after="0" w:line="12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Once we have identified a clinical candidate,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utilize a set of cell lines that, when treated with our clinical candidate, elucidate genes that, when knocked down, cause sensitivity to our selected inhibitor. These screens not only confirm the SL relationship with the original tumor lesion, but also identify additional genomic alterations that confer a response to our product candidates and are mutually exclusive from the original tumor lesion. We believe the identification of these new SL pairs allows us to rationally expand our targeted patient populations by enabling us to potentially treat patients with tumors across multiple genomic alterations with the same product candidate.</w:t>
      </w:r>
    </w:p>
    <w:p>
      <w:pPr>
        <w:spacing w:after="0" w:line="3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6. Conduct clinical trials in an enriched patient population.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Design our clinical trials for efficient clinical development.</w:t>
      </w:r>
    </w:p>
    <w:p>
      <w:pPr>
        <w:spacing w:after="0" w:line="11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For our clinical trials, we plan to enroll patients with tumors that contain either the original tumor lesion or any one of the genomic alterations identified by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We believe this strategy will allow us to enroll only those patients who are most likely to achieve clinical benefit from our product candidates. In addition, we are prioritizing tumor types for which there are no effective therapies currently available. We plan to evaluate multiple cohorts of patients based on specific genomic alterations, which may enable us to pursue an accelerated regulatory approval pathway for certain targeted patient populations.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SNIPRx Platform</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core of our SNIPRx platform is the ability to identify both known and novel SL targets. We believe that our platform and approach provide many key advantages as highlighted below.</w:t>
      </w:r>
    </w:p>
    <w:p>
      <w:pPr>
        <w:spacing w:after="0" w:line="50" w:lineRule="exact"/>
        <w:rPr>
          <w:sz w:val="20"/>
          <w:szCs w:val="20"/>
          <w:color w:val="auto"/>
        </w:rPr>
      </w:pPr>
    </w:p>
    <w:p>
      <w:pPr>
        <w:jc w:val="both"/>
        <w:ind w:left="1020" w:hanging="503"/>
        <w:spacing w:after="0" w:line="259"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Designed to Address Previously Untargetable Tumor Biology. </w:t>
      </w:r>
      <w:r>
        <w:rPr>
          <w:rFonts w:ascii="Times New Roman" w:cs="Times New Roman" w:eastAsia="Times New Roman" w:hAnsi="Times New Roman"/>
          <w:sz w:val="18"/>
          <w:szCs w:val="18"/>
          <w:color w:val="auto"/>
        </w:rPr>
        <w:t>Oncology drug development has been primarily focused on genes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readily druggable alterations that confer new or enhanced protein activity, known as gain-of-function targets, such as EGFR. The remaining targets have historically been considered undruggable. These include both gain-of-function alterations, such as CCNE1, as well as loss-of-function alterations, such as BRCA1. Our SNIPRx platform has demonstrated an ability to identify novel SL relationships, including those that address previously untargetable tumor biology.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Applies Our Proprietary Genome-wide Library. </w:t>
      </w:r>
      <w:r>
        <w:rPr>
          <w:rFonts w:ascii="Times New Roman" w:cs="Times New Roman" w:eastAsia="Times New Roman" w:hAnsi="Times New Roman"/>
          <w:sz w:val="18"/>
          <w:szCs w:val="18"/>
          <w:color w:val="auto"/>
        </w:rPr>
        <w:t>Genome-scale screens often identify many genes coding for the same protein complex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cellular pathway, thereby increasing confidence in those hits. These screens allow us to screen the entire genome to determine the top hits across all genes, as compared to the more limited druggable gene libraries. In addition, because the definition of what is druggable is continuously evolving, by using genome-scale screens, we are able to mine the results of our existing screens as new therapeutic modalities emerge. Our genome-wide libraries, together with our industrialized and optimized screening approach and technology, result in a significant reduction in false negative hits.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2" w:lineRule="exact"/>
        <w:rPr>
          <w:sz w:val="20"/>
          <w:szCs w:val="20"/>
          <w:color w:val="auto"/>
        </w:rPr>
      </w:pPr>
    </w:p>
    <w:p>
      <w:pPr>
        <w:jc w:val="both"/>
        <w:ind w:left="1020" w:hanging="503"/>
        <w:spacing w:after="0" w:line="25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Utilizes Isogenic Cell Lines. </w:t>
      </w:r>
      <w:r>
        <w:rPr>
          <w:rFonts w:ascii="Times New Roman" w:cs="Times New Roman" w:eastAsia="Times New Roman" w:hAnsi="Times New Roman"/>
          <w:sz w:val="18"/>
          <w:szCs w:val="18"/>
          <w:color w:val="auto"/>
        </w:rPr>
        <w:t>We believe a key differentiator of our SNIPRx platform is the utilization of thoroughly characterized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isogenic cell lines for our CRISPR-based genome-wide SL screen campaigns. We use normal, non-cancerous cell lines to engineer our isogenic cell models, which enable us to mine for SL interactions between two genes in models with clean genetic backgrounds that have minimal mutations and normal chromosome numbers. We have also developed a proprietary computational algorithm that is specifically designed to identify SL interactions from our isogenic screens. We believe using isogenic cell lines gives us a significant competitive advantage since most SL screening approaches used by others are based on cancer cell line panels, which we believe are less accurate due to their propensity to result in variable data.</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Focuses on Niche of Genomic Instability. </w:t>
      </w:r>
      <w:r>
        <w:rPr>
          <w:rFonts w:ascii="Times New Roman" w:cs="Times New Roman" w:eastAsia="Times New Roman" w:hAnsi="Times New Roman"/>
          <w:sz w:val="18"/>
          <w:szCs w:val="18"/>
          <w:color w:val="auto"/>
        </w:rPr>
        <w:t>Based on the well-established network of SL interactions in DNA synthesis and repair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organisms, we have found and believe we will continue to find clear and reproducible SL interactions through our SNIPRx platform. Genomic instability is an early event that underlies all cancer, and many of the genes we screen represent early hits in cancer that may have less heterogeneity in later stage tumors. The genomic instability space is enriched with genes encoding enzymatic activity, which provides us with ample opportunity to identify novel druggable genes for development into small molecule precision oncology therapies. We believe developing product candidates that target genomic instability may lead to durable responses with resulting clinical benefits for patients.</w:t>
      </w:r>
    </w:p>
    <w:p>
      <w:pPr>
        <w:spacing w:after="0" w:line="1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One example that illustrates the power of our SNIPRx platform is a SL screen campaign that we conducted in an isogenic pair of cell lines in which one cell line had a BRCA1 mutation and the other cell line was normal for BRCA1. The results of this screen campaign are graphically depicted below. The top-right quadrant of Graphic A highlights the SL hits resulting from our screen and shows that we were able to identify PARP1 as a SL hit with BRCA1. In addition, two additional sets of genes were identified to be SL with BRCA1: (1) the genes encoding the Fanconi Anemia pathway, which are depicted in purple, and (2) the genes coding for the BLM-RMI1-RMI2 complex, which are depicted in green. The independent identification by our SNIPRx screen campaign of multiple genes within a pathway or complex greatly increases confidence that those are true SL hits. In contrast, external cell panel screens that look for SL hits by comparing a panel of cancer cell lines that have either BRCA1-mutant or normal BRCA1 cell lines do not identify these validated BRCA1 SL genes. As shown in Graphic B below, multiple cancer cell line panel screens utilizing CRISPR or shRNA all failed to identify PARP1 as a SL hit with BRCA1.</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SNIPRx Screen Campaign Identifies Both Known and Novel SL Pairs Undetected by Cancer Cell Line Panels</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i w:val="1"/>
          <w:iCs w:val="1"/>
          <w:color w:val="auto"/>
        </w:rPr>
        <w:t>A. SNIPRx BRCA1 Isogenic SL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242570</wp:posOffset>
            </wp:positionV>
            <wp:extent cx="3651885" cy="2168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5188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i w:val="1"/>
          <w:iCs w:val="1"/>
          <w:color w:val="auto"/>
        </w:rPr>
        <w:t>B. External BRCA1 Cell Panel SL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242570</wp:posOffset>
            </wp:positionV>
            <wp:extent cx="5288915" cy="127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8891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Stage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Lunresertib, Our Novel, First-in-Class PKMYT1 Inhibitor Program</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Using our proprietary, CRISPR-based SNIPRx discovery platform, we identified PKMYT1 as a strong hit in a CCNE1-overexpression SL screen. PKMYT1 is a kinase that phosphorylates CDK1, thereby holding the cyclin B-CDK1 complex in an inactive state until the cell is ready to enter mitosis. Lunresertib is being developed as a highly potent and selective PKMYT1 inhibitor that preferentially kills tumor cells overexpressing CCNE1 and was shown to inhibit the growth of a broad range of CCNE1-amplified tumors in xenograft/patient-derived xenograft (PDX) preclinical models, both as a single agent and in combination therapy settings. Lunresertib has a favorable preclinical PK profile as well as low potential for drug-drug interactions. Application of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genome-wide chemical screen has identified other gene alterations beyond CCNE1 amplification that are uniquely targetable by lunresertib, including tumors that have loss of FBXW7 function, a cell-cycle regulator that has been implicated as a key genetic driver in a broad range of cancers, and represent further areas of unmet medical need. We initiated patient recruitment in our open-label Phase 1 MYTHIC trial, as a monotherapy, for this program in April 2021. Our Phase 1 trial is enrolling patients suffering from recurrent tumors characterized by CCNE1 amplification and other genomic alterations which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preclinical studies predicted to be sensitive to lunresertib. We are evaluating more than one schedule, if necessary, at which the capsules are given in this dose escalation trial. The primary objective is to establish the recommended Phase 2 dose and schedule for lunresertib for further studies as monotherapy and assess preliminary safety, tolerability, PK, and PD in patients. In December 2021, we enrolled the first patient in our open-label Phase 1 MAGNETIC trial to evaluate the safety and tolerability of lunresertib in combination with gemcitabine. In January 2022, we initiated patient recruitment in our open-label Phase 1 MINOTAUR trial to evaluate the safety and tolerability of lunresertib in combination with FOLFIRI. In May 2022, we initiated patient recruitment in a new arm of the Phase 1 MYTHIC clinical trial, which is designed to evaluate the safety and tolerability of lunresertib in combination with camonsertib in patients with advanced solid tumors. In the fourth quarter of 2022, we received fast track designation for lunresertib in combination with gemcitabine for the treatment of adult patients with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amplified, or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PPP2R1A</w:t>
      </w:r>
      <w:r>
        <w:rPr>
          <w:rFonts w:ascii="Times New Roman" w:cs="Times New Roman" w:eastAsia="Times New Roman" w:hAnsi="Times New Roman"/>
          <w:sz w:val="18"/>
          <w:szCs w:val="18"/>
          <w:color w:val="auto"/>
        </w:rPr>
        <w:t xml:space="preserve"> mutated platinum resistant ovarian cancer and in the third quarter of 2023, we received fast track designation for lunresertib in combination with camonsertib for the treatment of adult patients with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amplified, or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PPP2R1A</w:t>
      </w:r>
      <w:r>
        <w:rPr>
          <w:rFonts w:ascii="Times New Roman" w:cs="Times New Roman" w:eastAsia="Times New Roman" w:hAnsi="Times New Roman"/>
          <w:sz w:val="18"/>
          <w:szCs w:val="18"/>
          <w:color w:val="auto"/>
        </w:rPr>
        <w:t xml:space="preserve"> mutated endometrial cancer. We are collaborating with the Canadian Cancer Trials Group in an ongoing basket Phase 2 Investigator Sponsored Clinical Trial (IST) that is enrolling patients with selected, advanced cancers receiving lunresertib as combination (NCT05605509). A sub-study to that protocol that will evaluate lunresertib in combination with gemcitabine in patients with CDK4/6 inhibitor treated ER+/HER2- metastatic breast cancer (NCT05601440) was activated more recently and is also enrolling patients. We are also collaborating with University Health Network, Toronto on an investigator-sponsored Phase 1 study of luneresertib in combination with carboplatin and paclitaxel in TP53 ovarian and uterine cancer (NCT06107868) that is expected to be activated shortly.</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to report data readouts across all ongoing lunresertib clinical trials and add a Wee1 combination clinical trial in partnership with Debiopharm in 2024. We expect to report initial data from the Phase 1 MINOTAUR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study evaluating lunresertib in combination with FOLFIRI for the treatment of advanced solid tumors in the first half of 2024. We have closed enrollment in the Phase 1 MAGNETIC study evaluating lunresertib in combination with gemcitabine for the treatment of advanced solid tumors, and expect to report initial data from this study in the second half of 2024. We also expect to report data from the dose expansion cohorts of the Phase 1 MYTHIC trial evaluating lunresertib in combination with camonsertib in selectively advanced solid tumors in the second half of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PKMYT1, the gene targeted by lunresertib has not previously been published as a SL gene pair with CCNE1 amplification, and we are not aware of any advanced drug discovery efforts against this target. In preclinical studies, we observed that the deletion of this gene was well tolerated in wild-type cells, but it caused lethality in isogenic cancer cells that overexpressed CCNE1.</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High levels of CCNE1 protein, an activating subunit of cyclin dependent kinase 2 (CDK2), are often observed in patients across multiple tumor types. Deregulation of cell cycle control is thought to be a prerequisite for tumor development, and several studies have demonstrated accelerated entry of cells into the S phase, or DNA synthesis phase, of the cell cycle, due to constitutive, or “always-on,” expression of CCNE1. Such an accelerated entry of cells into the S phase is a common sign of unregulated, cancerous growth. CCNE1 amplification can induce chromosome instability, another sign of cancer, by contributing to inappropriate initiation of DNA replication. Several studies have demonstrated that CCNE1 amplification or constitutive expression is associated with disease progression in various malignancies as well as poor clinical prognosis in patients across multiple cancers, including ovarian, breast, bladder, and colorectal cancer. For example, clinical data from patients with ovarian cancer indicate that those with CCNE1-amplified tumors have significantly shorter overall survival than those with tumors without CCNE1 amplification, as shown below.</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CCNE1 Amplification is Associated with Significantly Shorter Overall Survival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Patients with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160020</wp:posOffset>
            </wp:positionV>
            <wp:extent cx="2391410" cy="1705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9141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CCNE1 amplification is found in 4% of tumors in the pan-cancer TCGA studies. Over 40% of uterine carcinosarcoma cancers and 10% to 20% of ovarian and stomach cancers harbor CCNE1 amplification. Together, these cancers lead to over 40,000 deaths each year in the United States. Additional cancer types also harbor CCNE1 amplification at a lower frequency, including up to 3% to 8% of esophagus, bladder, lung, and pancreatic cancers, as shown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Top 10 Tumor Types with Highest Frequency of CCNE1 Amplification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173990</wp:posOffset>
            </wp:positionV>
            <wp:extent cx="5117465" cy="2383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1746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Solution, Lunreserti</w:t>
      </w:r>
      <w:r>
        <w:rPr>
          <w:rFonts w:ascii="Times New Roman" w:cs="Times New Roman" w:eastAsia="Times New Roman" w:hAnsi="Times New Roman"/>
          <w:sz w:val="18"/>
          <w:szCs w:val="18"/>
          <w:color w:val="auto"/>
        </w:rPr>
        <w:t>b</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identified PKMYT1 as a critical SL target for patients with CCNE1 amplification through our SNIPRx screening campaign and selected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PKMYT1 as a target for our lead product candidate, lunresertib, based on:</w:t>
      </w:r>
    </w:p>
    <w:p>
      <w:pPr>
        <w:spacing w:after="0" w:line="99" w:lineRule="exact"/>
        <w:rPr>
          <w:sz w:val="20"/>
          <w:szCs w:val="20"/>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validation for PKMYT1;</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potent and selective PKMYT1 inhibitors; and</w:t>
      </w:r>
    </w:p>
    <w:p>
      <w:pPr>
        <w:spacing w:after="0" w:line="123" w:lineRule="exact"/>
        <w:rPr>
          <w:rFonts w:ascii="Times New Roman" w:cs="Times New Roman" w:eastAsia="Times New Roman" w:hAnsi="Times New Roman"/>
          <w:sz w:val="18"/>
          <w:szCs w:val="18"/>
          <w:color w:val="auto"/>
        </w:rPr>
      </w:pPr>
    </w:p>
    <w:p>
      <w:pPr>
        <w:ind w:left="1540" w:hanging="514"/>
        <w:spacing w:after="0" w:line="233"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which identified at least two additional genomic alterations beyond CCNE1 amplification to be SL with PKMYT1 inhibitor facilitating the expansion of the addressable patient populations.</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designed lunresertib as an oral small molecule PKMYT1 inhibitor with significant potency and an encouraging selectivity profile as a first in class compound. Lunresertib has demonstrated a favorable pharmacokinetic profile in multiple preclinical models, including rodent and canine, and a distribution, metabolism and excretion profile that suggests a low potential for drug-drug interactions in the clinic. The clinical trial of lunresertib in patients with recurrent cancers is ongoing.</w:t>
      </w:r>
    </w:p>
    <w:p>
      <w:pPr>
        <w:spacing w:after="0" w:line="187"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have generated proprietary patient selection insights that we believe provide the rationale to expand the potential patient populations addressable by lunresertib beyond patients with tumors carrying CCNE1 amplification. We have specifically identified FBXW7 and PPP2R1A genomic alterations, in addition to CCNE1 amplification, that confer sensitivity to lunresertib. This set of genes addresses approximately 90,000 patients, including approximately 65,000 among top tumors, such as approximately 29% of uterine cancer and 13% of colorectal cancer and other high unmet need tumors within select markets, as presented in the graph below.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5349240" cy="2005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proposed alterations specific to lunresertib tumors are easily identifiable in commercially available Next Generation Sequencing cancer panels or CLIA-validated panels used in large academic centers. For our Phase 1/2 clinical trial, we identified and partnered with multiple large, leading clinical centers globally where tumor sequencing is a component of standard of care. These centers’ panels are validated and sufficiently large to accommodate screening for alterations in FBXW7 and CCNE1 or our other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-identified genes. By working in collaboration with our clinical partners to access their existing patient databases, we are able to efficiently identify patients who may be eligible for our clinical trial.</w:t>
      </w:r>
    </w:p>
    <w:p>
      <w:pPr>
        <w:spacing w:after="0" w:line="19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prevalence of lunresertib relevant genomic alterations across various solid tumors, as shown in the graph above, we believe that lunresertib has the potential to benefit a significant number of patients representing a large unmet medical need.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Monotherapy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observed that lunresertib has a favorable tolerability and PK profile preclinically which we believe supported advancement of the product candidate into clinical trials. We tested lunresertib as a single agent in two preclinical cell line derived models of cancer selected to represent our target patient populations by having amplification of CCNE1. The HCC1569 breast cancer model and the OVCAR3 ovarian cancer model with CCNE1 copy numbers of 34-fold and 14-fold above ploidy, respectively. In the HCC1569 breast cancer xenograft model, lunresertib was orally administered at doses of 2.5, 7.5 or 20 mg/kg twice daily (BID) for 28 days. Lunresertib produced a dose-dependent reduction in tumor growth reaching a statistically significant difference at all doses and a maximum effect of 77%. In the 20 mg/kg group, mice exhibited body weight loss of 3.2% at the end of study. In the OVCAR3 ovarian cancer xenograft model, lunresertib was orally administered at doses of 2.5, 7.5 or 20 mg/kg twice daily (BID) for 28 days. Lunresertib produced a dose-dependent reduction in tumor growth reaching a statistically significant difference at all doses and a maximum effect of 82%. In the 20 mg/kg group, mice exhibited body weight loss of 6.9% at the end of study.</w:t>
      </w:r>
    </w:p>
    <w:p>
      <w:pPr>
        <w:spacing w:after="0" w:line="188" w:lineRule="exact"/>
        <w:rPr>
          <w:sz w:val="20"/>
          <w:szCs w:val="20"/>
          <w:color w:val="auto"/>
        </w:rPr>
      </w:pPr>
    </w:p>
    <w:p>
      <w:pPr>
        <w:jc w:val="both"/>
        <w:ind w:firstLine="561"/>
        <w:spacing w:after="0" w:line="266" w:lineRule="auto"/>
        <w:rPr>
          <w:sz w:val="20"/>
          <w:szCs w:val="20"/>
          <w:color w:val="auto"/>
        </w:rPr>
      </w:pPr>
      <w:r>
        <w:rPr>
          <w:rFonts w:ascii="Times New Roman" w:cs="Times New Roman" w:eastAsia="Times New Roman" w:hAnsi="Times New Roman"/>
          <w:sz w:val="18"/>
          <w:szCs w:val="18"/>
          <w:color w:val="auto"/>
        </w:rPr>
        <w:t>In preclinical studies, lunresertib demonstrated in vivo anti-tumor activity in two cell line derived xenograft models with CCNE1 amplification. In both models, we observed statistically significant dose-dependent tumor growth suppression across a range of doses from 2.5 to 20 mg/kg BID (twice-daily administration for lunresertib).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Lunresertib Demonstrates Tumor Growth Suppression in CCNE1-Amplified Cell Line 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88265</wp:posOffset>
            </wp:positionV>
            <wp:extent cx="4431665" cy="2057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316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Combination Therapies with Lunresertib</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Chemotherapeutic drugs have diverse mechanisms of action, and some target DNA replication and induce DNA replication stress. During the S-phase of the cell cycle, DNA is replicated to create DNA for two daughter cells following cell division. S-phase disrupting drugs increase dependence on cell cycle checkpoints. Combining this S-phase vulnerability with lunresertib, which forces S-phase replicating cells into premature mitosis, is expected to be catastrophic to tumor cells.</w:t>
      </w:r>
    </w:p>
    <w:p>
      <w:pPr>
        <w:spacing w:after="0" w:line="18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Gemcitabine prolongs the S-phase by both interfering with DNA polymerase and disrupting the supply of nucleotides. Clinically, gemcitabine has been used as a single agent or in combination with carboplatin, cisplatin, or paclitaxel for the treatment of pancreatic, ovarian, breast, bladder, testicular, and non-small cell lung cancer. Recent studies have tested gemcitabine in combination with DNA damage repair inhibitors (PARP and ATR inhibitors), as well as cell cycle inhibitors (WEE1, CDK4/6, and Chk1 inhibitors) across a spectrum of relapsed or refractory advanced solid tumors. Attempts to combine gemcitabine with inhibitors of these checkpoints have struggled with toxicity, impacting proliferating tumor and normal tissue with similar effect. In a setting of CCNE1, FBXW7, PPP2R1A, and potentially other lunresertib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genetic alterations, it is expected that gemcitabine will exacerbate the replication stress environment where PKMYT1 is essential for survival and provide synthetic lethal synergy with enhanced benefit and therapeutic index.</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rationale behind combining lunresertib and FOLFIRI in CCNE1-amplified or FBXW7-mutated tumors is similar to that of gemcitabine. The two main agents found in FOLFIRI are irinotecan (metabolized in tissues to SN-38) and fluorouracil, both of which act specifically in S-phase. SN-38 acts on the topoisomerase I-DNA complex and prevents re-ligation of the DNA strand, resulting in double-strand DNA breaks and cell death. Fluorouracil acts as a thymidylate synthase inhibitor which blocks synthesis of the pyrimidine thymidine, required for DNA replication. Combining this chemotherapy-induced S-phase vulnerability with lunresertib, which forces S-phase replicating cells into premature mitosis, is expected to be catastrophic to tumor cells.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combination of lunresertib and gemcitabine was evaluated in CCNE1 amplified model of ovarian cancer (OVCAR3) on a continuous BID dosing of lunresertib at 10mg/kg and gemcitabine at 20mg/kg once weekly. The combination resulted in complete tumor regression that was significantly better than either agent alone with minimal impact on body weight loss (6.8% for the combination at the end of dosing).</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Lunresertib + Gemcitabine Drives Regression and No Serious Toxicity in CCNE1-Amplified Cell Line Derived Xenograft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5349240" cy="2040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combination of lunresertib and irinotecan was evaluated in CCNE1-amplified model of breast cancer (HCC1569) on a continuous BID dosing of lunresertib at 5 mg/kg and irinotecan at 30 mg/kg three times a week. The combination resulted in tumor regression that was significantly better than either agent alone with minimal impact on weight loss (1.5% for the combination at the end of dosing).</w:t>
      </w:r>
    </w:p>
    <w:p>
      <w:pPr>
        <w:spacing w:after="0" w:line="1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Lunresertib + Irinotecan Drives Regression and is Well Tolerated in CCNE1-Amplified Cell Line Derived Xenograft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5349240" cy="2254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combination of low dose lunresertib and camonsertib was evaluated in a pair of isogenic models of colorectal cancer having normal FBXW7 or FBXW7 loss-of-function. Lunresertib was administered at 5mg/kg BID and camonsertib was administered at 10mg/kg QD three times a week. Neither compound alone nor the combination substantially impacted tumor growth of FBXW7-normal tumors. In contrast, a low dose of lunresertib in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camonsertib resulted in profound regression of FBXW7 loss-of-function tumors with 3 of 8 mice tumor free on day 22. The combination was well tolerated with a &lt; 8% maximal mean body weight loss.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Lunresertib + Camonsertib Selectively Drives Regression and is Well Tolerated in a FBXW7 Loss-of-Function Cell Line Derived Xenograft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301625</wp:posOffset>
            </wp:positionV>
            <wp:extent cx="4980305" cy="2202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8030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Validation of STEP</w:t>
      </w:r>
      <w:r>
        <w:rPr>
          <w:rFonts w:ascii="Times New Roman" w:cs="Times New Roman" w:eastAsia="Times New Roman" w:hAnsi="Times New Roman"/>
          <w:sz w:val="24"/>
          <w:szCs w:val="24"/>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Screens</w:t>
      </w:r>
    </w:p>
    <w:p>
      <w:pPr>
        <w:spacing w:after="0" w:line="6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To identify additional genetic lesions which might have a synthetic lethal relationship with PKMYT1, several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were conducted. These genome wide CRISPR screens were conducted with sub-cytotoxic concentrations of PKMYT1 inhibitor and identified FBXW7 and several additional genetic alterations. FBXW7 is known to be mutated in colorectal cancers and NSCLC, among others. FBXW7 is an E3-ubiquitin ligase that targets Cyclin E1 (as well as other oncogenes) for degradation by the proteosome and has been shown to be a tumor suppressor gene. Therefore, there exists a strong mechanistic rationale for synthetic lethality with PKMYT1, and they represent a significant opportunity to expand the clinical utility of lunresertib.</w:t>
      </w:r>
    </w:p>
    <w:p>
      <w:pPr>
        <w:spacing w:after="0" w:line="91"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In preclinical studies, lunresertib demonstrated in vivo anti-tumor activity in two patient derived xenograft models with FBXW7 inactivating mutations. In both models, we observed statistically significant tumor growth suppression with twice daily administration for lunresertib.</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Lunresertib Demonstrates Tumor Growth Suppression of FBXW7-Mutated Patient 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88265</wp:posOffset>
            </wp:positionV>
            <wp:extent cx="5349240" cy="1697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Lunresertib Clinical Trial Program</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Design of Trials</w:t>
      </w:r>
    </w:p>
    <w:p>
      <w:pPr>
        <w:spacing w:after="0" w:line="11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April 2021, we initiated our open-label Phase 1 MYTHIC clinical trial of lunresertib as a monotherapy. MYTHIC is a first-in-human, global, open-label Phase 1 dose-escalation clinical trial to evaluate safety, pharmacokinetics, pharmacodynamics and preliminary anti-tumor activity of lunresertib as a monotherapy (Module 1) or in combination with camonsertib (Module 2) in patients with advanced solid tumors harboring CCNE1 amplification or FBXW7 or PPP2R1A deleterious alterations. The trial is designed to evaluate the oral administration of lunresertib in patients with advanced recurrent tumors of different histologies in tumors with detected CCNE1 amplification, deleterious alterations in FBXW7, PPP2R1A and other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genes, for which recent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suggested a higher confidence of success. The primary objective of Module 1 was to establish dose and schedule for lunresertib for further studies as monotherapy and assess preliminary safety and tolerability in patients.</w:t>
      </w:r>
    </w:p>
    <w:p>
      <w:pPr>
        <w:spacing w:after="0" w:line="19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clinical plan beyond the dose escalation and initial explorations of dose and safety is presented below. In parallel with the monotherapy dose escalation phase, two other trials were initiated in February 2022 and December 2021, which we refer to as the MINOTAUR and MAGNETIC trials, to evaluate lunresertib in combination with FOLFIRI and gemcitabine, respectively. In May 2022, we initiated patient recruitment in a new arm of the Phase 1 MYTHIC clinical trial, which is designed to evaluate the safety and tolerability of lunresertib in combination with camonsertib in patients with advanced solid tumors. In the fourth quarter of 2022, we received fast track designation for lunresertib in combination with gemcitabine for the treatment of adult patients with CCNE1 amplified, or FBXW7 or PPP2R1A mutated platinum resistant ovarian cancer and in the third quarter of 2023, we received fast track designation for lunresertib in combination with camonsertib for the treatment of adult patients with CCNE1 amplified, or FBXW7 or PPP2R1A mutated endometrial cancer. We presented positive initial Phase 1 data from our ongoing Phase 1 MYTHIC trial demonstrating proof of concept for lunresertib alone and in combination with camonsertib, including at the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AACR-NCI-EORTC International Conference in October 2023. In January 2024, we announced our sponsorship of a global study executed as a new arm in the ongoing MYTHIC trial combining lunresertib with Debiopharm’s Debio 0123, a highly selective clinical WEE1 inhibitor. Dosing of the first patient with the synergistic lunresertib and Debio 0123 combination is expected to occur in the first half of 2024. We expect to provide MYTHIC data from selected expansion cohorts of the lunresertib and camonsertib combination in the second half of 2024.</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collaborating with the Canadian Cancer Trials Group in an ongoing basket Phase 2 investigator-sponsored clinical trial (IST) that is enrolling patients with selected, advanced cancers receiving lunresertib as combination (NCT05605509). A sub-study to that protocol that will evaluate lunresertib in combination with gemcitabine in patients with CDK4/6 inhibitor treated ER+/HER2- metastatic breast cancer (NCT05601440) was activated more recently and is also enrolling patients. We are also collaborating with University Health Network, Toronto on a Phase 1 IST of luneresertib in combination with carboplatin and paclitaxel in TP53 ovarian and uterine cancer (NCT06107868) that is expected to be activated shortly.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designs of our Phase 1 clinical trials and ISTs are summarized in the diagram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911860</wp:posOffset>
            </wp:positionV>
            <wp:extent cx="5349240" cy="2588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Monotherapy Data from Phase 1 MYTHIC Trial Module 1 Presented at June 2023 Conference Call:</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2023, we reported clinical proof of concept for lunresertib, as well as early insights from the ongoing combination trials. Findings from the initial monotherapy data from the Phase 1 MYTHIC clinical trial demonstrated a favorable and distinctive tolerability profile for lunresertib monotherapy, which included 63 enrolled patients as of the April 28, 2023 data cutoff. Monotherapy antitumor activity was observed, including a confirmed partial response and several patients with long stable disease. We identified both intermittent and continuous schedules to enable combination studies. We observed encouraging early responses across gemcitabine, camonsertib and FOLFIRI clinical combinations.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tolerability profile of lunresertib monotherapy appeared favorable and differentiated from other clinical cell cycle inhibitors, which have been characterized with myelotoxicity and diarrhea (Meric-Bernstam, AACR 2022; Fu, </w:t>
      </w:r>
      <w:r>
        <w:rPr>
          <w:rFonts w:ascii="Times New Roman" w:cs="Times New Roman" w:eastAsia="Times New Roman" w:hAnsi="Times New Roman"/>
          <w:sz w:val="18"/>
          <w:szCs w:val="18"/>
          <w:i w:val="1"/>
          <w:iCs w:val="1"/>
          <w:color w:val="auto"/>
        </w:rPr>
        <w:t>JCO</w:t>
      </w:r>
      <w:r>
        <w:rPr>
          <w:rFonts w:ascii="Times New Roman" w:cs="Times New Roman" w:eastAsia="Times New Roman" w:hAnsi="Times New Roman"/>
          <w:sz w:val="18"/>
          <w:szCs w:val="18"/>
          <w:color w:val="auto"/>
        </w:rPr>
        <w:t xml:space="preserve"> 2023; Takebe, </w:t>
      </w:r>
      <w:r>
        <w:rPr>
          <w:rFonts w:ascii="Times New Roman" w:cs="Times New Roman" w:eastAsia="Times New Roman" w:hAnsi="Times New Roman"/>
          <w:sz w:val="18"/>
          <w:szCs w:val="18"/>
          <w:i w:val="1"/>
          <w:iCs w:val="1"/>
          <w:color w:val="auto"/>
        </w:rPr>
        <w:t>Clin Cancer Res</w:t>
      </w:r>
      <w:r>
        <w:rPr>
          <w:rFonts w:ascii="Times New Roman" w:cs="Times New Roman" w:eastAsia="Times New Roman" w:hAnsi="Times New Roman"/>
          <w:sz w:val="18"/>
          <w:szCs w:val="18"/>
          <w:color w:val="auto"/>
        </w:rPr>
        <w:t xml:space="preserve"> 2021). No grade 4 toxicity was observed with lunresertib, where grade 3 treatment emergent adverse events of interest included rash in 7.9%, anemia in 6.3%, and nausea or vomiting in 1.6% of patients. The only dose limiting toxicity was reversible rash, alleviated with dose modifications and simple supportive measures. Two recommended dose/schedules were identified – 240mg daily continuously and 80-100mg BID intermittent weekly – to offer maximum flexibility in combination studies. Pharmacodynamic analysis confirmed lunresertib treatment results in PKMYT1 target inhibition at active doses, based on a 50% reduction of phosphorylated CDK1 on Threonine 14, and increases in DNA damage, based on a two-fold increase in the widely-accepted biomarker, γH2AX. Preliminary anti-tumor activity was observed, including moderate tumor shrinkages and a confirmed partial response per RECIST 1.1 criteria, with maximum tumor burden decreased of 41% in a 73 year old patient with metastatic recurrent uterine carcinosarcoma who had received 3 prior lines of therapy. Several patients demonstrated long stable disease and remained on treatment for greater than 11 months and ongoing.</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Initial Combination Data from Phase 1 MYTHIC Trial Presented at 35</w:t>
      </w:r>
      <w:r>
        <w:rPr>
          <w:rFonts w:ascii="Times New Roman" w:cs="Times New Roman" w:eastAsia="Times New Roman" w:hAnsi="Times New Roman"/>
          <w:sz w:val="24"/>
          <w:szCs w:val="24"/>
          <w:i w:val="1"/>
          <w:iCs w:val="1"/>
          <w:u w:val="single" w:color="auto"/>
          <w:color w:val="auto"/>
          <w:vertAlign w:val="superscript"/>
        </w:rPr>
        <w:t>th</w:t>
      </w:r>
      <w:r>
        <w:rPr>
          <w:rFonts w:ascii="Times New Roman" w:cs="Times New Roman" w:eastAsia="Times New Roman" w:hAnsi="Times New Roman"/>
          <w:sz w:val="18"/>
          <w:szCs w:val="18"/>
          <w:i w:val="1"/>
          <w:iCs w:val="1"/>
          <w:u w:val="single" w:color="auto"/>
          <w:color w:val="auto"/>
        </w:rPr>
        <w:t xml:space="preserve"> AACR-NCI-EORTC International Conference on Molecular Targets and</w:t>
      </w: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Cancer Therapeutics in October 2023:</w:t>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 plenary session titled, “New Drugs on the Horizon” at the AACR-NCI-EORTC International Conference on Molecular Targets and Cancer Therapeutics in October 2023, we reported positive initial data from Modules 1 and 2 of the ongoing Phase 1 MYTHIC clinical trial evaluating lunresertib alone and in combination with camonsertib. The study achieved clinical proof of concept. As of September 5, 2023, the cutoff date for the data presented at the AACR-NCI-EORTC conference, 67 patients were enrolled in Module 1 and 59 patients in Module 2. The lunresertib and camonsertib combination demonstrated clear signals of anti-tumor activity across multiple tumor types and all selected genotypes. The protocol-defined overall response (OR; RECIST or GCIG CA-125 responses) was 33.3%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18 patients. The CBR at the combination preliminary RP2D, defined as overall response or stable disease of at least 16 weeks without tumor progression, was 50.0%. In all 55 evaluable patients, across all doses, OR was 23.6% and CBR was 41.8%. In 10 evaluable patients with gynecologic tumors at the combination preliminary RP2D, the RECIST response was 50%, OR 60%, and CBR 70%. Patients in this cohort had a median of 3 and up to 9 prior lines of therapy. RECIST responses in this ongoing combination trial included 8 confirmed and 3 unconfirmed partial responses (PR). Additionally, 3 patients with ovarian tumors had cancer antigen 125 (CA-125) responses. RECIST responses and clinical benefit with combination therapy was seen across all three lunresertib-sensitizing alterations: CCNE1 amplification or FBXW7 or PPP2R1A deleterious alterations. The MRR was significantly higher in combination compared to monotherapy (p=0.003), providing further evidence of enhanced anti-tumor activity – observed MRR in combination therapy was 50% (n=24), compared to 10% (n=30) with lunresertib monotherapy.</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Encouraging and manageable safety and tolerability were observed for the combination therapy (n=59). The recommended Phase 2 dose was proposed as 80mg twice daily of lunresertib and 80mg camonsertib, both given 3 days a week. The most common treatment-related adverse event (TRAE) was anemia, with grade 3 occurring in 42% of patients. The occurrence of anemia was highly correlated with the baseline degree of anemia in these heavily pretreated patients and the level of pretreatment, with more significant anemia occurring in those with 4 or more prior therapies and with advanced age. Anemia usually improved with a one-week treatment interruption and standard supportive care, and did not lead to any therapy discontinuations at the preliminary RP2D. At the proposed RP2D, there were no Grade 4 or Grade 5 TRAEs reported. Data indicates that anemia management can be individualized and alleviated with simple schedule modification based on patient monitoring. This approach is now being tested in the MYTHIC trial.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Camonsertib, Also Known as RP-3500, an Oral ATR Inhibitor</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initial clinical-stage product candidate, camonsertib, is a potent and selective oral small molecule inhibitor of ATR that we are developing for the treatment of tumors with mutations in ATM and a network of other genomic alterations that we discovered to be SL with ATR. ATR is a critical DNA damage response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we believe that we have more precisely identified and expanded the patient populations that would benefit from camonsertib, which allows us to differentiate and enrich our clinical development strategy as well as address multiple types of solid tumors.</w:t>
      </w:r>
    </w:p>
    <w:p>
      <w:pPr>
        <w:spacing w:after="0" w:line="19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Camonsertib has demonstrated an optimized anti-tumor effect, selectivity, and pharmacokinetics profile in preclinical studies that we believe supports the potential for it to be a leading ATR inhibitor, if approved. We also conducted multiple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in which we confirmed the SL relationship between ATR and ATM and identified an additional 19 genes that are also SL with ATR, potentially expanding the patient populations that may benefit from our product candidate. In July 2020, we began dosing in our open-label Phase 1/2 clinical trial of camonsertib in patients with advanced tumors that have alterations in the ATM gene or a subset of 16 additional genetic alterations identified through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We believe the design of our trial allows us to enrich the patient population in our trials with those who are most likely to respond to camonsertib. In parallel with the monotherapy dose-escalation portion of the trial, in February 2021 we initiated patient recruitment of the combination therapy arm to evaluate the safety and efficacy of camonsertib in combination with a PARP inhibitor, talazoparib in the same patient subgroups. In August 2021, we initiated patient recruitment in our open-label Phase 1b/2 ATTACC trial of camonsertib in combination with niraparib and olaparib, two additional PARP inhibitors. In October 2021, we presented initial Phase 1 monotherapy clinical data from our open-label Phase 1/2 TRESR trial in patients with solid tumors at the AACR-NCI-EORTC International Conference on Molecular Targets and Cancer Therapeutics. The presentation included the recommended Phase 2 dose and schedule choice and confirmed camonsertib activity in tumors with alterations hypothesized by our SNIPRx platform.</w:t>
      </w:r>
    </w:p>
    <w:p>
      <w:pPr>
        <w:spacing w:after="0" w:line="20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April 2022, we presented comprehensive Phase 1 monotherapy clinical data from the TRESR Phase 1/2 trial, reflecting analysis of 120 patients, of which 99 patients were evaluable for efficacy as of the data cutoff date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February 14, 2022 (excluding one patient evaluated as of March 22, 2022). The study included 95 patients who received therapeutically active doses or at the recommended Phase 2 dose schedule of 3 days on / 4 days off, and reflecting the data cutoff of mid-February 2022. Monotherapy with camonsertib continued to appear safe and well tolerated. Anemia was the most common treatment-related adverse event and easily manageable. Only 24.2% of all patients in the 3 days on / 4 days off schedule experienced Grade 3 anemia, and none experienced Grade 4 anemia. Camonsertib monotherapy resulted in durable clinical benefit across tumor types and genomic alterations, with enriched benefit demonstrated in specific patient subsets. These updated monotherapy results showed a 43% clinical benefit rate (CBR), which was defined as response or treatment duration of at least 16 weeks without progression, an overall response rate of 14%, and a median progression free survival (mPFS) of 15 weeks in solid tumors across genotypes, with potential best-in-class safety and tolerability. The overall CBR in patients after PARP inhibitor failure was 47%. We observed camonsertib demonstrated robust activity in patients with ovarian cancer (n=20), demonstrating 75% CBR after dosing with camonsertib, an overall response rate of 25%, and a mPFS of 35 weeks. The ovarian cancer patient population was heavily pretreated and comprised a hard to treat population: of which 90% had previous treatment with PARP inhibitors and 85% were platinum resistant. The responders included one complete response, three partial responses as determined by RECIST 1.1 criteria, and one durable and ongoing CA- 125 response in a patient with stable disease. The TRESR study comprises the largest set of tumors with detailed genomic analysis evaluated with ATR inhibitor (ATRi) monotherapy. Genomic subsets of tumors beyond ATM included tumors harboring alterations in ATR-sensitizing genes, with responses observed in tumors harboring BRCA1/2, SETD2 and RAD51C alterations. In patients with BRCA1/2 mutated tumors (n = 37), response rate was 14% and included two patients with ovarian cancer, and one each with breast cancer, head and neck squamous cell carcinoma, and melanoma. In patients with tumors carrying BRCA1 mutations, the CBR was 48%. In patients with tumors with ATM loss-of-function (LOF) (n = 34), response rate was 9% including one RECIST 1.1 confirmed/unconfirmed response, and two prostate specific antigen responses. An additional patient with pancreatic cancer and ATM LOF had a late response, just after the data cutoff after 54 weeks of treatment. The CBR in the patients with ATM LOF was 44% and mPFS was 17 weeks. Sequencing data demonstrated biallelic gene LOF, an emerging biomarker for synthetic lethal therapies, could potentially be leveraged to further enrich for patients most likely to benefit from camonsertib. CBR in patients with biallelic LOF was significantly higher (47%) compared to the CBR in patients with non-biallelic tumors (15%).</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June 2022, we announced a worldwide license and collaboration agreement with Roche for the development and commercialization of camonsertib for the treatment of tumors with specific synthetic-lethal genomic alterations. Under the terms of the collaboration, Roche assumed all subsequent development of camonsertib with the potential to expand development into additional tumor indications and multiple combination studies. Under the terms of the agreement, we received an initial $125 million upfront payment in July 2022. In January 2024, we earned a $40 million milestone upon dosing of the first patient in the camonsertib-based arm of the Roche TAPISTRY trial, which was subsequently received in February 2024. Roche has been conducting the TAPISTRY and MORPHEUS LUNG clinical trials. TAPISTRY is a Phase 2, global, multicenter, open-label, multi-cohort clinical trial designed to evaluate the safety and efficacy of targeted therapies or immunotherapy in participants with unresectable, locally advanced or metastatic solid tumors determined to harbor specific oncogenic genomic alterations. MORPHEUS LUNG is a Phase 1b/2 clinical trial of multiple immunotherapy-based treatment combinations in participants with metastatic non-small cell lung cancer. Since inception of the Roche camonsertib collaboration, we have earned a cumulative total of $182.6 million, including the upfront payment, the milestone payment, as well as additional reimbursements from Roche. On February 7, 2024, we received written notice from Roche of their election to terminate the Roche camonsertib collaboration. The termination will become effective in May 2024, at which time we will regain global development and commercialization rights for camonsertib from Roche.</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 Clinical Trials Plenary Session at the 2023 AACR Annual Meeting, we presented initial clinical data from the Phase 1/2 TRESR and ATTACC clinical trials evaluating camonsertib in combination with three PARP inhibitors - talazoparib, niraparib, and olaparib. The presentation included initial data from the ongoing Phase 1/2 TRESR clinical trial evaluating camonsertib in combination with talazoparib and initial data from the ongoing Phase 1b/2 ATTACC clinical trial evaluating camonsertib in combination with niraparib or olaparib in patients with advanced solid tumors. The clinical trials included 107 patients, of which 90 patients were evaluable for efficacy and treated at least 13 weeks prior to the data cutoff of February 27, 2023. This trial population comprised patients with a broad range of historically difficult to treat tumors, including patients with platinum-resistant tumors, patients who had either recurred or progressed during or after treatment with PARP inhibitors, and patients who had developed known BRCA-reversion mutations. The camonsertib-PARP inhibitor combinations demonstrated durable 48% CBR in patients 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unmet medical needs, across tumor types and different genomic alterations, and regardless of PARPi partner or platinum resistance, with a favorable safety and tolerability profile. Patients with platinum-resistant tumors had an overall response rate (ORR) of 12% and CBR of 49%, and benefited similarly to non-platinum-resistant tumors (ORR 13%, CBR 46%). Combination results showed the most benefit in late-line ovarian cancer in 19 patients demonstrating 32% overall response, 58% CBR and mPFS of approximately seven months, with treatment greater than 16 weeks and ongoing in nine patients. Early ctDNA molecular responses observed in 66% of evaluable patients (31/47) confirmed the antitumor activity of low dose intermittent PARP inhibitor and camonsertib therapy. Further, the ctDNA data showed a strong correlation with the degree of tumor shrinkage and duration of disease control, and provided a mechanistic explanation for the observed durable clinical benefit in heavily pretreated patients, beyond the natural history of the disease. The molecular response rate (MRR) was significantly higher in patients with clinical benefit (83%) compared to those without (48%; p=0.015), confirming treatment effect. Molecular responses were observed in patients with prior PARPi exposure (57%) and platinum resistance (64%). The camonsertib-PARP inhibitor combinations appeared to be well tolerated. Dose limiting toxicity (DLTs) in 68 patients were related to myelotoxicity only, including Grade 3 or higher anemia of 3%, thrombocytopenia of 6%, neutropenia of 7%, and febrile neutropenia of 3%. No prophylactic growth factors were required when administering the PARP inhibitors at evaluated doses.</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TRESR and ATTACC clinical trials have completed enrollment. FDA endorsed the camonsertib monotherapy recommended dose. Our proposals for drug dose optimization are in line with the principles of FDA's Project Optimus. We are finalizing the camonsertib and PARP inhibitors combination data analysis.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ATR is a protein kinase that acts at multiple levels of the DDR network. It is activated when problems with ongoing DNA replication are identified, a phenomenon known as DNA replication stress. It uses its kinase activity to stabilize the DNA replication machinery locally and to suppress the initiation of DNA replication globally. As a consequence, ATR prevents the formation of DNA damage when DNA replication is stressed. In addition to these roles, ATR also restrains cell cycle progression when it is activated, a phenomenon known as the DNA damage checkpoint. ATR is one member of an extensive network of proteins that serve to recognize early stages of DNA damage, prevent replication from proceeding through these damaged sites and repair the damage. Cancer cells with alterations in genes encoding this network of DDR proteins are highly dependent on ATR for survival. ATR’s central role in the regulation of replication stress has led to the development of multiple ATR inhibitors that have demonstrated durable responses in early clinical trials.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ATR Partner Genes and Proposed Synthetic Lethality Pairs</w:t>
      </w:r>
    </w:p>
    <w:p>
      <w:pPr>
        <w:spacing w:after="0" w:line="12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ATM is a DDR protein related to ATR that is responsible for sensing and signaling DNA double-strand breaks. Our ATR inhibitor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 campaigns confirmed that ATM-deficient cells rely on ATR activity for survival. ATM orchestrates the response to double-strand break repair and thus, ATM-deficient tumors have an impaired response to DNA breaks. SL screens conducted in our laboratories have identified that at least 16 additional genes are SL with ATR inhibition, making cancer cells that are deficient in those genes highly sensitive to killing by ATR inhibitors. An overview of the ATM-ATR SL relationship, as one of the examples of the sensitivity genes, is illustrated below.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Mechanism of ATM-ATR Synthetic Lethality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242570</wp:posOffset>
            </wp:positionV>
            <wp:extent cx="3257550" cy="4954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gene encoding for ATM is frequently mutated in cancer. An analysis of sequence data collected as part of The Cancer Genome Atlas (TCGA) found that between 1% and 4% of solid tumors, such as breast, bladder, pancreatic and lung cancers, have deficiencies in ATM, as depicted in the graphs below. Beyond ATM, 16 of 19 additional, mutually exclusive genomic alterations identified as SL with camonsertib, with average prevalence of approximately 10% across multiple tumors, were eligible for recruitment into clinical trials.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1134745</wp:posOffset>
            </wp:positionV>
            <wp:extent cx="5349240" cy="1800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Validation of ATR Inhibitors in ATM-Deficient Tumors and in Other Genetic Backgrounds Hypothesized to Sensitize Tumors to ATRi</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Early phase studies evaluating third party ATR inhibitors as a monotherapy support the rationale for prospective patient selection for tumors carrying genomic alterations hypothesized to sensitize tumors ATR inhibition. A Phase 1 of Bayer’s ATR inhibitor suggested antitumor activity in solid tumors with certain DDR defects, including ATM loss (Yap, Cancer Discovery 2020). The subsequent dose expansion cohort enrolled an additional 143 patients, prospectively selected for presence of DDR gene defects. While the overall response rate was low (4%), durable responses were observed in tumors with ATM or BRCA mutations (Yap, AACR 2022). In addition, out of a cohort of 17 patients receiving EMD’s ATR inhibitor, the single responder was a patient with metastatic colorectal cancer with loss of ATM (Yap, JCO 2020).</w:t>
      </w:r>
    </w:p>
    <w:p>
      <w:pPr>
        <w:spacing w:after="0" w:line="200" w:lineRule="exact"/>
        <w:rPr>
          <w:sz w:val="20"/>
          <w:szCs w:val="20"/>
          <w:color w:val="auto"/>
        </w:rPr>
      </w:pPr>
    </w:p>
    <w:p>
      <w:pPr>
        <w:spacing w:after="0" w:line="20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Phase 1/2 TRESR study, which has completed enrollment in all modules, prospectively selected for patients with tumors carrying DNA damage repair loss-of-function mutations predicted to sensitize to camonsertib. Following our first clinical data release at the AACR-ASCO-NCI meeting in October 2021, we presented comprehensive Phase 1 monotherapy data from this study at the AACR annual conference in April 2022. Camonsertib monotherapy resulted in durable responses across tumor types and genomic alterations, including ATM, BRCA1, BRCA2, RAD51C, CDK12, and SETD2. Antitumor activity was validated by molecular responses in 41% of evaluable patients.</w:t>
      </w:r>
    </w:p>
    <w:p>
      <w:pPr>
        <w:spacing w:after="0" w:line="39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June 2023, we published initial data from the Phase 1/2 TRESR clinical trial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highlighting the clinical benefit of camonsertib in advanced solid tumors. We demonstrated not only single agent activity of camonsertib, but also the importance of enhanced precision medicine approaches, such as the identification of bi-allelic alterations affecting the target DNA repair genes and other biomarkers, as well as the use of longitudinal liquid biopsies to guide its delivery to the right patients. This study provided a framework for the testing of novel therapeutic approaches based on the principles of synthetic lethality and informed by genome-wide CRISPR screens. Multiple follow up publications and presentations, based on the data from TRESR study, were published or presented and further learnings are being prepared for potential publication.</w:t>
      </w:r>
    </w:p>
    <w:p>
      <w:pPr>
        <w:spacing w:after="0" w:line="1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 Clinical Trials Plenary Session at the 2023 AACR Annual Meeting, we presented initial clinical data from the Phase 1/2 TRESR and ATTACC clinical trials evaluating camonsertib in combination with three PARP inhibitors - talazoparib, niraparib, and olaparib. Of the 90 evaluable patients with difficult to treat tumors, including patients with platinum-resistant tumors, patients who had either recurred or progressed during or after treatment with PARP inhibitors, and patients who had developed known BRCA-reversion mutations, we observed durable 48% CBR in patients with unmet medical needs, across tumor types and different genomic alterations, and regardless of PARPi partner or platinum resistance, with a favorable safety and tolerability profile. The combination results showed the most benefit in late-line ovarian cancer in 19 patients demonstrating 32% overall response, 58% CBR and mPFS of approximately 7 months, with treatment greater than 16 weeks and ongoing in 9 patients. Early ctDNA molecular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responses observed in 66% of evaluable patients (31/47) confirmed the antitumor activity of low dose intermittent PARP inhibitor and camonsertib therapy.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Solution, Camonsertib</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identified ATR as one of the SL targets through our SNIPRx screen campaign of ATM and selected ATR as a target for our initial product candidate, camonsertib, based on:</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third party clinical and preclinical support for the potential of ATR inhibition as a precision oncology 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an ATR inhibitor with enhanced chemical properties, such as potency and selectivity; and</w:t>
      </w:r>
    </w:p>
    <w:p>
      <w:pPr>
        <w:spacing w:after="0" w:line="123"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which identified 19 additional genomic alterations beyond ATM deficiency to be SL with ATR, facilitating the expansion of the addressable patient populations.</w:t>
      </w:r>
    </w:p>
    <w:p>
      <w:pPr>
        <w:spacing w:after="0" w:line="1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designed camonsertib as an oral small molecule ATR inhibitor with increased potency and a similar or improved selectivity profile compared to other known ATR inhibitors. Camonsertib has demonstrated a favorable pharmacokinetic profile in multiple preclinical models, including rodent and canine, and a distribution, metabolism and excretion profile that suggests a low potential for drug-drug interactions in the clinic. The clinical trial of camonsertib in patients with recurrent cancers is ongoing.</w:t>
      </w:r>
    </w:p>
    <w:p>
      <w:pPr>
        <w:spacing w:after="0" w:line="187"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have generated proprietary patient selection insights that we believe provide the rationale to expand the potential patient populations addressable by camonsertib beyond patients with tumors carrying ATM genetic defects. We have identified 19 genomic alterations, in addition to ATM deficiency, that confer sensitivity to camonsertib. This 19 gene set, which we refer to as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-identified genes, includes several novel genes that have not been previously reported as rendering sensitivity to ATR inhibitors. In addition, many of the genes we have selected do not overlap with previously identified genes in the homologous recombination defect panel, which is utilized to identify patients for treatment with PARP inhibitors and is currently used by others to test for sensitivity to ATR inhibitors. Furthermore,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demonstrated that two genes previously reported by others to be sensitive to ATR inhibition were not sensitive and hence, those genes were excluded from our set of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-identified genes.</w:t>
      </w:r>
    </w:p>
    <w:p>
      <w:pPr>
        <w:spacing w:after="0" w:line="129"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8"/>
          <w:szCs w:val="18"/>
          <w:color w:val="auto"/>
        </w:rPr>
        <w:t>The sensitivity and accuracy of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enable the identification of several novel gene alterations, including certain genes that are not yet included in commercially available Next Generation Sequencing cancer panels or Clinical Laboratory Improvement Amendments, or CLIA, validated panels used in large academic centers. For our Phase 1/2 clinical trial, we identified and partnered with multiple large, leading clinical centers globally where tumor sequencing is a component of standard of care. These centers’ panels are validated and sufficiently large to accommodate screening for alterations in ATM or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-identified genes. These panels include the majority, and in the case of whole genome or whole exome sequencing, all of these genes. For genes that are not available on certain panels at a particular clinical site, we identified surrogate genes that are co-deleted with the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genes and have an approximate 30% to 80% probability of concomitant loss, which we believe has and will provide sufficient enrichment for our clinical trial. By working in collaboration with our clinical partners to access their existing patient databases, we believe that we will be able to efficiently identify existing and new patients who may be eligible for our clinical trial. Based on the prevalence of ATM deficiencies and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-identified genomic alterations across various solid tumors we believe that camonsertib has the potential to benefit a significant number of patients representing a large unmet medical need.</w:t>
      </w:r>
    </w:p>
    <w:p>
      <w:pPr>
        <w:spacing w:after="0" w:line="20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part of our development strategy for camonsertib, we are evaluating the potential anti-tumor activity of camonsertib in combination with an approved PARP inhibitor based on the synergies we have observed in our preclinical studies. PARP inhibitors lead to the stabilization of PARP-DNA complexes that block the progression of replication forks. ATR activity stabilizes the DNA replication forks that are destabilized by PARP inhibition and inhibition of ATR causes stalled replication forks to collapse and form cytotoxic DNA double-strand breaks. As a consequence, ATR inhibition can potentiate the cytotoxic effects of PARP inhibitors. We note that this phenomenon is particularly prominent under conditions where some cancer-relevant DDR genes, such as those identified through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are inactivated, thereby creating a potential therapeutic window.</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Monotherapy</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observed camonsertib to have a favorable tolerability and pharmacokinetics profile across multiple preclinical studies and animal models, which we believe supports advancing the product candidate into clinical trials. In a preclinical study, we evaluated continuous daily dosing of camonsertib in a colon cancer xenograft model with CW-2 cancer cells, which contain an inactivating mutation in ATM that confers sensitivity to ATR inhibition. In this study, we injected mice with tumor cells and waited for tumor growth to approximately 200 mm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before initiating daily dosing over a period of 14 days with vehicle, camonsertib at its maximum tolerated dose, or MTD, of 10 mg/kg/day, or Bayer’s ATR inhibitor product candidate, BAY1895344, at what we determined to be its MTD of 35 mg/kg/day (n=10 mice per group). Both camonsertib and BAY1895344 demonstrated statistically significant suppression of tumor growth as compared to vehicle. Importantly, we observed statistically significant higher suppression of tumor growth with camonsertib as compared to BAY1895344 (p=0.018). Body weight loss as a measurement of tolerability was similar for both compounds in this trial.</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Statistically Significant Tumor Growth Suppression in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242570</wp:posOffset>
            </wp:positionV>
            <wp:extent cx="5288915" cy="1680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8891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another preclinical study using an intermittent dosing schedule, we evaluated camonsertib in comparison to BAY1895344 in a Granta-519 mantle cell lymphoma xenograft model. Similar to CW-2 cancer cells, Granta-519 cancer cells also contain an inactivating mutation in ATM that confers sensitivity to ATR inhibition. In this study, we injected mice with tumor cells and waited for tumor growth to approximately 150 mm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before initiating intermittent dosing with vehicle or either treatment (n=9 mice per group). We observed that both camonsertib and BAY1895344 exhibited tolerability at higher doses when administered on a three days per week schedule than their respective MTDs from the daily dosing CW-2 colon cancer study. The MTDs utilizing this intermittent dosing schedule were determined to be 30 mg/kg daily for camonsertib and 50 mg/kg twice-daily for BAY1895344. Both agents demonstrated similar and significant suppression of tumor growth in this model without body weight loss. However, significant anemia, or hematocrit reduction, was observed in mice treated with BAY1895344 (p=0.0002), whereas we did not observe these tolerability issues with camonsertib, which we believe supports our hypothesis of a favorable tolerability profile for camonsertib.</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Camonsertib Exhibits Tumor Growth Suppression Without Significant Anemia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Measured as Hematocrit in Mantle 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228600</wp:posOffset>
            </wp:positionV>
            <wp:extent cx="5057775" cy="1739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5777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Combination Therapy with PARP</w:t>
      </w:r>
    </w:p>
    <w:p>
      <w:pPr>
        <w:spacing w:after="0" w:line="128"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18"/>
          <w:szCs w:val="18"/>
          <w:color w:val="auto"/>
        </w:rPr>
        <w:t>Of our 19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-identified genes for camonsertib as a monotherapy, we have identified a subset of genes that are particularly sensitive to the combination of camonsertib and PARP inhibitors. The graphs below illustrate two examples of this subset of genes where synergy was demonstrated between camonsertib and PARP inhibitors.</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Significant Synergy Demonstrated by Combination of Camonsertib and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5717540" cy="2837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75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Wild Type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Genomically altered</w:t>
      </w:r>
    </w:p>
    <w:p>
      <w:pPr>
        <w:spacing w:after="0" w:line="20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killing of cells carrying this subset of genomic alterations at low concentrations of both compounds, whereas only a minimal effect was seen on control wild-type cells. Based on this finding, we believe that the combination of camonsertib with lower doses of PARP inhibitors could lead to efficient anti-tumor activity while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potentially addressing the tolerability issues observed with PARP inhibitors, where a majority of patients in clinical trials of niraparib and talazoparib required a dose reduction or interruption in dosing. We are currently exploring the ATR-PARP inhibitor synergy in additional ongoing studies in xenograft models.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Combination Therapy with Gemcitabine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Gemcitabine is an antimetabolite chemotherapeutic agent that is commonly used in various solid tumors such as pancreatic, breast, ovarian, and non-small cell lung cancer. Gemcitabine is metabolized by the tumor cells and incorporated in their DNA, resulting in blockage of DNA polymerases and replication fork stalling. This gemcitabine-induced replication stress increases the tumor cells’ dependency on the ATR pathway and gemcitabine is therefore known to strongly enhance the cytotoxic effects of ATR inhibitors.</w:t>
      </w:r>
    </w:p>
    <w:p>
      <w:pPr>
        <w:spacing w:after="0" w:line="18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color w:val="auto"/>
        </w:rPr>
        <w:t>Our preclinical data demonstrate that gemcitabine shows strong synergy with camonsertib in ATM-deficient (ATM-KO) cells, whereas much higher doses are required to achieve the same degree of synergy in ATM-proficient (ATM-WT) cells (Figure A below). Consequently, camonsertib combined with gemcitabine kills ATM-KO cells at low concentrations that show little effect in WT cells (Figure B below). We therefore believe that the combination with gemcitabine may enhance the anti-tumor activity of camonsertib in ATM-deficient cancers at tolerated doses. We are currently evaluating this combination in tumor cells carrying additional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alterations as well as in animal models.</w:t>
      </w:r>
    </w:p>
    <w:p>
      <w:pPr>
        <w:spacing w:after="0" w:line="10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Sensitivity of ATM-deficient cells to the combination of camonsertib and gemcitabine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88265</wp:posOffset>
            </wp:positionV>
            <wp:extent cx="5349240" cy="2417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Validation of STEP</w:t>
      </w:r>
      <w:r>
        <w:rPr>
          <w:rFonts w:ascii="Times New Roman" w:cs="Times New Roman" w:eastAsia="Times New Roman" w:hAnsi="Times New Roman"/>
          <w:sz w:val="24"/>
          <w:szCs w:val="24"/>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Screens</w:t>
      </w:r>
    </w:p>
    <w:p>
      <w:pPr>
        <w:spacing w:after="0" w:line="66"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Through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of ATR inhibitors, we confirmed the SL relationship between ATR and ATM and identified an additional 19 genomic alterations that confer sensitivity to camonsertib. In follow-up studies with cancer cell line pairs, in which the only difference is the inactivation of the target genes, we are confirming the sensitivity of these genomic alterations to camonsertib, and this extensive validation effort is still being expanded. We are also creating xenograft models using both the parent cell lines and the inactivated cell line. In such a model using one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93"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color w:val="auto"/>
        </w:rPr>
        <w:t>the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-identified genes, camonsertib led to statistically significant suppression of tumor growth, whereas it had no anti-tumor effect in tumors created with wild-type parent cells, as shown in the model below.</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Tumor Growth Suppression in a </w:t>
      </w:r>
      <w:r>
        <w:rPr>
          <w:rFonts w:ascii="Times New Roman" w:cs="Times New Roman" w:eastAsia="Times New Roman" w:hAnsi="Times New Roman"/>
          <w:sz w:val="18"/>
          <w:szCs w:val="18"/>
          <w:b w:val="1"/>
          <w:bCs w:val="1"/>
          <w:i w:val="1"/>
          <w:iCs w:val="1"/>
          <w:color w:val="auto"/>
        </w:rPr>
        <w:t>RNASEH2B</w:t>
      </w:r>
      <w:r>
        <w:rPr>
          <w:rFonts w:ascii="Times New Roman" w:cs="Times New Roman" w:eastAsia="Times New Roman" w:hAnsi="Times New Roman"/>
          <w:sz w:val="18"/>
          <w:szCs w:val="18"/>
          <w:b w:val="1"/>
          <w:bCs w:val="1"/>
          <w:color w:val="auto"/>
        </w:rPr>
        <w:t xml:space="preserve"> -/- 5637 Bladder Isogenic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242570</wp:posOffset>
            </wp:positionV>
            <wp:extent cx="5332095" cy="1971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3209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Camonsertib Clinical Trial Program</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Design of Trials:</w:t>
      </w:r>
    </w:p>
    <w:p>
      <w:pPr>
        <w:spacing w:after="0" w:line="119"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In July 2020, we initiated our open-label Phase 1/2 clinical trial of camonsertib as both a monotherapy and in combination with talazoparib, an approved PARP inhibitor. The trial is designed to evaluate the oral administration of camonsertib in patients with advanced recurrent tumors of different histologies with ATM loss-of-function or a subset comprised of 16 of the 19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-identified genomic alterations, for which recent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suggested a higher confidence of success.</w:t>
      </w:r>
    </w:p>
    <w:p>
      <w:pPr>
        <w:spacing w:after="0" w:line="20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the ongoing monotherapy dose escalation phase of our trial, we evaluated the dosing regimen and safety of camonsertib to establish the recommended dose for the expansion phase of the trial. In three expansion cohorts, each of which was designed to enroll patients based on ATM loss-of-function or different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-identified genomic alterations, we assessed the preliminary efficacy of camonsertib at the recommended dose and schedule. In parallel with the monotherapy dose escalation phase, the trial was designed to enroll a separate arm to evaluate camonsertib in combination with talazoparib, an approved PARP inhibitor. An efficacy evaluation was performed every six weeks for the first five months and every nine weeks thereafter. As of the date of this Annual Report, we activated thirteen clinical trial sites for TRESR and fourteen clinical trial sites for ATTACC in North America and Europe. We observed initial signs of biological and clinical activity as monotherapy and evaluated multiple doses and schedules. We established the recommended Phase 2 dose as 160 mg once daily 3 days on / 4 days off, given continuously every week with a tolerability and safety profile that is favorable and the dominant on-target toxicity is anemia. Grade 3 anemia was reported at 15% with no grade 4 anemia and other grade 3 or 4 toxicities were at maximum 5%. Clinical responders were seen across multiple genomic alterations and tumor types. Clinical benefit rate reported at the AACR-ASCP-NCI meeting in October 2021 was 49%. In February 2021, we initiated recruitment of patients for the talazoparib combination arm of the trial. In December 2021 we entered the Phase 2 part of the trial with expansion into specific tumor and genotype cohorts. We reported complete safety and efficacy data for the monotherapy dose escalation phase of the trial at AACR in April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designs for our Phase 1/2 clinical trials for camonsertib are summarized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349240" cy="2339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Full Dataset from the TRESR Phase 1/2 Trial Presented at AACR 2022:</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April 2022, we presented comprehensive Phase 1 monotherapy clinical data from the TRESR Phase 1/2 clinical trial, reflecting analysis of 120 patients, of which 99 patients were evaluable for efficacy as of the data cut-off date of February 14, 2022 (excluding one patient evaluated as of March 22, 2022). The trial included 95 patients who received therapeutically active doses or at the recommended Phase 2 dose schedule of three days on / four days off, and reflecting the data cut-off date of February 14, 2022. Monotherapy with camonsertib continued to appear safe and well tolerated. Anemia was the most common treatment-related adverse event and easily manageable. Only 24.2% of all patients in the three days on / four days off schedule experienced Grade 3 anemia, and none experienced Grade 4 anemia. Camonsertib monotherapy resulted in durable clinical benefit across tumor types and genomic alterations, with enriched benefit demonstrated in specific patient subsets. These updated monotherapy results showed a 43% CBR, which was defined as response or treatment duration of at least 16 weeks without progression, an overall response rate of 14%, and a mPFS of 15 weeks in solid tumors across genotypes, with potential best-in-class safety and tolerability. The overall CBR in patients after PARP inhibitor failure was 47%.</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observed camonsertib demonstrated robust activity in patients with ovarian cancer (n=20), demonstrating 75% CBR after dosing with camonsertib, an overall response rate of 25%, and a mPFS of 35 weeks. The ovarian cancer patient population was heavily pretreated and comprised a hard to treat population: of which 90% had previous treatment with PARP inhibitors and 85% were platinum resistant. The responders included one complete response, three partial responses as determined by RECIST 1.1 criteria, and one durable and ongoing CA-125 response in a patient with stable disease.</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TRESR clinical trial comprises the largest set of tumors with detailed genomic analysis evaluated with ATRi monotherapy. Genomic subsets of tumors beyond ATM included tumors harboring alterations in ATR-sensitizing genes, with responses observed in tumors harboring BRCA1/2, SETD2 and RAD51C alterations. In patients with BRCA1/2 mutated tumors (n = 37), response rate was 14% and included two patients with ovarian cancer, and one each with breast cancer, head and neck squamous cell carcinoma, and melanoma. In patients with tumors carrying BRCA1 mutations, the CBR was 48%. In patients with tumors with ATM loss-of-function (LOF) (n = 34), response rate was 9% including one RECIST 1.1 confirmed/unconfirmed response, and two prostate specific antigen responses. An additional patient with pancreatic cancer and ATM LOF had a late response, after the data cut-off date of February 14, 2022, which was after 54 weeks of treatment. The CBR in the patients with ATM LOF was 44% and mPFS was 17 weeks. Sequencing data demonstrated biallelic gene LOF, an emerging biomarker for synthetic lethal therapies, could potentially be leveraged to further enrich for patients most likely to benefit from camonsertib. CBR in patients with biallelic LOF was significantly higher (47%) compared to the CBR in patients with non-biallelic tumors (15%).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Initial Dataset from the Phase 1/2 TRESR and ATTACC Clinical Trials Presented at AACR 2023:</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 Clinical Trials Plenary Session at the 2023 AACR Annual Meeting, we presented initial clinical data from the Phase 1/2 TRESR and ATTACC clinical trials evaluating camonsertib in combination with three PARP inhibitors - talazoparib, niraparib, and olaparib. The presentation included initial data from the ongoing Phase 1/2 TRESR clinical trial evaluating camonsertib in combination with talazoparib and initial data from the ongoing Phase 1b/2 ATTACC clinical trial evaluating camonsertib in combination with niraparib or olaparib in patients with advanced solid tumors. The clinical trials included 107 patients, of which 90 patients were evaluable for efficacy and treated at least 13 weeks prior to the data cutoff of February 27, 2023. This study population comprised patients with a broad range of historically difficult to treat tumors, including patients with platinum-resistant tumors, patients who had either recurred or progressed during or after treatment with PARP inhibitors, and patients who had developed known BRCA-reversion mutations.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camonsertib-PARP inhibitor combinations demonstrated durable 48% CBR in patients with unmet medical needs, across tumor types and different genomic alterations, and regardless of PARPi partner or platinum resistance, with a favorable safety and tolerability profile. Patients with platinum-resistant tumors had an overall response rate (ORR) of 12% and CBR of 49%, and benefited similarly to non-platinum-resistant tumors (ORR 13%, CBR 46%). Combination results showed the most benefit in late-line ovarian cancer in 19 patients demonstrating 32% overall response, 58% CBR and mPFS of approximately seven months, with treatment greater than 16 weeks and ongoing in nine patients.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Early ctDNA data showed a strong correlation with the degree of tumor shrinkage and duration of disease control, and provided a mechanistic explanation for the observed durable clinical benefit in heavily pretreated patients, beyond the natural history of the disease. Molecular responses observed in 66% of evaluable patients (31/47) confirmed the antitumor activity of low dose intermittent PARP inhibitor and camonsertib therapy. The molecular response rate (MRR) was significantly higher in patients with clinical benefit (83%) compared to those without (48%; p=0.015), confirming treatment effect. Molecular responses were observed in patients with prior PARPi exposure (57%) and platinum resistance (64%). The camonsertib-PARP inhibitor combinations appeared to be well tolerated. Dose limiting toxicity (DLTs) in 68 patients were related to myelotoxicity only, including Grade 3 or higher anemia of 3%, thrombocytopenia of 6%, neutropenia of 7%, and febrile neutropenia of 3%. No prophylactic growth factors were required when administering the PARP inhibitors at evaluated doses.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TRESR and ATTACC clinical trials have completed enrollment. FDA endorsed the camonsertib monotherapy recommended dose. Our proposals for drug dose optimization are in line with the principles of FDA's Project Optimus. We are finalizing the camonsertib and PARP inhibitors combination data analysis.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RP-1664, Our First-in-Class, Highly Selective Polo-Like Kinase 4 (PLK4) Inhibitor Program</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RP-1664 is a first-in-class, highly selective, oral PLK4 inhibitor designed to harness the synthetic lethal relationship with TRIM37 amplification or overexpression in solid tumors. Tumors rely on PLK4 for centriole biogenesis in S-phase of the cell cycle when TRIM37, an E3 ligase that reduces pericentriolar material, is high. Preclinical studies demonstrate that RP-1664 selectively inhibits PLK4 and drives potent synthetic lethality in TRIM37-high tumor models,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Elevated TRIM37 is a feature found across a range of solid tumors and in approximately 80% of high-grade neuroblastoma. RP-1664 is the only selective PLK4 inhibitor known to be in the clinic. We reported comprehensive preclinical data for RP-1664 in November 2023, including deep tumor growth inhibition and regressions in multiple TRIM37-high solid tumor or neuroblastoma xenograft models. The preclinical evaluation was performed both internally and in collaboration with Children’s Hospital of Philadelphia (CHOP). In February 2024, we dosed the first patient in the LIONS (PLK4 Inhibitor in Advanced Solid Tumors) clinical trial, a multicenter, open-label Phase 1 study to investigate safety, pharmacokinetics, pharmacodynamics, and the preliminary efficacy of RP-1664. After evaluating safety in adult patients with recurrent solid tumors in the LIONS clinical trial, we expect to move into a Phase 1/2 study in high risk, recurrent pediatric neuroblastoma, in which children have limited treatment options and high prevalence of TRIM37-altered tumors.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Centrosomes are the main microtubule organizing center of the cell and enable the correct segregation of sister chromatids during cell division. Centrosomes are composed of two centrioles and the pericentriolar material (PCM), both of which can nucleate microtubules that form the mitotic spindle. TRIM37, an E3 ligase, negatively regulates the stability of PCM proteins, causing PCM dysfunction when overexpressed and increasing dependence on centrioles for successful mitosis. PLK4 is a serine/threonine mitotic kinase which is crucial for the duplication of centrioles. PLK4 inhibition results in the loss of centrioles, which is detrimental to cells with high TRIM37 and depleted PCM. Thus the inhibition of PLK4 in the context of TRIM37 amplification or gain is considered synthetic lethal.</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Two distinct isogenic cell line pairs demonstrated that PLK4 inhibition kills control MCF7 cells, which are TRIM37 high, but not TRIM37-depleted cells that become resistant to PLK4 inhibition. Similarly, RPE1 cells that have been engineered to overexpress TRIM37 were hypersensitive to PLK4 inhibition versus wildtype cells.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PLK4 Inhibition is Synthetic Lethal with TRIM37-High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19685</wp:posOffset>
            </wp:positionV>
            <wp:extent cx="4483100" cy="1851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8310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Our Solution, RP-1664</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identified PLK4 as a SL target through our SNIPRx screen campaign of TRIM37, based on:</w:t>
      </w:r>
    </w:p>
    <w:p>
      <w:pPr>
        <w:spacing w:after="0" w:line="117" w:lineRule="exact"/>
        <w:rPr>
          <w:sz w:val="20"/>
          <w:szCs w:val="20"/>
          <w:color w:val="auto"/>
        </w:rPr>
      </w:pPr>
    </w:p>
    <w:p>
      <w:pPr>
        <w:ind w:left="1780" w:hanging="515"/>
        <w:spacing w:after="0" w:line="282" w:lineRule="auto"/>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third party preclinical support for the potential of PLK4 inhibition to trigger selective mitotic failure as a precision oncology therapy;</w:t>
      </w:r>
    </w:p>
    <w:p>
      <w:pPr>
        <w:spacing w:after="0" w:line="53"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a PLK4 inhibitor with enhanced chemical properties, such as potency and selectivity, as determined both in vitro and in vivo; and</w:t>
      </w:r>
    </w:p>
    <w:p>
      <w:pPr>
        <w:spacing w:after="0" w:line="53" w:lineRule="exact"/>
        <w:rPr>
          <w:rFonts w:ascii="Times New Roman" w:cs="Times New Roman" w:eastAsia="Times New Roman" w:hAnsi="Times New Roman"/>
          <w:sz w:val="18"/>
          <w:szCs w:val="18"/>
          <w:color w:val="auto"/>
        </w:rPr>
      </w:pPr>
    </w:p>
    <w:p>
      <w:pPr>
        <w:ind w:left="1780" w:right="20" w:hanging="515"/>
        <w:spacing w:after="0" w:line="282" w:lineRule="auto"/>
        <w:tabs>
          <w:tab w:leader="none" w:pos="1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frequent copy-gain or amplification of TRIM37 and other PCM dysfunction in pediatric neuroblastoma, and in adult solid tumors including breast, lung, uterine, bladder and other cancers.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designed RP-1664 as an oral small molecule PLK4 inhibitor with high potency, selectivity, and bioavailability. RP-1664 has demonstrated strong, dose-dependent anti-tumor activity as monotherapy across preclinical models, both in internal models and in collaboration with CHOP. The LIONS clinical trial of RP-1664 in patients with molecularly selected advanced solid tumors dosed the first patient in February 2024 and is ongoing.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6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color w:val="auto"/>
        </w:rPr>
        <w:t>RP-1664 potently and selectively inhibits the kinase domain of PLK4. RP-1664 was shown to inhibit the enzyme with an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of 1nM. Using a cellular target engagement assay, data shows that RP-1664 engages PLK4 with an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of approximately 3nM. We observed less inhibition of other essential mitotic kinases, such as Aurora A and Aurora B, presenting an important selectivity window of over 2000-fold. We also observed that RP-1664 has a favorable ADME profile and safety pharmacology screen.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firstLine="749"/>
        <w:spacing w:after="0" w:line="282" w:lineRule="auto"/>
        <w:rPr>
          <w:sz w:val="20"/>
          <w:szCs w:val="20"/>
          <w:color w:val="auto"/>
        </w:rPr>
      </w:pPr>
      <w:r>
        <w:rPr>
          <w:rFonts w:ascii="Times New Roman" w:cs="Times New Roman" w:eastAsia="Times New Roman" w:hAnsi="Times New Roman"/>
          <w:sz w:val="18"/>
          <w:szCs w:val="18"/>
          <w:color w:val="auto"/>
        </w:rPr>
        <w:t>We tested RP-1664 in different in vivo models, including breast and non-small cell lung cancer CDX and PDX models. We saw a clear dose response with robust monotherapy activity ranging from stasis to regression in this set of models.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RP-1664 Monotherapy Activity Across PDX/CDX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19685</wp:posOffset>
            </wp:positionV>
            <wp:extent cx="5297805" cy="1851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9780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Through a collaboration with Children's Hospital of Philadelphia, we extended our findings demonstrating deep monotherapy regressions in two neuroblastoma CDX models. The collaboration includes testing in up to 16 CDX and PDX models. The first five of six models lead to deep and durable regressions out to six weeks or more of dosing. Further, we observed similar activity across a range of doses and continuous or intermittent schedules.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RP-1664 Monotherapy Regressions in 5 of 6 Neuroblastoma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19685</wp:posOffset>
            </wp:positionV>
            <wp:extent cx="5246370" cy="2202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4637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520" w:firstLine="749"/>
        <w:spacing w:after="0" w:line="266" w:lineRule="auto"/>
        <w:rPr>
          <w:sz w:val="20"/>
          <w:szCs w:val="20"/>
          <w:color w:val="auto"/>
        </w:rPr>
      </w:pPr>
      <w:r>
        <w:rPr>
          <w:rFonts w:ascii="Times New Roman" w:cs="Times New Roman" w:eastAsia="Times New Roman" w:hAnsi="Times New Roman"/>
          <w:sz w:val="18"/>
          <w:szCs w:val="18"/>
          <w:color w:val="auto"/>
        </w:rPr>
        <w:t>We also established a set of pharmacodynamic biomarkers downstream of PLK4 inhibition for clinical assessment. These key downstream biomarkers can be confirmed with clinical assays available for the Phase 1 LIONS trial, and include abnormal centrioles, abnormal mitoses, and the upregulation of p21.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Established Pharmacodynamic Biomarkers for Phase 1 LIONS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156845</wp:posOffset>
            </wp:positionV>
            <wp:extent cx="4063365" cy="25031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6336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Design of Trial</w:t>
      </w:r>
    </w:p>
    <w:p>
      <w:pPr>
        <w:spacing w:after="0" w:line="33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February 2024, we initiated our Phase 1 LIONS clinical trial of RP-1664 as a monotherapy and enrolled the first patient. The LIONS clinical trial is a multicenter, open-label Phase 1 study to investigate safety, pharmacokinetics, pharmacodynamics, and the preliminary efficacy of RP-1664. The clinical trial is expected to enroll approximately 80 patients with molecularly selected advanced solid tumors, including those with gain or amplification of TRIM37, among other genetic alterations. The primary endpoints are to determine the safety, tolerability, dose and schedule of RP-1664 and assess any early antitumor activity. During the dose escalation in adults or adolescents with recurrent solid tumors, we hope to efficiently achieve key dose and/or safety milestones in order to progress to the next step in development. We developed a pediatric formulation to facilitate dosing of smaller children and plan to investigate RP-1664 in children with recurrent neuroblastoma. We expect to expand our trial in adults with TRIM37-high status and additional biomarkers of sensitivity to PLK4 inhibition at the RP2D. These two investigations, carefully designed in collaboration with both medical and pediatric oncologists, will give early insights into both the highly biomarker-enriched neuroblastoma and the TRIM37 high adult tumor opportunities. We expect to provide further detail on RP-1664 development beyond the dose finding study later in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line="3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designs of our Phase 1 clinical trial and future, prospective clinical trials are summarized in the diagram below.</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RP-1664 Phase 1/2 Monotherapy Clinical 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225425</wp:posOffset>
            </wp:positionV>
            <wp:extent cx="5349240" cy="2383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RP-3467, Our Polymerase Theta (Polθ) Adenosinetriphosphatase (ATPase) Inhibitor Preclinical Program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are developing a small molecule inhibitor of Polθ ATPase, a SL target associated with BRCA mutations as well as other genomic alterations. This program was initially added to our portfolio through a collaboration with our co-founder, Dr. Agnel Sfeir, now at Memorial Sloan Kettering Cancer Center, who initially published her observations on the SL between BRCA and Polθ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in 2016.</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Polymerase theta enzyme (POLQ) is a DNA polymerase enzyme that participates in the repair of double-strand breaks in DNA. Mutations in genes such as BRCA1 and BRCA2 increase the frequency of these breaks, resulting in SL with Polθ. Preclinical studies have shown that inactivation of Polθ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However, the frequency of mutations in one of these BRCA genes increases in women with a family history of disease and in certain subpopulations. For example, up to 37% of patients with breast cancer with low estrogen and progesterone receptor expression have BRCA mutations.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Multiple genetic alterations causing homologous recombination deficiency, such as BRCA1 and BRCA2 mutations, have also been shown in clinical trials to be SL with PARP inhibitors in multiple tumors, such as breast and ovarian cancer. While PARP inhibitors have proven effective in BRCA-mutant tumors, no statistically significant survival benefit has been reported in breast or pancreatic cancer to date, highlighting the potential for other SL targets, such as Polθ, to demonstrate meaningful improvement of PARP inhibitor efficacy as a monotherapy or in combination with PARP inhibitors. In 2022, we selected a proposed inhibitor, which we designated as RP-2119, and initiated IND-enabling studies. In February 2023, based on our review of ongoing preclinical studies, we elected to prioritize other Polθ inhibiting compounds in our preclinical development portfolio, which we believe have a higher probability for clinical impact relative to RP-2119.</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2023, we revealed preclinical data for our lead Polθ ATPase inhibitor drug candidate, RP-3467. RP-3467 has demonstrated potential best-in-class activity with no signs of additive nor synergistic toxicity in the haematopoetic compartment when combined not only with PARP inhibitors, but importantly with RLT or chemotherapy, offering broad utility as a combination agent that improves outcomes of current therapeutic strategies.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Complete, sustained regressions in tested PDX models in combination with PARP inhibitors and compelling anti-tumor activity in combination with RLT and chemotherapy were observed in preclinical studies. We expect to initiate a Phase 1 clinical trial of RP-3467 in the second half of 2024.</w:t>
      </w:r>
    </w:p>
    <w:p>
      <w:pPr>
        <w:spacing w:after="0" w:line="15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RP-3467 Preclinical Data: Deep and Durable Complete Regressions</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 Combination with a PARP Inhibitor and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142875</wp:posOffset>
            </wp:positionV>
            <wp:extent cx="5349240" cy="19716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our patent portfolio relating to our product candidates included six pending U.S. provisional patent applications, consisting of: three applications covering uses of ATR inhibitors; two applications covering uses of CCNE1-SL inhibitors; and one application covering PolQ inhibitors and their use. In addition, our patent portfolio included six pending international applications under the Patent Cooperation Treaty of 1970 (PCT); one covering camonsertib and/or its uses; one covering CCNE1-SL inhibitors, including lunresertib derivatives, and their uses; one covering the manufacture of CCNE1-SL inhibitors, including lunresterib; two covering PolQ inhibitors, including RP-3467, and their uses; and one covering PLK4 inhibitors, including RP-1664, and their uses. Our portfolio also included ten pending U.S. non-provisional patent applications, three having composition of matter claims covering ATR inhibitors, including camonsertib; three having method of treatment claims covering ATR inhibitors, including camonsertib; one having composition of matter claims covering lunresertib; and three having composition of matter claims covering CCNE1-SL inhibitors, including lunresertib derivatives, and their uses.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two of our six solely owned PCT applications have method of treatment and use claims covering camonsertib. Any application, if issued, claiming priority to either of these PCT applications is expected to expire in 2042, not including any patent term adjustment. Any patent issuing in our solely owned, pending U.S. non-provisional patent application having composition of matter and method of treatment and use claims covering camonsertib and its use is expected to expire in 2039, not including any patent term adjustment. Any patent issuing in our solely owned, pending U.S. non-provisional patent application having method of treatment and use claims covering certain uses of camonsertib is expected to expire in 2040, not including any patent term adjustment. Any U.S. patent, if issued, claiming priority to any one of the U.S. provisional patent applications covering uses of camonsertib is expected to expire in 2043.</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one of our ten solely owned, pending U.S. non-provisional patent applications has a composition of matter claim covering lunresertib. Any patent issuing in this application is expected to expire in 2041,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 including any patent term adjustment. Three of our ten solely owned, pending U.S. non-provisional patent applications have composition of matter claims covering CCNE1-SL inhibitors. Any patent issuing in any of these applications would be expected to expire in 2042 or 2043, not accounting for any potentially favorable patent term adjustment. Any U.S. patent, if issued, claiming priority to the PCT application covering CCNE1-SL inhibitors, is expected to expire in 2043, not including any potentially favorable patent term adjustment. Any U.S. patent, if issued, claiming priority to any one of the U.S. provisional patent applications covering uses of CCNE1-SL inhibitors, including lunresertib, is expected to expire in 2044, not including any potentially favorable patent term adjustment. Any U.S. patent, if issued, claiming priority to the PCT application covering methods of making CCNE1-SL inhibitors, including lunresertib, is expected to expire in 2043, not including any potentially favorable patent term adjustment. Any U.S. patent, if issued, claiming priority to the either of the PCT applications covering PolQ inhibitors, including RP-3467, and their use is expected to expire in 2042, not including any potentially favorable patent term adjustment. Any U.S. patent, if issued, claiming priority to the U.S. provisional application covering PolQ inhibitors, including RP-3467, and their use is expected to expire in 2044, not including any potentially favorable patent term adjustment. Any U.S. patent, if issued, claiming priority to the PCT application covering PLK4 inhibitors, including RP-1664, and their use, is expected to expire in 2043, not including any potentially favorable patent term adjustment.</w:t>
      </w:r>
    </w:p>
    <w:p>
      <w:pPr>
        <w:spacing w:after="0" w:line="190" w:lineRule="exact"/>
        <w:rPr>
          <w:sz w:val="20"/>
          <w:szCs w:val="20"/>
          <w:color w:val="auto"/>
        </w:rPr>
      </w:pPr>
    </w:p>
    <w:p>
      <w:pPr>
        <w:jc w:val="both"/>
        <w:ind w:right="20" w:firstLine="555"/>
        <w:spacing w:after="0" w:line="266" w:lineRule="auto"/>
        <w:rPr>
          <w:sz w:val="20"/>
          <w:szCs w:val="20"/>
          <w:color w:val="auto"/>
        </w:rPr>
      </w:pPr>
      <w:r>
        <w:rPr>
          <w:rFonts w:ascii="Times New Roman" w:cs="Times New Roman" w:eastAsia="Times New Roman" w:hAnsi="Times New Roman"/>
          <w:sz w:val="18"/>
          <w:szCs w:val="18"/>
          <w:color w:val="auto"/>
        </w:rPr>
        <w:t>As of December 31, 2023, our patent portfolio also included two co-owned, pending U.S. non-provisional applications covering uses of CCNE1-SL inhibitors, including lunresertib. Any U.S. patent, if issued, claiming priority to the PCT applications is expected to expire in 2041 or 2042, respectively, not including any patent term adjustment.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PCT is an international patent law treaty that provides a unified procedure for filing patent applications to protect inventions in each of its contracting states. Thus, a single PCT application can be converted into a patent application in any of the PCT-contracting states, and is considered a simple, cost-effective means for seeking patent protection in numerous regions or countries. This nationalization (converting into an application in any of the contracting states) typically occurs 18 months after the PCT application filing date. An applicant must undertake prosecution within the allotted time in each of the contracting states or on a regional basis if it determines to undertake patent issuance in protection in such country or territory. Pursuant to its PCT application, the Company expects to pursue patent protection in the United States.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upon the proprietary rights of third parties. It is uncertain whether the issuance of any third-party patent would require us to alter our development or commercial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For more information, please see “Risk Factors—Risks Related to Intellectual Property.”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Worldwide License Agreement with Roche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2022, we announced a worldwide license and collaboration agreement with Hoffmann-La Roche Inc. and F. Hoffmann-La Roche Ltd (collectively, Roche), or the Roche Agreement for the development and commercialization of camonsertib and specified other ATR inhibitors for the treatment of tumors with specific synthetic-lethal genomic alterations. Under the Roche Agreement, Roche assumed all subsequent development of camonsertib with the potential to expand development into additional tumor indications and multiple combination studies.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Roche Agreement, we received a $125 million upfront payment in July 2022 and were eligible to receive up to $1.172 billion in potential clinical, regulatory, commercial and sales milestones, of which a $40 million milestone was received in the first quarter of 2024 upon dosing of the first patient in the camonsertib-based arm of the Roche TAPISTRY trial, as well as royalties on global net sales ranging from high-single-digits to high-teens. We received $5.6 million in October 2022 for the transfer of clinical trial material on hand to Roche, as agreed to pursuant to the Roche Agreement. In December 2022 and April 2023, we received additional payments of $4.0 million each, negotiated with Roche for revisions to the clinical development plan under the Roche Agreement. We further negotiated an additional payment of $4.0 million for revisions to the clinical development plan under the Roche Agreement, of which $2.1 million was recorded as collaboration revenue receivable at December 31, 2023. Since inception of the Roche camonsertib collaboration, we have earned a cumulative total of $182.6 million, including the upfront payment, the milestone payment, as well as additional reimbursements from Roche.</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Roche Agreement also provided our company with the ability to opt-in to a 50/50 U.S. co-development and profit share arrangement, including participation in U.S. co-promotion if U.S. regulatory approval was received, that was exercisable prior to the commencement of the first pivotal clinical trial of camonsertib. If we would have chosen to exercise the co-development and profit share option, we would have continued to be eligible to receive certain clinical, regulatory, commercial and sales milestone payments, in addition to full ex-U.S. royalties. Royalties were payable by Roche on a product by product and country by country basis until the later of 12 years following the first commercial sale of a licensed product in such country or the expiration of certain exclusivity rights.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Roche Agreement was subsequently amended in October 2022 to extend the timeline to negotiate in good faith the parties’ rights and obligations with respect to certain clinical trials and to clarify indications included in the development plan that are subject to milestones.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7, 2024, we received written notice from Roche of their election to terminate for convenience the Roche camonsertib collaboration. The termination will become effective in May 2024, at which time we will regain global development and commercialization rights for camonsertib from Roche.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Bristol-Myers Squibb Company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2020, we entered into a collaboration and license agreement (the BMS Agreement), with Bristol-Myers Squibb Company (Bristol-Myers Squibb), pursuant to which we and Bristol-Myers Squibb agreed to collaborate in the research and development of potential new product candidates for the treatment of cancer.</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provided Bristol-Myers Squibb access to a selected number of our existing early SNIPRx screening campaigns and novel campaigns. We were responsible for carrying out early-stage research activities directed to identifying and validating potential targets for licensing by Bristol-Myers Squibb, in accordance with a mutually agreed upon research plan. The collaboration consisted of programs directed to both druggable targets and to targets commonly considered undruggable by traditional small molecule approaches. In the event that Bristol-Myers Squibb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elected to obtain an exclusive license for the subsequent development, manufacture and commercialization of a program, Bristol-Myers Squibb would then be solely responsible for all such worldwide activities. The research collaboration was overseen by a joint steering committee through completion of all research activities.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BMS Agreement was subsequently amended in July, September and November 2020 to expand our collaboration with Bristol-Myers Squibb. We amended the BMS Agreement to, among other things: (i) include additional campaigns to the list of Existing Repare Campaigns (as such term is defined in the BMS Agreement) from which Bristol-Myers Squibb could select campaigns under the BMS agreement, and (ii) enable unblinding of a Bristol-Myers Squibb alliance manager in order to streamline the collaboration and selection process. The BMS Agreement was further amended in May 2023 to extend review periods for specified targets.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BMS Agreement, Bristol-Myers Squibb paid us an initial upfront fee payment of $50.0 million. In connection with entering into the BMS Agreement, we also entered into a warrant agreement with an affiliate of Bristol-Myers Squibb pursuant to which we issued a warrant for total proceeds of $15.0 million, which was automatically exercised into 750,000 common shares upon closing of our IPO at which time the warrants were cancelled.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each of the targets in the collaboration, we were entitled to receive, on a program-by-program basis, option exercise fees ranging in the low six figures depending on the nature of the applicable program. Bristol-Myers Squibb had the right to retain rights to certain back-up programs in exchange for a one-time payment in the low eight figures per program. Additionally, we were entitled to receive additional fees ranging in the low to mid seven figures upon the selection of certain programs beyond a specified limit.</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October 2021, we received notification from Bristol-Myers Squibb of their option exercise for two druggable targets directed at a single synthetic lethal lesion, pursuant to the terms of the BMS Agreement and in May 2023, they exercised their option for a druggable target directed at another synthetic lethal lesion. Bristol-Myers Squibb also triggered a further development election for one of its previously optioned druggable targets in May 2023.</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BMS Agreement, we are entitled to receive up to $3.0 billion in total milestones across all potential programs. Such milestones consist of $301.0 million in total milestones per program, including $176.0 million in the aggregate for certain specified research, development, and regulatory milestones and $125.0 million in the aggregate for certain specified commercial milestones. We are also entitled to a tiered percentage royalty on annual net sales ranging from high-single digits to low-double digits, subject to certain specified reductions. Royalties are payable by Bristol-Myers Squibb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 program-by-program basis, prior to the earlier of such program ceasing to be included under the BMS Agreement and expiration of the last to expire royalty term for such program, we, alone and with third parties, are prohibited from researching, developing, manufacturing and commercializing products that are directed to the applicable target for such program.</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have provided Bristol-Myers Squibb with certain, limited rights to first negotiate with us if we determine to divest, license, or collaborate with others regarding certain existing programs, including if we received an unsolicited offer to do so. The right to first negotiation expressly excludes any potential Change of Control transaction (as such term is contractually defined in the BMS Agreement).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BMS Agreement will expire on a licensed product-by-licensed product and country-by-country basis on expiration of the applicable royalty term and in its entirety upon expiration of the last royalty term. Either party may terminate the BMS Agreement earlier upon an uncured material breach of the agreement by the other party, or the insolvency of the other party. Additionally, Bristol-Myers Squibb may terminate the BMS Agreement for any or no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on a program-by-program basis upon specified written notice. We completed the discovery portion of the BMS Agreement in November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Services, License and Collaboration Agreement with Ono Pharmaceutical Co.</w:t>
      </w:r>
    </w:p>
    <w:p>
      <w:pPr>
        <w:spacing w:after="0" w:line="119" w:lineRule="exact"/>
        <w:rPr>
          <w:sz w:val="20"/>
          <w:szCs w:val="20"/>
          <w:color w:val="auto"/>
        </w:rPr>
      </w:pPr>
    </w:p>
    <w:p>
      <w:pPr>
        <w:ind w:left="520"/>
        <w:spacing w:after="0" w:line="284" w:lineRule="auto"/>
        <w:rPr>
          <w:sz w:val="20"/>
          <w:szCs w:val="20"/>
          <w:color w:val="auto"/>
        </w:rPr>
      </w:pPr>
      <w:r>
        <w:rPr>
          <w:rFonts w:ascii="Times New Roman" w:cs="Times New Roman" w:eastAsia="Times New Roman" w:hAnsi="Times New Roman"/>
          <w:sz w:val="18"/>
          <w:szCs w:val="18"/>
          <w:i w:val="1"/>
          <w:iCs w:val="1"/>
          <w:color w:val="auto"/>
        </w:rPr>
        <w:t>All payments by Ono to us are presented in U.S. dollars. Future payments as disclosed in this summary have been converted to U.S. dollars at the December 31, 2023 exchange rate of $1.00 = [140.85] Japanese yen.</w:t>
      </w:r>
    </w:p>
    <w:p>
      <w:pPr>
        <w:spacing w:after="0" w:line="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2019, we entered into a research services, license and collaboration agreement (the Ono Agreement) with Ono Pharmaceutical Co., Ltd. (Ono), pursuant to which we and Ono agreed to collaborate in the research of potential product candidates targeting Polθ and the development of our small molecule Polθ ATPase inhibitor program. We were primarily responsible for carrying out research activities to identify a product candidate for the program, to be licensed to Ono, in accordance with a mutually agreed upon research plan until the first submission of an IND in the United States or Japan. In the event that Ono elected to collaborate on the subsequent development and commercialization of a proposed product candidate, Ono would then be responsible for such activities in Japan, South Korea, Taiwan, Hong Kong, Macau and certain other Southeast Asian countries, and we would be responsible for such activities in the rest of the world. The collaboration was overseen by a joint research committee through development candidate selection and a joint steering committee thereafter. Except as set forth below, each party bore its own expenses in connection with research, development, and commercialization activities under the Ono Agreement.</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an amendment to the Ono Agreement whereby the Research Term, as defined in the Ono Agreement, was extended by one year at no additional cost to us. In January 2023, we and Ono entered into a second amendment to the Ono Agreement whereby the Research Term was extended until July 31, 2023. The Ono Agreement expired in July 2023, thereby returning our Polθ ATPase inhibitor program, RP-3467, to be wholly-owned by us.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Ono Agreement, Ono paid us an initial upfront fee payment of ¥110 million (approximately $1.0 million). Additionally, in connection with the research activities to be conducted by us pursuant to the Ono Agreement, Ono paid us an initial upfront research service payment of ¥790 million (approximately $7.1 million) and agreed to make research service payments up to an aggregate of ¥750 million (approximately $5.3 million) upon (i) certain specified research triggers and (ii) the election by Ono to collaborate on the development and commercialization of a proposed product candidate. In October 2021 and December 2022, the Company achieved specified research triggers amounting to ¥100 million ($0.9 million) and ¥200 million ($1.5 million), respectively, as research service payments provided for in the Ono Agreement. Upon election by Ono to collaborate on a proposed product candidate, Ono would have been responsible for a specified percentage of research and development costs for the IND-enabling studies of the selected product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Ono Agreement, we were also entitled to receive up to ¥5.11 billion (approximately $36.3 million) in the aggregate for certain specified development and regulatory milestones, ¥12.1 billion (approximately $85.9 million) in the aggregate for certain specified commercial milestones and a tiered percentage royalty on annual net sales in Ono’s territory ranging from high-single digits to low teens, subject to certain specified reductions. Royalties were payable by Ono on a licensed product-by-licensed product and country-by-country basis until the later of the expiration of the last valid claim covering the licensed product in such country and the tenth anniversary of the first commercial sale of such licensed product in such country.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New York University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license agreement with New York University pursuant to which we obtained a worldwide, royalty-bearing, exclusive license under certain current and/or future patents and know-how of New York University to research, develop and commercialize products that are covered by such licensed patents or otherwise modulate Polθ. Upon initial entry into the license agreement, we issued New York University 60,211 common shares in December 2016 as consideration for the license.</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July 2018, we subsequently amended and restated our license agreement with NYU, which we refer to, as amended and restated, as the NYU Agreement. Pursuant to the terms of the NYU Agreement, we are obligated to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reasonable diligence in connection with the research, development, and commercialization of the licensed products (as such term is defined in the NYU Agreement), including specified minimum annual spends on research and development.</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NYU Agreement, we are obligated to pay New York University annual license maintenance fees in the low five figures that are creditable against any milestone payments payable in such year. Additionally, in connection with development, regulatory and commercial activities, we have agreed to make milestone payments of (i) $2.6 million in the aggregate for a product covered by a licensed patent that achieves specified development and sales milestones for the first indication, (ii) $1.3 million in the aggregate for a product covered by a licensed patent that achieves specified development and sales milestones for a second indication, (iii) $575,000 in the aggregate for a product covered by a licensed patent that achieves specified development and sales milestones for each of a third and fourth indication, (iv) $1.3 million in the aggregate for a product that is not covered by a licensed patent that achieves specified development and sales milestones for the first indication, (v) $650,000 in the aggregate for a product that is not covered by a licensed patent that achieves specified development and sales milestones for a second indication, (vi) $287,500 in the aggregate for a product that is not covered by a licensed patent that achieves specified development and sales milestones for each of a third and fourth indication. We have the right to reduce these milestone payments by a specified amount of any milestones payable to a third party for a license required for the commercialization of a product candidate.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obligated to pay New York University a low single digit royalty on net sales of any product covered by a licensed patent and a lower single digit royalty on net sales of any product that is not covered by a licensed patent, in each case subject to reduction by a specified amount of any royalties payable to a third party for a license to unblocking intellectual property. Moreover, we are obligated to pay New York University a percentage of any non-royalty consideration received by us from a sublicensee ranging in the low double digits.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Ono Agreement was considered a sublicensee under the terms of the NYU Agreement. Accordingly, we have paid New York University a specified percentage of the approximately $1.0 million initial upfront fee payment we received from Ono.</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Upon the expected initiation of a Phase 1 clinical trial of RP-3467 in the second half of 2024, a milestone payment of $0.1 million to New York University would be triggered under the terms of the NYU Agreement.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Payments in respect of net sales or sublicense in a country shall remain in force on a product-by-product, country-by-country basis, with respect to</w:t>
      </w:r>
    </w:p>
    <w:p>
      <w:pPr>
        <w:spacing w:after="0" w:line="27" w:lineRule="exact"/>
        <w:rPr>
          <w:sz w:val="20"/>
          <w:szCs w:val="20"/>
          <w:color w:val="auto"/>
        </w:rPr>
      </w:pPr>
    </w:p>
    <w:p>
      <w:pPr>
        <w:jc w:val="both"/>
        <w:ind w:firstLine="8"/>
        <w:spacing w:after="0" w:line="255"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are not covered by a licensed patent, for ten years from the date of first commercial sale in such country and (ii) products that are covered by a licensed patent, until the expiration date of the last to expire of the licensed patents covering such product or its manufacture or use in the applicable country.</w:t>
      </w:r>
    </w:p>
    <w:p>
      <w:pPr>
        <w:spacing w:after="0" w:line="1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NYU Agreement expires on the date of expiration of all royalty obligations. Either party may terminate the NYU Agreement earlier upon an uncured material breach of NYU Agreement by the other party or the insolvency of the other party.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have established a wholly-owned U.S. subsidiary, Repare Therapeutics USA Inc., a Delaware corporation with operations in Cambridge, Massachusetts, to support our clinical development program and our potential commercialization efforts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currently rely, and expect to continue to rely for the foreseeable future, on third-party contract manufacturing organizations (CMOs) to produce our product candidates for preclinical and clinical testing, as well as for future commercial manufacture of any products that we may commercialize.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require all of our CMOs to conduct manufacturing activities in compliance with current good manufacturing practice (cGMP) requirements. We have assembled a team of experienced employees and consultants to provide the necessary technical, quality, and regulatory oversight over our CMOs. Currently, we have manufacturing and supply agreements with our CMOs for the manufacture of lunresertib, RP-1664, and our preclinical candidates, including the synthesis of the active pharmaceutical ingredient (API), as well as drug product.</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small molecules and are manufactured in synthetic processes from available starting materials. The chemistry underlying our product candidates appears amenable to scale up and does not currently require unusual equipment in the manufacturing process. We expect to continue to develop product candidates that can be produced cost-effectively at contract manufacturing facilities.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plan to continue to rely on third-party manufacturers for any future trials and commercialization of lunresertib, camonsertib, RP-1664 and any future product candidates, if approved. We anticipate that these CMOs will have capacity to support commercial scale production, but we do not have any formal agreements in place at this time given our early stages of development. If needed, we believe we can identify and establish additional CMOs to provide API and finished drug product without significant disruption to our business or clinical development timelines.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(part of Eli Lilly and Company), Blueprint Medicines Corporation, SpringWorks Therapeutics, Inc., Black Diamond Therapeutics, Inc., Deciphera Pharmaceuticals, Inc., Tango Therapeutics, Inc., Zentalis Pharmaceuticals, Inc., Turning Point Therapeutics, Inc. (acquired by Bristol-Myers Squibb), and Exelixis, Inc. are developing precision oncology medicines. In addition, we may face competition from companies developing product candidates that are based on SL, including AstraZeneca, GlaxoSmithKline, Pfizer, Bayer, Merck Serono, Schrodinger, Inc., Exelixis, Inc., Artios Pharma Ltd., IDEAYA Biosciences, Inc, Impact Therapeutics, Aprea Therapeutics, Shanghai De Novo Pharmatech, Tide Pharmaceutical, Acrivon Therapeutics, Biocity Biopharma, Oric Pharmaceuticals, Schrodinger, Treadwell Therapeutics, Varsity Pharma, Breakpoint Therapeutics, Rhizen Pharmaceuticals AG, Simcere Pharmaceutical, and Shouyao Holdings.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 respect to our initial product candidate, camonsertib, several companies are developing ATR inhibitors with multiple monotherapy and/or combination trials ongoing, including AstraZeneca (AZD6738), Bayer (BAY1895344), Merck Serono (M4344, M6620, M1774) and most recently, Artios Pharma (ATR0380), Aprea Therapeutics/Atrin Pharmaceuticals (ATRN-119), Biocity Biopharmaceutics (SC0245), Impact Therapeutics (IMP9064), Shanghai De Novo Pharmatech (DN020198), and Tide Pharmaceutical. The intensity of trials with ATR inhibitors as monotherapy and in combination with immune-oncology compounds, chemotherapy and radiation, as well as other DDR inhibitors significantly increased over the last several years.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With respect to our PKMYT1 inhibitor product candidate, lunresertib, while we are not aware of any other clinical-stage PKMYT1 inhibitors, Acrivon Therapeutics, Exelixis, Inc, Schrodinger, and Psivant have disclosed PKMYT1 inhibitor programs in preclinical development.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With respect to our PLK4 inhibitor product candidate, RP-1664, Exelixis, Inc. and Oric Pharmaceuticals have disclosed PLK4 inhibitor programs in early preclinical development, and Treadwell Therapeutics has a non-selective PLK4 inhibitor program in the clinic.</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our preclinical Polθ ATPase inhibitor program, RP-3467, Artios Pharma, IDEAYA Biosciences (in collaboration with GlaxoSmithKline plc), Varsity Pharma, Breakpoint Therapeutics, Rhizen Pharmaceuticals AG, and Simcere Pharmaceutical have Polθ programs in various stages of clinical and preclinical development.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compete for available patient pool, slowing our accrual in trials,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of Drug Products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New Drug Application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laboratory and animal tests that must be conducted in accordance with good laboratory practices (GLPs);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for each clinical site or centrally before each trial may be initiated;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proposed product candidate for its intended use, performed in accordance with good clinical practices (GCPs);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and payment of user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pre-approval inspection of manufacturing facilities and selected clinical investigators for their compliance with cGMP and GCPs;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to permit commercial marketing for particular indications for use;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(REMS), and the potential requirement to conduct post-approval studies.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access to unblinded data during the clinical trial and may advise the sponsor to halt the clinical trial if it determines that there is an unacceptable safety risk for subjects or other grounds, such as no demonstration of efficacy.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general, for purposes of NDA approval, human clinical trials are typically conducted in three sequential phases that may overlap.</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serious adverse events occur.</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Special FDA Expedited Review and Approval Programs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and regularly update FDA on their progress,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life-threatening disease is required to make available, such as by posting on its website, its policy on responding to requests for expanded access.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fast track designation, breakthrough therapy designation, accelerated approval and priority review do not change the standards for approval and may not ultimately expedite the development or approval process.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NDA Submission and Review by the FDA</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Once the FDA’s review of the application is complete, the FDA will issue either a Complete Response Letter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Marketing Exclusivity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(ANDA) a 505(b)(2) NDA submitted by another company that contains the previously approved active moiety. An ANDA or 505(b)(2) application, however, may be submitted one year before NCE exclusivity expires if a Paragraph IV certification is filed.</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the United States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will be subject to similar foreign laws and regulations concerning the development of our product candidates outside of the United States.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Regulations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(HHS) and its various divisions, including Centers for Medicare &amp; Medicaid Services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cumulative review of all of its facts and circumstances. Additionally, the Patient Protection and Affordable Care Act of 2010, as amended by the Health Care and Education Reconciliation Act of 2010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(FCA).</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federal civil and criminal false claims laws, including the FCA, and civil monetary penalties laws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 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created additional federal criminal statutes that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the federal Open Payments program pursuant to the Physician Payments Sunshine Act, created under Section 6002 of the ACA and its implementing regulations, requires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(defined to include doctors, dentists, optometrists, podiatrists and chiropractors), other healthcare professionals (such as physicians assistants and nurse practitioners),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HIPAA, as amended by the Health Information Technology for Economic and Clinical Health Act (HITECH), and their implementing regulations, impose requirements relating to the privacy, security and transmission of individually identifiable health information held by covered entities and their business associates and covered subcontractors.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payor separately, with no assurance that coverage and adequate reimbursement will be applied consistently or obtained in the first instance.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designed to change the healthcare system.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example, the pharmaceutical industry in the United States has been affected by the passage of 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Prior to the U.S. Supreme Court ruling,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additional healthcare reform measures of the Biden administration will impact the ACA.</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included aggregate reductions of Medicare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payments to providers of 2.0% per fiscal year, which went into effect in April 2013, and due to subsequent legislative amendments will remain in effect through 2032, unless additional U.S. Congressional action is taken.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(APMs) and the Merit-based Incentive Payment System (MIPS). In November 2019, CMS issued a final rule finalizing the changes to the Quality Payment Program. Under both APMs and MIPS, performance data collected each performance year will affect Medicare payments in later years, including potentially reducing payments. Any reduction in reimbursement from Medicare or other government programs may result in a similar reduction in payments from private payors.</w:t>
      </w:r>
    </w:p>
    <w:p>
      <w:pPr>
        <w:spacing w:after="0" w:line="1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Presidential executive orders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to advance these principles. In addition, the IRA, among other things, (1) directs HHS to negotiate the price of certain single-source drugs and biologics covered under Medicare and</w:t>
      </w:r>
    </w:p>
    <w:p>
      <w:pPr>
        <w:spacing w:after="0" w:line="6" w:lineRule="exact"/>
        <w:rPr>
          <w:sz w:val="20"/>
          <w:szCs w:val="20"/>
          <w:color w:val="auto"/>
        </w:rPr>
      </w:pPr>
    </w:p>
    <w:p>
      <w:pPr>
        <w:jc w:val="both"/>
        <w:ind w:firstLine="8"/>
        <w:spacing w:after="0" w:line="251" w:lineRule="auto"/>
        <w:tabs>
          <w:tab w:leader="none" w:pos="2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unclear whether this executive order or similar policy initiatives will be implemented in the future.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In the future, there will likely continue to be proposals relating to the reform of the U.S. healthcare system, some of which could further limit coverage and reimbursement of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16, 2024, we had 179 full-time employees, including 66 who hold an M.D. or Ph.D. degree. Of these full-time employees, 143 were primarily engaged in research and development activities and 36 were primarily engaged in management or general and administrative activities. None of our employees is represented by a labor union and we consider our employee relations to be good. We are committed to strict policies and procedures to maintain a safe work environment. The health and safety of our employees, patients and communities are of primary concern.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Core Values; Culture Drivers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core values are as follow:</w:t>
      </w:r>
    </w:p>
    <w:p>
      <w:pPr>
        <w:spacing w:after="0" w:line="117" w:lineRule="exact"/>
        <w:rPr>
          <w:sz w:val="20"/>
          <w:szCs w:val="20"/>
          <w:color w:val="auto"/>
        </w:rPr>
      </w:pPr>
    </w:p>
    <w:p>
      <w:pPr>
        <w:ind w:left="1540" w:hanging="514"/>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come first.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and trust are core.</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empathetic and aim to bring out the best in each other.</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open, direct, and authentic.</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embrace risk and thrive because of our courage to dream.</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culture is reflected in our five culture drivers: results, resilience, collaboration, transformation and innovation. Through our core values and culture drivers, our employees work to meaningfully improve the lives of cancer patients through our science.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Focus and Commitment to Culture, Competitive Compensation and Employee Benefits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highly skilled and innovative professionals to conduct our research, development and business activities. Our ability to attract, retain and motivate employees is critical to the continued success of our business and it is our goal to offer competitive compensation and benefits, a collaborative and inclusive work environment, ongoing skills development initiatives, attractive career advancement opportunities, and a culture that rewards innovation and exceptional execution.</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dedicated to building a talented team and strive to offer competitive compensation packages. In addition to competitive base salaries, the other competitive benefits that we provide to all employees include annual equity and cash incentive plans, comprehensive healthcare and insurance benefits, retirement benefits and an employee share purchase plan. The principal purposes of these employee benefits are to attract, retain and reward top talent in order to support our business objectives, assist in the achievement of our strategic goals and align the interests of employees with the interests of our shareholders. Beyond compensation and benefits, we believe that continued growth and development are essential to the professional well-being of our team. We seek to develop our employee talent within the organization through access to training, continuous learning programs, lunch &amp; learn sessions, tuition reimbursement and other development initiatives. As our organization and capabilities grow, we aim to ensure we have provided our team members with the guidance and resources they need to develop as professionals and to support our business.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past three years, our employee turnover has remained consistently below average for the life sciences industry generally. We continually assess employee turnover, recruitment initiatives, employee engagement, compensation and benefits programs and other matters relevant to human capital management, and we review results with our Board of Directors on a periodic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under the Canada Business Corporations Act on September 6, 2016. Immediately prior to completion of our initial public offering on June 23, 2020, we were continued as a corporation under the Business Corporations Act (Québec) (QBCA). Our principal executive offices are located at 7171 Frederick-Banting, Building 2, Suite 270, St-Laurent, Quebec, H4S 1Z9 and our telephone number is 857-412-7018. In June 2017, we incorporated our wholly-owned subsidiary, Repare Therapeutics USA Inc., a Delaware corporation, which is located at 101 Main Street, Suite 1650, Cambridge, Massachusetts 02142.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an internet website at www.reparerx.com and make available free of charge through our website our Annual Reports on Form 10-K, Quarterly Reports on Form 10-Q, Current Reports on Form 8-K and amendments to those reports filed or furnished pursuant to Sections 13(a) and 15(d) of the Exchange Act of 1934 (the “Exchange Act”). We make these reports available through our website as soon as reasonably practicable after we electronically file such reports with, or furnish such reports to, the Securities and Exchange Commission (the “SEC”). You can review our electronically filed reports and other information that we file with the SEC on the SEC’s web site at http://www.sec.gov and on SEDAR at http://www.sedarplus.com. In addition, we regularly use our website to post information regarding our business, product development programs and governance, and we encourage investors to use our website, specifically the sections title “Investors &amp; Media” as a source of information about us.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on our website is not incorporated by reference into this Annual Report on Form 10-K and should not be considered to be part of this Annual Report on Form 10-K. Our website address is included in this Annual Report on Form 10-K as an inactive technical reference only.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founded in 2016, and our operations to date have focused primarily on raising capital, organizing and staffing our company, conducting discovery and research activities, identifying potential synthetic lethal (SL) gene pairs, establishing and protecting our intellectual property portfolio including for our proprietary SNIPRx platform, developing and progressing our product candidates through preclinical studies and clinical development, including continuing our open-label Phase 1/2 clinical trials of camonsertib, our ongoing Phase 1 clinical trials of lunresertib, our ongoing Phase 1 clinical trial evaluating RP-1664,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8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have no products approved for commercial sale and have not generated any product revenue to date, and we are devoting substantially all of our financial resources and efforts to research and development of our product candidates including camonsertib, lunresertib, RP-1664, as well as to enhancing our SNIPRx platform. To date, we have primarily funded our operations through sales of equity securities, including our IPO in June 2020 and our follow-on offering in November 2021, as well as upfront payments from collaboration and research agreements.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in 2016. Our net loss was $93.8 million, and $29.0 million for the years ended December 31, 2023 and 2022, respectively. As of December 31, 2023, we had an accumulated deficit of $333.1 million. We expect to continue to incur significant expenses and increasing operating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losses for the foreseeable future. It could be several years, if ever, before we have a commercialized drug. We anticipate that our expenses will increase substantially if, and as, we:</w:t>
      </w:r>
    </w:p>
    <w:p>
      <w:pPr>
        <w:spacing w:after="0" w:line="54"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development of our product candidates, including our ongoing open-label Phase 1/2 clinical trials of camonsertib, Phase 1 clinical trials of lunresertib and Phase 1 clinical trial evaluating RP-1664;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 including our earlier-stage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novel SL targets, develop small molecule inhibitors of these targets, nominate and develop additional product candidates and further expand our clinical product pipeline;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portfolio of product candidates through the discovery, development, or acquisition or in-license of drugs, product candidates or technologies;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manufacturing and distribution capability to commercialize any product candidate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associated with operating as a public company, particularly since we are now an accelerated filer and are no longer a smaller reporting company starting with the filing of our first Quarterly Report on Form 10-Q in 2024.</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any product candidates that we may pursue, obtaining regulatory approval, procuring commercial-scale manufacturing, marketing, and selling any products for which we may obtain regulatory approval, as well as discovering or acquiring and then developing additional product candidates. We are only in the preliminary stages of some of these activities. We may never succeed in these activities and, even if we do, may never generate revenues that are significant enough to achieve profitability.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(FDA), the EMA, or other regulatory authorities to perform studies in addition to those we currently expect, or if there are any delays in the initiation and completion of our clinical trials or the development of camonsertib, lunresertib, RP-1664, or any future product candidates.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284"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To date, we have primarily funded our operations through sales of equity securities, including our IPO in June 2020 and our follow-on offering in November 2021, as well as upfront payments from collaboration and research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agreements. We expect to spend substantial amounts to advance our product candidates into clinical development and to complete the clinical development of, seek regulatory approvals for and commercialize our product candidates, if approved. We will require additional capital, which we may raise through equity offerings, debt financings, marketing and distribution arrangements and other collaborations, milestone and royalty payments under our current or future strategic alliances and licensing arrangements or other sources to enable us to complete the development and potential commercialization of our product candidates. Furthermore, we have incurred and will continue to incur additional costs associated with operating as a public company. Adequate additional financing may not be available to us on acceptable terms, or at all. Weakness and volatility in the capital markets and the economy in general could limit our access to capital markets and increase our costs of borrowing.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our cash and cash equivalents and marketable securities on hand was $223.6 million. In February 2024, we received a $40 million milestone payment from Roche upon dosing of the first patient with camonsertib in Roche’s TAPISTRY trial. We believe that our cash, cash equivalents and marketable securities, will enable us to fund our operating expenses and capital expenditure requirements into mid-2026. However, we will need to obtain substantial additional funding in connection with our continuing operations and planned activities. Our future capital requirements will depend on many factors, including:</w:t>
      </w:r>
    </w:p>
    <w:p>
      <w:pPr>
        <w:spacing w:after="0" w:line="75" w:lineRule="exact"/>
        <w:rPr>
          <w:sz w:val="20"/>
          <w:szCs w:val="20"/>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ongoing and planned development of our product candidates, including our ongoing Phase 1 clinical trials of lunresertib and our ongoing Phase 1 clinical trial evaluating RP-1664;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progress and results of our ongoing clinical trials, including our ongoing Phase 1 clinical trials of lunresertib and our ongoing Phase 1 clinical trial evaluating RP-1664;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development and possible clinical trials of our current earlier-stage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research programs and preclinical development of other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requirements of other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that we are required to make or eligible to receive under our current or future collaboration agreements;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a sales, marketing and distribution infrastructure to commercialize any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regulatory authorities;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partner our programs, acquire or in-license other product candidates and technologies or enter into additional strategic collaborations;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camonsertib, lunresertib, RP-1664 and any future product candidates for which we or our collaborators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equipment and physical infrastructure to support our research 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camonsertib, lunresertib, RP-1664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296"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shareholders, restrict our operations, or require us to relinquish rights to our product candidates.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If we are unable to advance our product candidates into and through clinical development, obtain regulatory approval and ultimately commercialize any of our product candidates, or experience significant delays in doing so, our business will be materially harmed.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no products approved for sale and our initial clinical product candidates, camonsertib lunresertib and RP-1664, are still in the early stages of clinical development and will require additional clinical 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by us or our collaborators of camonsertib, lunresertib, RP-1664 and one or more of our other product candidates. The success of our product candidates will depend on several factors, including the following:</w:t>
      </w:r>
    </w:p>
    <w:p>
      <w:pPr>
        <w:spacing w:after="0" w:line="7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including the identification of clinical candidates for each of our preclinical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investigational new drug (IND) applications for our planned or future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EMA or foreign regulatory authority of our development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for our product candidates that are satisfactory to the FDA, EMA or any foreign regulatory authority for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cancer therapies;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products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is no guarantee that the results obtained in current preclinical studies, our ongoing open-label Phase 1/2 clinical trials of camonsertib, our ongoing Phase 1 clinical trials of lunresertib, our ongoing Phase 1 clinical trial evaluating RP-1664 or any future clinical trials of any product candidate will be sufficient to obtain regulatory approval or marketing authorization for such product candidate.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84" w:lineRule="exact"/>
        <w:rPr>
          <w:sz w:val="20"/>
          <w:szCs w:val="20"/>
          <w:color w:val="auto"/>
        </w:rPr>
      </w:pPr>
    </w:p>
    <w:p>
      <w:pPr>
        <w:jc w:val="both"/>
        <w:ind w:lef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substantially depends upon the successful development of product candidates generated through the application of our SNIPRx platform, and in particular, our initial product candidates, camonsertib, lunresertib, and RP-1664. If we or our collaborators are unable to obtain regulatory approval for, and successfully commercialize, products developed through the application of our SNIPRx platform, our business may be materially harmed.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initial clinical product candidates, camonsertib, lunresertib and RP-1664, were developed through the application of our SNIPRx platform. All of our product candidates to date were derived based on the same principle of SL. As such, negative results in the development of camonsertib, lunresertib or RP-1664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camonsertib, lunresertib or RP-1664 shows unexpected adverse events or a lack of efficacy in the indications they are intended to treat, or if we or our collaborators experience other regulatory or developmental issues, our development plans and business could be significantly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conducting clinical trials.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limited experience as a company in conducting clinical trials. We began our first clinical trial of camonsertib in July 2020, our first clinical trial of lunresertib in April 2021 and our first clinical trial of RP-1664 in February 2024. In part because of this lack of experience, we cannot be certain that our clinical trials will begin or be completed on time, if at all. Large-scale clinical trials would require significant additional financial and management resources and reliance on third-party clinical investigators, contract research organizations (CROs), and consultants. Relying on third-party clinical investigators, CROs and consultants may force us to encounter delays that are outside of our control. We may be unable to identify and contract with sufficient investigators, CROs and consultants on a timely basis or at all. There can be no assurance that we will be able to negotiate and enter into any master services agreement with CROs, as necessary, on terms that are acceptable to us on a timely basis or at all.</w:t>
      </w:r>
    </w:p>
    <w:p>
      <w:pPr>
        <w:spacing w:after="0" w:line="293"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filed INDs for camonsertib, lunresertib and RP-1664,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93"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will eventually provide validation of our SNIPRx platform, we have not, to date, sought regulatory approval for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Targeted therapeutics that appear promising in the early phases of development may fail to reach the market for several reasons, including:</w:t>
      </w:r>
    </w:p>
    <w:p>
      <w:pPr>
        <w:spacing w:after="0" w:line="117" w:lineRule="exact"/>
        <w:rPr>
          <w:sz w:val="20"/>
          <w:szCs w:val="20"/>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or preclinical studies may show our targeted small molecule inhibitors or antagonists to be less effective than desired or to have harmful or problematic side effects or toxicities;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identify, validate or develop clinically relevant biomarkers for our targeted therapeutic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receive the necessary regulatory approvals or a delay in receiving such approvals. Among other things, such delays may be caused by slow enrollment in clinical trials, patients dropping out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54" w:lineRule="exact"/>
        <w:rPr>
          <w:sz w:val="20"/>
          <w:szCs w:val="20"/>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formulation issues, pricing or reimbursement issues, or other factors that may make our targeted therapeutic small molecule inhibitors uneconomical;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alternative treatments or evolution in the standard of care for our targets may make our drugs less attractive;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66"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or our collaborators may experience numerous unforeseen events prior to, during, or as a result of, clinical trials that could delay or prevent our ability to receive marketing approval or commercialize camonsertib, lunresertib, RP-1664 and any future product candidates, including: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combination trials due to lack of access to the drugs with which we are testing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business disruptions affecting the initiation, patient enrollment, development and operation of our clinical trials, including a public health emergency, such as the COVID-19 pandemic;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risk evaluation and mitigation strategy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 consuming and difficult to design and implement.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clinical testing before we are prepared to submit a new drug application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camonsertib, lunresertib, RP-1664 and any future product candidates will take several years to complete. Furthermore, failure can occur at any stage, and we could encounter problems that cause us to abandon or repeat clinical trials.</w:t>
      </w:r>
    </w:p>
    <w:p>
      <w:pPr>
        <w:spacing w:after="0" w:line="293"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initiated our first clinical trial, an open-label Phase 1/2 clinical trial of camonsertib, in the third quarter of 2020, initiated a Phase 1 clinical trial of lunresertib in the second quarter of 2021, and initiated a Phase 1 clinical trial of RP-1664 in the first quarter of 2024.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 The changing regulatory landscape may require larger and randomized trials that will take a longer time to perform.</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some of our trials may be open-label studies, where both the patient and investigator know whether the patient is receiving the investigational product candidate or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Further, as our trials are in patients who encountered multiple therapy failures previously, interpretation of results may be biased both towards lesser activity and at the same time towards a population that is able to tolerate and possibly benefit from novel therapies. Hence interpretation of any results from this population may not directly translate to our eventual pivotal trial population that will likely be more homogenous and less pretreated.</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Data obtained from preclinical and clinical activities are subject to varying interpretations, which may delay, limit, or prevent regulatory approval. Moreover, as the development of the SL pair, ATM-ATR, is still early,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clinical validation of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ongoing and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291"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 There is a limited history of multi-tumor indications, and any regulatory approvals may be conditioned upon confirmatory trials with clinical endpoints 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91"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Aside from PARP inhibitors, such as Lynparza, Rubraca, Zejula and Talzenna, no small molecule inhibitor therapeutics for SL in DNA damage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7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to expand the potential patient populations that can be treated with our product candidates.</w:t>
      </w:r>
    </w:p>
    <w:p>
      <w:pPr>
        <w:spacing w:after="0" w:line="19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9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any product candidates we develop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physicians, patients, the medical community or third-party payors.</w:t>
      </w:r>
    </w:p>
    <w:p>
      <w:pPr>
        <w:spacing w:after="0" w:line="329"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Difficulty in enrolling patients could delay or prevent clinical trials of our product candidates. We may find it difficult to enroll patients in our ongoing and planned clinical trials with the genomic alterations that these trials are designed to target.</w:t>
      </w:r>
    </w:p>
    <w:p>
      <w:pPr>
        <w:spacing w:after="0" w:line="5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identified by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our ability to enroll eligible patients may be limited or may result in slower enrollment than we anticipate. Certain genes identified by our STEP</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screens may not yet be included in commercially available panels or CLIA-validated panels used in large academic centers. We cannot be certain how many patients will have each of the genomic alterations that the applicable product candidate is designed to target or that the number of patients enrolled for each mutation will suffice for regulatory approval and inclusion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each such mutation in the approved label. We may be unsuccessful in our efforts to work with our clinical partners to identify patients who are eligible for our clinical trials.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 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enrollment of patients further depends on many factors, including: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competing therapies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genetic sequencing information for patient tumors so that we can identify patients with the targeted genomic alterations;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68" w:lineRule="exact"/>
        <w:rPr>
          <w:sz w:val="20"/>
          <w:szCs w:val="20"/>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approvals of such product, or seek an injunction against its manufacture and distribution;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could become less competitive;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strategic collaborator for the product may choose to terminate its agreement and compromise our ability to commercialize such product in the collaborator’s geography;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91" w:lineRule="exact"/>
        <w:rPr>
          <w:sz w:val="20"/>
          <w:szCs w:val="20"/>
          <w:color w:val="auto"/>
        </w:rPr>
      </w:pPr>
    </w:p>
    <w:p>
      <w:pPr>
        <w:jc w:val="both"/>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also risks associated with diagnostics that are commercially available, including that we may not have access to reliable supply for such diagnostics.</w:t>
      </w:r>
    </w:p>
    <w:p>
      <w:pPr>
        <w:spacing w:after="0" w:line="266"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of any of our product candidates may be tied to the regulatory approval, market acceptance and continued availability of a companion diagnostic.</w:t>
      </w:r>
    </w:p>
    <w:p>
      <w:pPr>
        <w:spacing w:after="0" w:line="4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FDA and other comparable regulatory authorities regulate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 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example, the genomic alterations our compounds are addressing, such as ATM loss and CCNE1 amplification, are uncommon genetic alterations in tumors, or their subsets and their prognostic significance has not been fully validated for the patient populations that we are targeting. Such development risk contributes to the costs that we may need to bear in validating the alterations as well as the optimal method of diagnostic screening for our clinical trial populations.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7"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explored and may continue to explore the use of our product candidates in combination with other therapies, including those that are not yet approved. For example, our ongoing Phase 1 MYTHIC clinical trial is evaluating camonsertib in combination with lunresertib.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8"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66"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68"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current or future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cancer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precision medicines and public perception of other precision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including with respect to diagnostic tools for our product candidates, and the availability of testing for patient selection;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if approved, and the availability of adequate coverage and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or adequate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drugs before or more successfully than us.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 larger research and development team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(part of Eli Lilly and Company), Blueprint Medicines Corporation, SpringWorks Therapeutics, Inc., Black Diamond Therapeutics, Inc., Deciphera Pharmaceuticals, Inc., Tango Therapeutics, Inc., Zentalis Pharmaceuticals, Inc., Turning Point Therapeutics, Inc. (acquired by Bristol-Myers Squibb), and Exelixis, Inc. are developing precision oncology medicines. In addition, we may face competition from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developing product candidates that are based on SL, including AstraZeneca, GlaxoSmithKline, Pfizer, Bayer, Merck Serono, Schrodinger, Inc., Exelixis, Inc., Artios Pharma Ltd., IDEAYA Biosciences, Inc, Impact Therapeutics, Aprea Therapeutics, Shanghai De Novo Pharmatech, Tide Pharmaceutical, Acrivon Therapeutics, Biocity Biopharma, Oric Pharmaceuticals, Schrodinger, Treadwell Therapeutics, Varsity Pharma, Breakpoint Therapeutics, Rhizen Pharmaceuticals AG, Simcere Pharmaceutical, and Shouyao Holdings.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91"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68"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and rules governing drug commercialization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export controls, sanctions,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such as the military conflict involving Russia and Ukraine as well as the Middle-East conflicts, and terrorism, natural disasters including earthquakes, typhoons, floods and fires, or from economic or political instability, or public health emergencies, boycotts, curtailment of trade and other business restrictions;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with enforcing our contracts;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noncompliance with the U.S. Foreign Corrupt Practices Act, the U.K. Bribery Act 2010 and similar anti-bribery and anticorruption laws in other jurisdictions;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8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 candidates, which could make it difficult for us to sell profitably or at all, if approved.</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Market acceptance and sales of any product candidates that we commercialize, if approved, will depend in part on the extent to which reimbursement for these drugs and related treatments will be available from third-party payors,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including government health administration authorities, managed care organizations and other private health insurers. 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any product candidates that we develop.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any of our products once approved, market acceptance and commercial success would be limited.</w:t>
      </w:r>
    </w:p>
    <w:p>
      <w:pPr>
        <w:spacing w:after="0" w:line="291"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86"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117"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93"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8"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are subject, directly or indirectly, to federal and state healthcare fraud and abuse laws, false claims laws, transparency, health information privacy and security laws, and other healthcare laws and regulations. If we are unable to comply, or have not fully complied, with such laws, we could face substantial penalties.</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Such laws include:</w:t>
      </w:r>
    </w:p>
    <w:p>
      <w:pPr>
        <w:spacing w:after="0" w:line="75" w:lineRule="exact"/>
        <w:rPr>
          <w:sz w:val="20"/>
          <w:szCs w:val="20"/>
          <w:color w:val="auto"/>
        </w:rPr>
      </w:pPr>
    </w:p>
    <w:p>
      <w:pPr>
        <w:jc w:val="both"/>
        <w:ind w:left="1020" w:hanging="503"/>
        <w:spacing w:after="0" w:line="25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6" w:lineRule="exact"/>
        <w:rPr>
          <w:sz w:val="20"/>
          <w:szCs w:val="20"/>
          <w:color w:val="auto"/>
        </w:rPr>
      </w:pPr>
    </w:p>
    <w:p>
      <w:pPr>
        <w:jc w:val="both"/>
        <w:ind w:left="503"/>
        <w:spacing w:after="0" w:line="256" w:lineRule="auto"/>
        <w:rPr>
          <w:sz w:val="20"/>
          <w:szCs w:val="20"/>
          <w:color w:val="auto"/>
        </w:rPr>
      </w:pPr>
      <w:r>
        <w:rPr>
          <w:rFonts w:ascii="Times New Roman" w:cs="Times New Roman" w:eastAsia="Times New Roman" w:hAnsi="Times New Roman"/>
          <w:sz w:val="18"/>
          <w:szCs w:val="18"/>
          <w:color w:val="auto"/>
        </w:rPr>
        <w:t>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79" w:lineRule="exact"/>
        <w:rPr>
          <w:sz w:val="20"/>
          <w:szCs w:val="20"/>
          <w:color w:val="auto"/>
        </w:rPr>
      </w:pPr>
    </w:p>
    <w:p>
      <w:pPr>
        <w:jc w:val="both"/>
        <w:ind w:left="503" w:hanging="503"/>
        <w:spacing w:after="0" w:line="258"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54"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and their business associates, independent contractors of a covered entity that perform certain services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Public Health Service Act, which prohibits, among other things, the introduction into interstate commerce of a biological product unless a biologics license is in effect for that product;</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56"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(CMS) information related to certain payments and other transfers of value to physicians (currently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jc w:val="both"/>
        <w:ind w:left="503" w:hanging="503"/>
        <w:spacing w:after="0" w:line="254"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80"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laws in other jurisdictions including, but not limited to, laws relating to interactions with government officials, privacy laws, transparency laws, laws relating to reimbursement, competition,</w:t>
      </w:r>
    </w:p>
    <w:p>
      <w:pPr>
        <w:spacing w:after="0" w:line="378"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88" w:name="page89"/>
    <w:bookmarkEnd w:id="88"/>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consumer protection laws, laws relating to the marketing of health products and other healthcare-related laws.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292"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other jurisdictions, there have been, and we expect there will continue to be, a number of legislative and regulatory changes and proposed changes to the healthcare system that could affect our future results of operations. For example, in March 2010, the Patient Protection and Affordable Care Act (ACA) was enacted, which substantially changed the way healthcare is financed by both governmental and private insurers. The ACA, among other things,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Moreover, prior to the U.S. Supreme Court ruling, on January 28, 2021, President Biden issued an executive order that initiated a special enrollment period for purposes of obtaining health insurance coverage through the ACA marketplace. The executive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(IRA) into law, which among other things, extends enhanced subsidies for individuals purchasing health insurance coverage in ACA marketplaces through plan year 2025. The IRA also eliminates the “donut-hole”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also unclear how any such challenges and other litigation, and further healthcare reform measures of the Biden administration will impact the ACA and our business.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until 2032 unless additional action is taken by Congress.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8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 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unclear whether the models will be utilized in any health reform measures in the future.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face potential liability if we obtain identifiable patient health information from clinical trials sponsored by us.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EU General Data Protection Regulation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284"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Trade controls may restrict or prohibit altogether the sale or supply of certain products and services to certain governments, persons, entities, countries, and territories, including those that are the target of comprehensive sanctions, unless there are license exceptions that apply or specific licenses are obtained.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ind w:lef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291" w:lineRule="exact"/>
        <w:rPr>
          <w:sz w:val="20"/>
          <w:szCs w:val="20"/>
          <w:color w:val="auto"/>
        </w:rPr>
      </w:pPr>
    </w:p>
    <w:p>
      <w:pPr>
        <w:jc w:val="both"/>
        <w:ind w:lef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(CMOs). Any replacement of our CMOs could require significant effort and expertise because there may be a limited number of qualified CMOs. This could be particularly problematic where we rely on a single-source supplier.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may be subject to damage or interruption from, among other things, fire, natural or man-made disaster, war, disease outbreaks or public health pandemics, power loss, telecommunications failure, unauthorized entry, computer viruses, denial-of-service attacks, acts of terrorism, human error, vandalism or sabotage, financial insolvency, bankruptcy, and similar events. For example, the COVID-19 pandemic impacted our supply chain, in particular our vendors’ ability to find staff, and may in the future impact our manufacturing activities.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were to experience an unexpected loss of supply of or if any supplier were unable to meet our demand for any of our product candidates, we could experience delays in our research or ongoing and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collaborations will be important to our business. If we are unable to enter into new collaborations as appropriate, or if these collaborations are not successful, our business could be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in June 2022, we entered into a collaboration and license agreement with Roche regarding the development and commercialization of our product candidate camonsertib and other specified ATR inhibitors, for which we received written notice of termination on February 7, 2024. In May 2020, we entered into a collaboration and license agreement with Bristol-Myers Squibb pursuant to which we and Bristol-Myers Squibb have agreed to collaborate in the research and development of potential new product candidates for the treatment of cancer. These and any future collaborations we enter into may pose a number of risks, including, but not limited to, the following:</w:t>
      </w:r>
    </w:p>
    <w:p>
      <w:pPr>
        <w:spacing w:after="0" w:line="75"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8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choose to deemphasize the development or commercialization of a product candidate licensed to it by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Moreover, we may not receive all of the milestone or royalty payments we are entitled to receive under our current and future collaboration agreements. For example, pursuant to the terms of the Roche Agreement we were entitled to receive up to $1.172 billion in potential development, regulatory, commercial and sales milestones, plus royalties on global net product sales. In February 2024, we received a $40 million milestone payment from Roche earned upon dosing of the first patient with camonsertib in Roche’s TAPISTRY trial. Additionally, pursuant to the terms of our collaboration and license agreement with Bristol-Myers Squibb, we are entitled to receive up to $301.0 million in total milestones per each program subject to the agreement. However, given the overlapping nature of the triggers for these milestone payments, as well as the uncertainty associated with achieving any of such milestones, it is unlikely that we will receive the entire $301.0 million in milestone payments with respect to each program subject to the agreement.</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of the risks relating to product development, regulatory approval and commercialization described in this Annual Report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Moreover, we may not be able to obtain intellectual property protection with respect to the SL pairs that we identify which are the targets of our current and future product candidates. Although we expect that the compounds underlying our product candidates will be protectable through intellectual property rights, our competitors could develop their own inhibitors based on the SL pairs we identify that might not be protected by our intellectual property rights.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Roche controls prosecution of patents related to their in-license on camonsertib; however, such rights will revert to Repare upon the effectiveness of termination of the Roche Agreement.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(USPTO) to determine who was the first to invent any of the subject matter covered by the patent claims of our applications.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our patents;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86" w:lineRule="exact"/>
        <w:rPr>
          <w:sz w:val="20"/>
          <w:szCs w:val="20"/>
          <w:color w:val="auto"/>
        </w:rPr>
      </w:pPr>
    </w:p>
    <w:p>
      <w:pPr>
        <w:jc w:val="both"/>
        <w:ind w:left="10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29"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in part on trade secrets to protect our technology, and our failure to obtain or maintain trade secret protection could harm our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54" w:lineRule="exact"/>
        <w:rPr>
          <w:sz w:val="20"/>
          <w:szCs w:val="20"/>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or formulations that are similar to our product candidates but that are not covered by the claims of any patents, should they issue, that we own or control;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strategic partners might not have been the first to make the inventions covered by the issued patents or pending patent applications that we own or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control may not provide us with any competitive advantages, or may be held invalid or unenforceable as a result of legal challenges;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have asserted trademark infringement has superior rights to the marks in question. In this case, we could ultimately be forced to cease use of such trademarks.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96"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31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of our product candidates. It may be necessary for us to use the patented or proprietary technology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8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Disputes may also arise between us and our current licensor or future licensors regarding intellectual property subject to a license agreement, including:</w:t>
      </w:r>
    </w:p>
    <w:p>
      <w:pPr>
        <w:spacing w:after="0" w:line="54"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8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0"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negatively impact our business.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our proprietary position is based, in part, on our know-how, a competitor’s discovery of our know-how or other unauthorized use or disclosure could have an adverse effect on our business and results of operations.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While we have a registered a trademark for our SNIPRx platform and SNIPDX biomarker platform technology, we have not yet selected trademarks for lunresertib and have not yet begun the process of applying to register trademarks for lunresertib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any proprietary name we propose to use with lunresertib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our business and competitive position would be harmed.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is unpredictable. In addition, some courts inside and outside the United States are less willing or unwilling to protect trade secrets.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293"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our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we may experience difficulties in managing this growth, which could disrupt our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16, 2024, we had 179 full-time employees, including 143 employees engaged in research and development and 36 engaged in management or general and administrative activities. As our clinical development and commercialization plans and strategies develop, we expect we will need additional managerial, operational, sales, marketing, financial, legal and other personnel. Future growth would impose significant added responsibilities on members of management, including:</w:t>
      </w:r>
    </w:p>
    <w:p>
      <w:pPr>
        <w:spacing w:after="0" w:line="72"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development efforts effectively, including the ongoing Phase 1 clinical trials of lunresertib,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8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pose currency risks, which may adversely affect our operating results.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287"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is governed by restrictive regulations governing the use, processing, and cross-border transfer of personal information.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created uncertainty with regard to data protection regulation in the United Kingdom. In particular, it is unclear how data transfers to and from the United Kingdom will be regulated.</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California recently enacted the California Consumer Privacy Act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96"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shares has been and is likely to continue to be volatile and fluctuate substantially.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shares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shareholders may not be able to sell their common shares at or above the price they paid for their common shares. The market price of our common shares may be influenced by many factors, including:</w:t>
      </w:r>
    </w:p>
    <w:p>
      <w:pPr>
        <w:spacing w:after="0" w:line="72"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macroeconomic events and their impact on the global markets;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timing and results of our ongoing clinical trials of lunresertib, camonsertib, RP-1664 and any future product candidates or those of our competitors;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or our collaborators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or failure in identifying new drug candidates to pursue in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SNIPRx platform in identification of new druggable SL targets;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therapies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make our product candidates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research or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any existing or future collaborations, including those related to the termination of our collaboration with Roche;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camonsertib, lunresertib, RP-1664 and any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delays in obtaining adequate drug supply for any approved drug or inability to do so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coverage and adequate reimbursement for any approved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shares by us, our executive officers, directors or principal shareholders, or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86"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elsewhere in this Annual Report.</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91"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upon our common shares outstanding as of December 31, 2023, our executive officers, directors, and shareholders who owned more than 5% of our outstanding common shares beneficially own shares, in the aggregate, representing approximately 71% of our common shares. If our executive officers, directors, and shareholders who owned more than 5% of our outstanding common shares acted together, they would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91"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shares will be influenced by the research and reports that industry or financial analysts publish about us or our business. We will not have any control over these equity research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287"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a substantial number of our common shares in the public market could cause the market price of our shares to drop significantly, even if our business is doing well.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common shares in the public market could occur at any time. If our shareholders sell, or the market perceived that our shareholders intend to sell, substantial amounts of our common shares in the public market, the market price of our common shares could decline significantly.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filed registration statements on Form S-8 to register our common shares that are issuable pursuant to our equity incentive plans. Shares registered under these registration statements on Form S-8 will be available for sale in the public market subject to vesting arrangements and exercise of options, as well as, in the case of our affiliates, the restrictions of Rule 144 under the Securities Act. Furthermore, in August 2022, we entered into the Sales Agreement with Cowen and Company, LLC as sales agent, pursuant to which we may issue and sell from time to time common shares up to a maximum aggregate amount of $125.0 million in sales deemed to be an “at the market offering,” as defined by the Securities Act.</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as of December 31, 2023, certain holders of an aggregate of 17,573,183 common shares, or their transferees, have rights, subject to some conditions, to require us to file one or more registration statements covering their shares or to include their shares in registration statements that we may file for ourselves or other shareholders. If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66"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w:t>
      </w:r>
    </w:p>
    <w:p>
      <w:pPr>
        <w:spacing w:after="0" w:line="284"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continuance permit us to issue an unlimited number of common shares and preferred shares without additional shareholder approval.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articles of continuance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articles of continuance also permit us to issue an unlimited number of preferred shares, issuable in one or more series and, subject to the provisions of the Business Corporations Act (Québec) (QBCA),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Subject to Nasdaq listing rules, we will not be required to obtain the approval of shareholders for the issuance of additional common shares and preferred shares.</w:t>
      </w:r>
    </w:p>
    <w:p>
      <w:pPr>
        <w:spacing w:after="0" w:line="266"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the Sarbanes-Oxley Act of 2002, or the Sarbanes-Oxley Act, as amended and the rules and regulations of The Nasdaq Global Market. Pursuant to Section 404(a) of the Sarbanes-Oxley Act, we are now required to perform system and process evaluation and testing of our internal control over financial reporting to allow our management to report on the effectiveness of our internal control over financial reporting. Furthermore, because the market value of our common shares held by non-affiliates was between $250 million and $700 million as of June 30, 2023 and our revenue for the year ended December 31, 2022 was more than $100 million, we qualify as an “accelerated filer” under the Exchange Act as of December 31, 2023. While we will be eligible to rely on certain scaled disclosure exemptions available to smaller reporting companies until the filing of our first Quarterly Report on Form 10-Q in 2024, we are required to comply with Section 404(b) of the Sarbanes Oxley Act starting with this Annual Report on Form 10-K. Section 404(b) of the Sarbanes-Oxley Act requires our independent registered public accounting firm to issue an annual report that addresses the effectiveness of our internal control over financial reporting. Preparing such attestation report and the cost of compliance with reporting requirements that we have not previously implemented will increase our expenses and require significant management time.</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will be unable to assert that our internal control over financial reporting is effective.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we may in the future discover weaknesses in our system of internal financial and accounting controls and procedures that could result in a material misstatement of our financial statements. Moreover,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firstLine="575"/>
        <w:spacing w:after="0" w:line="266"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investors could lose confidence in the reliability of our financial statements, the market price of our common shares could decline and we could be subject to sanctions or investigations by The Nasdaq Global Market, the SEC or other regulatory authorities.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there could be adverse U.S. federal income tax consequences to U.S. Holders.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we will be a passive foreign investment company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Based on the nature of our activities and the composition of our income and assets, we believe we were classified as a PFIC for the taxable year ended December 31, 2023.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Accordingly, our U.S. counsel expresses no opinion with respect to our PFIC status.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each year we are treated as a PFIC with respect to U.S. Holders, U.S. Holders will be subject to adverse 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unless such U.S. Holder makes a “qualified electing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fund” election, or QEF Election, with respect to all taxable years during such U.S. Holder’s holding period in which we are a PFIC, or our common shares constitute “marketable stock” and such U.S. Holder makes a mark-to-market election.</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 U.S. Holder makes an effective QEF Election, the U.S. Holder will be required to include in gross income each year, whether or not we make distributions, as capital gains, such U.S. Holder’s pro rata share of our net capital gains and, as ordinary income, such U.S. Holder’s pro rata share of our earnings in excess of our net capital gains. However, a U.S. Holder can only make a QEF election with respect to common shares in a PFIC if such company agrees to furnish such U.S. Holder with certain tax information annually. For the taxable year ending December 31, 2023, we intend to make available, upon request, certain information to enable U.S. Holders to make a QEF Election with respect to our common shares. However, we cannot guarantee that we will make such information available for all years in which we are a PFIC or that the information will be available at the time required for any particular U.S. Holder to make a QEF Election.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are a PFIC and our common shares are “marketable stock,” U.S. Holders can avoid the interest charge on excess distributions or gain relating to the common shares by making a mark-to-market election on our common shares. Common shares will be marketable stock if they are “regularly traded” on certain stock exchanges (including Nasdaq). A U.S. Holder that makes a mark-to-market election must include in ordinary income for each year an amount equal to the excess, if any, of the fair market value of the common shares at the close of the taxable year over the U.S. Holder’s adjusted tax basis in the common shares. An electing holder may also claim an ordinary loss deduction for the excess, if any, of the U.S. Holder’s adjusted basis in the common shares over the fair market value of the common shares at the close of the taxable year, but this deduction is allowable only to the extent of any net mark-to-market gains for prior years. Gains from an actual sale or other disposition of the common shares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the common shares cease to be marketable stock.</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Each U.S. Holder should consult its own tax advisors with respect to the potential adverse U.S. tax consequences to it if we are or were to become a PFIC and any elections (including a QEF Election or mark-to-market election) that may be available to such U.S. Holder that relate to our status as a PFIC.</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our common shares and is:</w:t>
      </w:r>
    </w:p>
    <w:p>
      <w:pPr>
        <w:spacing w:after="0" w:line="117"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(a) is subject to the primary supervision of a U.S. court and the control of one or more “United States persons” (within the meaning of Section 7701(a)(30) of the Code) or (b) has a valid election in effect to be treated as a United States person for U.S. federal income tax purposes.</w:t>
      </w:r>
    </w:p>
    <w:p>
      <w:pPr>
        <w:spacing w:after="0" w:line="28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common shares, such U.S. Holder may be treated as a “United States shareholder” with respect to each “controlled foreign corporation” in our group (if any) as such term is defined in the Code. We refer to this holder as a “Ten Percent Shareholder”.</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Each “Ten Percent Shareholder” in a non-U.S. corporation that is classified as a controlled foreign corporation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U.S. Holder should consult its own tax advisors with respect to the potential adverse U.S. tax consequences of becoming a Ten Percent Shareholder in a CFC. If we are classified as both a CFC and a PFIC, we generally will not be treated as a PFIC with respect to those U.S. Holders that meet the definition of a Ten Percent Shareholder during the period in which we are a CFC.</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non-capital loss carryforwards to offset future taxable income may be subject to certain limitations.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general, where control of a corporation has been acquired by a person or group of persons, subsection 111(5) of the Income Tax Act (Canada)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our ability to utilize non-capital losses could be limited by subsection 111(5) of the Canadian Tax Act. As of December 31, 2023, we had Canadian federal and provincial non-capital loss carry forwards of $263.8 million, which expire beginning in 2037 through 2043. In addition, we also have scientific research and experimental development expenditures of approximately $70.7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$11.7 million for Canadian federal income tax purposes, which expire beginning in 2036 through 2043.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301"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tax treatment of research and experimental expenditures as a result of U.S. federal tax legislative changes could increase our tax burden and adversely affect our business and financial condition.</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2017, the U.S. government enacted comprehensive tax legislation, the Tax Cuts and Jobs Act of 2017 (TCJA), significantly reformed the Internal Revenue Code of 1986, as amended (IRC). As a result of this legislation beginning in 2022, research and experimental expenditures subject to IRC Section 174 are no longer deductible in the year they are incurred for US tax purposes. Instead, U.S.-based specified research and experimental expenditures are required to be capitalized and amortized ratably over a five-year period. Any such expenditures attributable to research conducted outside the United States must be capitalized and amortized over a 15-year period. On January 19, 2024, the House Ways and Means Committee approved a proposed tax package titled “Tax Relief for American Families and Workers Act of 2024”, which restores IRC Section 174 expensing for U.S.-based specified research and experimental expenditures paid or incurred in tax years beginning after December 31, 2021, and before January 1, 2026. Despite bipartisan support, this legislation has not been enacted to date. On September 8, 2023, the Department of Treasury and the Internal Revenue Service issued interim guidance on IRC Section 174 in view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forthcoming regulations which supports the deduction of certain expenses that would otherwise be treated as specified research and experimental expenditures. Treasury regulations addressing the capitalization and amortization of specified research or experimental expenditures could differ from the interim guidance issued by the Department of Treasury and the Internal Revenue Service which could increase our tax burden and adversely affect our business and financial condition.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spacing w:after="0" w:line="291"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Canada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deductions and credits in respect of scientific research and experimental development expenditures may be challenged by tax authorities.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Tax authorities in Canada and the United States may not necessarily agree with our determinations of the expenses and tax credits claimed by us, including scientific research and experimental development expenses and related tax credits. If tax authorities successfully challenge such expenses or the correctness of such income tax credits claimed, our operating results could be adversely affected. Furthermore, if the tax authorities reduce the tax credit by reducing either the rate of the credit or the eligibility of some scientific research and experimental development expenses in the future, our operating results could be adversely affected.</w:t>
      </w:r>
    </w:p>
    <w:p>
      <w:pPr>
        <w:spacing w:after="0" w:line="287"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significantly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and maintain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98"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in Canada and the United States as the exclusive forum for certain litigation that may be initiated by our shareholders, which could limit our shareholders’ ability to obtain a favorable judicial forum for disputes with us.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courts of the Province of Québec and the appellate courts therefrom shall, to the fullest extent permitted by law, be the sole and exclusive forum for: (a) any derivative action or proceeding brought on our behalf; (b) any action or proceeding asserting a claim for breach of fiduciary duty owed to us by any of our directors, officers or other employees; (c) any action or proceeding asserting a claim arising out of any provision of the Business Corporations Act (Québec) or the articles or our bylaws (as either may be amended from time to time); or (d) any action or proceeding asserting a claim otherwise related to our affairs, or the Canadian Forum Provision. The Canadian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of America shall be the exclusive forum for the resolution of any complaint asserting a cause of action arising under the Securities Act, or the U.S. Federal Forum Provision. In addition, our amended and restated bylaws provide that any person or entity holding, owning, or otherwise acquiring any interest in any of our securities is deemed to have notice of and consented to the Canadian Forum Provision and the U.S. Federal Forum Provision.</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Canadian Forum Provision and the U.S. Federal Forum Provision in our amended and restated bylaws may impose additional litigation costs on shareholders in pursuing any such claims. Additionally, the forum selection clauses in our amended and restated bylaws may limit our shareholders’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courts in Canada and other courts within the United States, will enforce our U.S. Federal Forum Provision. If the U.S. Federal Forum Provision is found to be unenforceable, we may incur additional costs associated with resolving such matters. The U.S. Federal Forum Provision may also impose additional litigation costs on shareholders who assert that the provision is not enforceable or invalid. The courts of the Province of Québec and the federal district courts of the United States of America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Because we are a Canadian company, it may be difficult to serve legal process or enforce judgments against us.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incorporated and have our corporate headquarters in Québec,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governed by the corporate laws of Québec, which in some cases have a different effect on shareholders than the corporate laws of Delaware.</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governed by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w:t>
      </w:r>
    </w:p>
    <w:p>
      <w:pPr>
        <w:spacing w:after="0" w:line="296"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and certain Canadian legislation contain provisions that may have the effect of delaying or preventing certain change in control transactions or shareholder proposals.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provisions of our amended and restated bylaws and certain Canadian legislation, together or separately, could discourage or delay certain change in control transactions or shareholder proposals.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amended and restated bylaws contain provisions that establish certain advance notice procedures for nomination of candidates for election as directors at shareholders’ meetings. The QBCA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of these provisions may discourage a potential acquirer from proposing or completing a transaction that may have otherwise presented a premium to our shareholders.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and the results of our operations and financial condition, including changes in inflation, interest rates, or foreign currency exchange rates, banking crises, natural disasters, geopolitical instability resulting from war, terrorism and other violence, lasting effects of the COVID-19 pandemic or other global public health threats and overall economic conditions and uncertainties, including those resulting from the current and future conditions in the global financial markets and volatility and disruptions in the equity and debt markets. For instance, the COVID-19 pandemic previously adversely affected our ability to source materials and supplies. Inflation (such as that recently observed in the United States and elsewhere) has increased our business costs and could become more significant in the future. Interest rates, the liquidity of the credit markets and the volatility of the capital markets could also affect the value of our investments and our ability to liquidate our investments in order to fund our operations. Similarly, these macroeconomic factors could affect the ability of our contract manufacturers, sole-source or single-source suppliers to remain in business or otherwise manufacture or supply product.</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because some of our manufacturers and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supply and lead-times, our suppliers may not continue to provide us with clinical supply in our required quantities, to our required specifications and quality levels or at attractive prices. In addition, certain Chinese biotechnology companies and CMOs may become subject to trade restrictions, sanctions, and other regulatory requirements by the U.S. government, which could restrict or even prohibit our ability to work with such entities, thereby potentially disrupting the supply of material to us. Such disruption could have adverse effects on the development of our product candidates and our business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other data related to our ongoing research and development initiatives, which we refer to as Information Systems and Data.</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information technology function helps identify, assess and manage our cybersecurity threats and risks. Our information technology function identifies and assesses risks from cybersecurity threats by monitoring and evaluating our threat environment using various methods including, for example, automated vulnerability scanning tools of the threat environment, third-party cybersecurity audits, and use of external intelligence feeds.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vulnerability management, disaster recovery and business continuity plan, Incident response policy, system monitoring, data encryption and access controls.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For example, our information technology function works with management to prioritize our risk management processes and mitigate cybersecurity threats that are more likely to lead to a material impact to our business and our senior management evaluates material risks from cybersecurity threats against our overall business objectives and reports to the board of directors, which evaluates our overall enterprise risk.</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in identifying, assessing, and managing material risks from cybersecurity threats, including for example thread intelligence providers, cybersecurity software providers, managed cybersecurity service providers and cybersecurity testing firms.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hosting companies and contract research organizations. We manage cybersecurity risks associated with our use of these providers using several approaches, as deemed necessary, including security questionnaires, review of compliance reports, audits and the imposition of information security contractual obligations on vendors.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under Part 1. Item 1A. Risk Factors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board of directors’ audit committee is responsible for overseeing our cybersecurity risk management processes, including oversight and mitigation of risks from cybersecurity threats.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Executive Vice-President and Chief Financial Officer, our Vice-President of Finance and Corporate Controller and our Vice-President of Information Technology, who each have over 20 years of relevant experience.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is responsible for hiring appropriate personnel, helping to integrate cybersecurity risk considerations into our overall risk management strategy, and communicating key priorities to relevant personnel. Our management and audit committee are responsible for approving budgets, helping prepare for cybersecurity incidents, approving cybersecurity processes, and reviewing security assessments and other security-related reports.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policies are designed to escalate certain cybersecurity incidents to members of management depending on the circumstances, including our Executive Vice-President and Chief Financial Officer and President and Chief Executive Officer. Our Executive Vice-President and Chief Financial Officer is part of our incident response team to help us mitigate and remediate cybersecurity incidents of which they are notified. In addition, our incident response and vulnerability management policies include reporting to the audit committee of the board of directors for certain cybersecurity incidents.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reports from our information technology function concerning our significant cybersecurity threats and risks and the processes we have implemented to address them. The board of directors also has access to various reports, summaries or presentations related to cybersecurity threats, risk and mitigation.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Our headquarters is currently located in Montréal, Québec, Canada and consists of 24,039 square feet of combined laboratory and office space under a lease agreement that expires in August 2025. This facility provides the laboratory capacity for our CRISPR-enabled genome-wide synthetic lethal target platform, SNIPRx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including dedicated space for work related to accelerating our preclinical assets, including those under our research collaboration with Bristol-Myers Squibb. We also lease 11,312 square feet of office space in Cambridge, Massachusetts for our U.S.-based employees under a lease which expires in January 2025. We intend to renew our leases, move to new facilities or expand existing facilities to meet our growth, and we believe that suitable additional or substitute space will be available as needed to accommodate any such expansion of our operations.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our Common Shares</w:t>
      </w: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common shares are traded on The Nasdaq Global Select Market under the symbol “RPTX” and began trading on June 20, 2020. Prior to this time, there was no public market for our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approximately 14 holders of record of our common shares. This number does not reflect the beneficial holders of our common shares for whom shares are held in “nominee” or “street” name through brokerage accounts or other nominees.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audited consolidated financial statements and related notes appearing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leading clinical-stage precision oncology company enabled by our proprietary synthetic lethality approach to the discovery and development of novel therapeutics. Synthetic lethality (SL) represents a clinically validated approach to drug development. We use our proprietary, genome-wide, CRISPR-enabled SNIPRx platform to systematically discover and develop highly targeted cancer therapies that preferentially treat cancers due to mechanisms of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Using our SNIPRx platform, we internally developed four clinical or near-term clinical therapeutic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349240" cy="25292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020" w:hanging="503"/>
        <w:spacing w:after="0" w:line="259" w:lineRule="auto"/>
        <w:tabs>
          <w:tab w:leader="none" w:pos="10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Lunresertib </w:t>
      </w:r>
      <w:r>
        <w:rPr>
          <w:rFonts w:ascii="Times New Roman" w:cs="Times New Roman" w:eastAsia="Times New Roman" w:hAnsi="Times New Roman"/>
          <w:sz w:val="18"/>
          <w:szCs w:val="18"/>
          <w:color w:val="auto"/>
        </w:rPr>
        <w:t>(RP-6306) is a first-in-class, selective and potent oral small molecule inhibitor of PKMYT1 (Protein Kinase Membrane-associated tyrosine- and threonine- specific cdc-2 inhibitory kinase), a cancer target Repare discovered and identified as synthetic lethal with cyclin E1 (CCNE1) amplification, or deleterious alterations in FBXW7 or PPP2R1A in solid tumors such as gynecological, colorectal and upper gastrointestinal malignancies. Lunresertib is currently the sole PKMYT1 inhibitor known to be in clinical trials and is being evaluated alone and in combinations across several clinical trials in the US, UK/EU4, and Canada.</w:t>
      </w:r>
    </w:p>
    <w:p>
      <w:pPr>
        <w:spacing w:after="0" w:line="183" w:lineRule="exact"/>
        <w:rPr>
          <w:sz w:val="20"/>
          <w:szCs w:val="20"/>
          <w:color w:val="auto"/>
        </w:rPr>
      </w:pPr>
    </w:p>
    <w:p>
      <w:pPr>
        <w:jc w:val="both"/>
        <w:ind w:left="1060"/>
        <w:spacing w:after="0" w:line="266" w:lineRule="auto"/>
        <w:rPr>
          <w:sz w:val="20"/>
          <w:szCs w:val="20"/>
          <w:color w:val="auto"/>
        </w:rPr>
      </w:pPr>
      <w:r>
        <w:rPr>
          <w:rFonts w:ascii="Times New Roman" w:cs="Times New Roman" w:eastAsia="Times New Roman" w:hAnsi="Times New Roman"/>
          <w:sz w:val="18"/>
          <w:szCs w:val="18"/>
          <w:color w:val="auto"/>
        </w:rPr>
        <w:t>We presented positive initial Phase 1 data from our ongoing Phase 1 MYTHIC trial demonstrating proof of concept for lunresertib alone and in combination with camonsertib at the 35th AACR-NCI-EORTC International Conference in October 2023. Lunresertib was shown to be well tolerated, with a compelling safety profile. We further presented anti-tumor activity for lunresertib in combination with camonsertib.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both"/>
        <w:ind w:left="543"/>
        <w:spacing w:after="0" w:line="258" w:lineRule="auto"/>
        <w:rPr>
          <w:sz w:val="20"/>
          <w:szCs w:val="20"/>
          <w:color w:val="auto"/>
        </w:rPr>
      </w:pPr>
      <w:r>
        <w:rPr>
          <w:rFonts w:ascii="Times New Roman" w:cs="Times New Roman" w:eastAsia="Times New Roman" w:hAnsi="Times New Roman"/>
          <w:sz w:val="18"/>
          <w:szCs w:val="18"/>
          <w:color w:val="auto"/>
        </w:rPr>
        <w:t>Initial combination data included an overall RECIST response rate of 50% in the 10 patients with heavily pre-treated gynecological tumors treated at the preliminary recommended Phase 2 dose. We expect to provide MYTHIC data from expansion cohorts of the lunresertib and camonsertib combination in the second half of 2024. In the third quarter of 2023, we received fast track designation for lunresertib in combination with camonsertib for the treatment of adult patients with CCNE1 amplified, or FBXW7 or PPP2R1A mutated endometrial cancer.</w:t>
      </w:r>
    </w:p>
    <w:p>
      <w:pPr>
        <w:spacing w:after="0" w:line="183" w:lineRule="exact"/>
        <w:rPr>
          <w:sz w:val="20"/>
          <w:szCs w:val="20"/>
          <w:color w:val="auto"/>
        </w:rPr>
      </w:pPr>
    </w:p>
    <w:p>
      <w:pPr>
        <w:jc w:val="both"/>
        <w:ind w:left="543"/>
        <w:spacing w:after="0" w:line="253" w:lineRule="auto"/>
        <w:rPr>
          <w:sz w:val="20"/>
          <w:szCs w:val="20"/>
          <w:color w:val="auto"/>
        </w:rPr>
      </w:pPr>
      <w:r>
        <w:rPr>
          <w:rFonts w:ascii="Times New Roman" w:cs="Times New Roman" w:eastAsia="Times New Roman" w:hAnsi="Times New Roman"/>
          <w:sz w:val="18"/>
          <w:szCs w:val="18"/>
          <w:color w:val="auto"/>
        </w:rPr>
        <w:t xml:space="preserve">We initiated additional Phase 1 combination clinical trials of lunresertib with gemcitabine (MAGNETIC) in December 2021 and with FOLFIRI (MINOTAUR) in August 2022, for which we expect to share data in the second half and first half of 2024, respectively. In the fourth quarter of 2022, we received fast track designation for lunresertib in combination with gemcitabine for the treatment of adult patients with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amplified, or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PPP2R1A</w:t>
      </w:r>
      <w:r>
        <w:rPr>
          <w:rFonts w:ascii="Times New Roman" w:cs="Times New Roman" w:eastAsia="Times New Roman" w:hAnsi="Times New Roman"/>
          <w:sz w:val="18"/>
          <w:szCs w:val="18"/>
          <w:color w:val="auto"/>
        </w:rPr>
        <w:t xml:space="preserve"> mutated platinum resistant ovarian cancer. We are collaborating with the Canadian Cancer Trials Group in an ongoing basket Phase 2 Investigator Sponsored Clinical Trial (IST) that is enrolling patients with selected, advanced cancers receiving lunresertib as combination (NCT05605509). A sub-study to that protocol that will evaluate lunresertib in combination with gemcitabine in patients with CDK4/6 inhibitor treated ER+/HER2- metastatic breast cancer (NCT05601440) was activated more recently and is also enrolling patients. We are also collaborating with University Health Network, Toronto on an investigator-sponsored Phase 1 clinical trial of luneresertib in combination with carboplatin and paclitaxel in TP53 ovarian and uterine cancer (NCT06107868) that is expected to be activated shortly.</w:t>
      </w:r>
    </w:p>
    <w:p>
      <w:pPr>
        <w:spacing w:after="0" w:line="194" w:lineRule="exact"/>
        <w:rPr>
          <w:sz w:val="20"/>
          <w:szCs w:val="20"/>
          <w:color w:val="auto"/>
        </w:rPr>
      </w:pPr>
    </w:p>
    <w:p>
      <w:pPr>
        <w:jc w:val="both"/>
        <w:ind w:left="543"/>
        <w:spacing w:after="0" w:line="266" w:lineRule="auto"/>
        <w:rPr>
          <w:sz w:val="20"/>
          <w:szCs w:val="20"/>
          <w:color w:val="auto"/>
        </w:rPr>
      </w:pPr>
      <w:r>
        <w:rPr>
          <w:rFonts w:ascii="Times New Roman" w:cs="Times New Roman" w:eastAsia="Times New Roman" w:hAnsi="Times New Roman"/>
          <w:sz w:val="18"/>
          <w:szCs w:val="18"/>
          <w:color w:val="auto"/>
        </w:rPr>
        <w:t>In January 2024, we announced our sponsorship of a global trial as a new arm in the ongoing MYTHIC trial combining lunresertib with Debiopharm's Debio 0123, a highly selective clinical WEE1 inhibitor. Dosing of the first patient with the synergistic lunresertib and Debio 0123 combination is expected to occur in the first half of 2024.</w:t>
      </w:r>
    </w:p>
    <w:p>
      <w:pPr>
        <w:spacing w:after="0" w:line="280" w:lineRule="exact"/>
        <w:rPr>
          <w:sz w:val="20"/>
          <w:szCs w:val="20"/>
          <w:color w:val="auto"/>
        </w:rPr>
      </w:pPr>
    </w:p>
    <w:p>
      <w:pPr>
        <w:jc w:val="both"/>
        <w:ind w:left="503" w:hanging="503"/>
        <w:spacing w:after="0" w:line="268" w:lineRule="auto"/>
        <w:tabs>
          <w:tab w:leader="none" w:pos="503"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Camonsertib </w:t>
      </w:r>
      <w:r>
        <w:rPr>
          <w:rFonts w:ascii="Times New Roman" w:cs="Times New Roman" w:eastAsia="Times New Roman" w:hAnsi="Times New Roman"/>
          <w:sz w:val="18"/>
          <w:szCs w:val="18"/>
          <w:color w:val="auto"/>
        </w:rPr>
        <w:t>(RP-3500) is a potent and selective oral small molecule inhibitor of ATR (Ataxia-Telangiectasia and Rad3-related protein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kinase) in clinical development for the treatment of solid tumors with specific DNA damage repair-related genomic alterations, including those in the ATM gene (ataxia telangiectasia mutated kinase).</w:t>
      </w:r>
    </w:p>
    <w:p>
      <w:pPr>
        <w:spacing w:after="0" w:line="175" w:lineRule="exact"/>
        <w:rPr>
          <w:sz w:val="20"/>
          <w:szCs w:val="20"/>
          <w:color w:val="auto"/>
        </w:rPr>
      </w:pPr>
    </w:p>
    <w:p>
      <w:pPr>
        <w:jc w:val="both"/>
        <w:ind w:left="543"/>
        <w:spacing w:after="0" w:line="255" w:lineRule="auto"/>
        <w:rPr>
          <w:sz w:val="20"/>
          <w:szCs w:val="20"/>
          <w:color w:val="auto"/>
        </w:rPr>
      </w:pPr>
      <w:r>
        <w:rPr>
          <w:rFonts w:ascii="Times New Roman" w:cs="Times New Roman" w:eastAsia="Times New Roman" w:hAnsi="Times New Roman"/>
          <w:sz w:val="18"/>
          <w:szCs w:val="18"/>
          <w:color w:val="auto"/>
        </w:rPr>
        <w:t>Camonsertib is the first product candidate we brought to the clinic, and we presented positive data from the ongoing Phase 1/2 TRESR (Treatment Enabled by SNIPRx) clinical trial in advanced solid tumors at the 2022 AACR Annual Meeting. In a Clinical Trials Plenary Session at the 2023 AACR Annual Meeting, we presented initial clinical data from the Phase 1/2 TRESR and ATTACC clinical trials evaluating camonsertib in combination with three poly (ADP-ribose) polymerase (PARP) inhibitors - talazoparib, niraparib, and olaparib. Camonsertib demonstrated 48% overall CBR in patients with advanced solid tumors across tumor types regardless of choice of PARP inhibitor or platinum resistance, with a favorable safety and tolerability profile. The Phase 1/2 TRESR and ATTACC clinical trials are fully-enrolled and we expect to complete these trials in 2024.</w:t>
      </w:r>
    </w:p>
    <w:p>
      <w:pPr>
        <w:spacing w:after="0" w:line="189" w:lineRule="exact"/>
        <w:rPr>
          <w:sz w:val="20"/>
          <w:szCs w:val="20"/>
          <w:color w:val="auto"/>
        </w:rPr>
      </w:pPr>
    </w:p>
    <w:p>
      <w:pPr>
        <w:jc w:val="both"/>
        <w:ind w:left="543"/>
        <w:spacing w:after="0" w:line="254" w:lineRule="auto"/>
        <w:rPr>
          <w:sz w:val="20"/>
          <w:szCs w:val="20"/>
          <w:color w:val="auto"/>
        </w:rPr>
      </w:pPr>
      <w:r>
        <w:rPr>
          <w:rFonts w:ascii="Times New Roman" w:cs="Times New Roman" w:eastAsia="Times New Roman" w:hAnsi="Times New Roman"/>
          <w:sz w:val="18"/>
          <w:szCs w:val="18"/>
          <w:color w:val="auto"/>
        </w:rPr>
        <w:t>In June 2022, we entered into a worldwide license and collaboration agreement with Hoffmann-La Roche Inc. and F. Hoffmann-La Roche Ltd (collectively “Roche”) for the development and commercialization of camonsertib, which resulted in an initial $125 million upfront payment. In January 2024, we earned a $40 million milestone payment from Roche upon dosing of the first patient with camonsertib in Roche’s TAPISTRY trial, which was subsequently received in February 2024. Since inception of the Roche camonsertib collaboration, we have earned a cumulative total of $182.6 million, including the upfront payment, the milestone payment, as well as additional reimbursements from Roche. On February 7, 2024, we received written notice from Roche of their election to terminate the Roche camonsertib collaboration. The termination will become effective in May 2024, at which time we will regain global development and commercialization rights for camonsertib from Roche. We are currently actively engaged in transition activities related to the termination and expect to provide further guidance on our plans for camonsertib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17" w:right="339" w:bottom="1440" w:gutter="0" w:footer="0" w:header="0"/>
        </w:sectPr>
      </w:pPr>
    </w:p>
    <w:bookmarkStart w:id="123" w:name="page124"/>
    <w:bookmarkEnd w:id="123"/>
    <w:p>
      <w:pPr>
        <w:spacing w:after="0" w:line="82" w:lineRule="exact"/>
        <w:rPr>
          <w:sz w:val="20"/>
          <w:szCs w:val="20"/>
          <w:color w:val="auto"/>
        </w:rPr>
      </w:pPr>
    </w:p>
    <w:p>
      <w:pPr>
        <w:jc w:val="both"/>
        <w:ind w:left="1020" w:hanging="503"/>
        <w:spacing w:after="0" w:line="259" w:lineRule="auto"/>
        <w:tabs>
          <w:tab w:leader="none" w:pos="10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RP-1664 </w:t>
      </w:r>
      <w:r>
        <w:rPr>
          <w:rFonts w:ascii="Times New Roman" w:cs="Times New Roman" w:eastAsia="Times New Roman" w:hAnsi="Times New Roman"/>
          <w:sz w:val="18"/>
          <w:szCs w:val="18"/>
          <w:color w:val="auto"/>
        </w:rPr>
        <w:t>is a first-in-class, highly selective, oral PLK4 inhibitor designed to harness the synthetic lethal relationship with TRIM37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amplification or overexpression in solid tumors. Tumors rely on PLK4 for centriole biogenesis in S-phase of the cell cycle when TRIM37, an E3 ligase that reduces pericentriolar material, is high. Preclinical studies demonstrate that RP-1664 selectively inhibits PLK4 and drives potent synthetic lethality in TRIM37-high tumor models,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Elevated TRIM37 is a feature found across a range of solid tumors and in approximately 80% of high-grade neuroblastoma. RP-1664 is the only selective PLK4 inhibitor known to be in the clinic.</w:t>
      </w:r>
    </w:p>
    <w:p>
      <w:pPr>
        <w:spacing w:after="0" w:line="183" w:lineRule="exact"/>
        <w:rPr>
          <w:sz w:val="20"/>
          <w:szCs w:val="20"/>
          <w:color w:val="auto"/>
        </w:rPr>
      </w:pPr>
    </w:p>
    <w:p>
      <w:pPr>
        <w:jc w:val="both"/>
        <w:ind w:left="1060"/>
        <w:spacing w:after="0" w:line="255" w:lineRule="auto"/>
        <w:rPr>
          <w:sz w:val="20"/>
          <w:szCs w:val="20"/>
          <w:color w:val="auto"/>
        </w:rPr>
      </w:pPr>
      <w:r>
        <w:rPr>
          <w:rFonts w:ascii="Times New Roman" w:cs="Times New Roman" w:eastAsia="Times New Roman" w:hAnsi="Times New Roman"/>
          <w:sz w:val="18"/>
          <w:szCs w:val="18"/>
          <w:color w:val="auto"/>
        </w:rPr>
        <w:t xml:space="preserve">We reported comprehensive preclinical data for RP-1664 in November 2023, including deep tumor growth inhibition and regressions in multiple TRIM37-high solid tumor or neuroblastoma xenograft models. The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 evaluations were performed both internally and in collaboration with Children’s Hospital of Philadelphia (CHOP). In February 2024, we dosed the first patient in the LIONS (PLK4 Inhibitor in Advanced Solid Tumors) clinical trial, a multicenter, open-label Phase 1 clinical trial to investigate safety, pharmacokinetics, pharmacodynamics, and the preliminary efficacy of RP-1664. After evaluating safety in adult patients with recurrent solid tumors in the LIONS clinical trial, we expect to move into a Phase 1/2 clinical trial in high risk, recurrent pediatric neuroblastoma, in which children have limited treatment options and high prevalence of TRIM37-altered tumors.</w:t>
      </w:r>
    </w:p>
    <w:p>
      <w:pPr>
        <w:spacing w:after="0" w:line="293" w:lineRule="exact"/>
        <w:rPr>
          <w:sz w:val="20"/>
          <w:szCs w:val="20"/>
          <w:color w:val="auto"/>
        </w:rPr>
      </w:pPr>
    </w:p>
    <w:p>
      <w:pPr>
        <w:jc w:val="both"/>
        <w:ind w:left="1020" w:hanging="503"/>
        <w:spacing w:after="0" w:line="254" w:lineRule="auto"/>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RP-3467 </w:t>
      </w:r>
      <w:r>
        <w:rPr>
          <w:rFonts w:ascii="Times New Roman" w:cs="Times New Roman" w:eastAsia="Times New Roman" w:hAnsi="Times New Roman"/>
          <w:sz w:val="18"/>
          <w:szCs w:val="18"/>
          <w:color w:val="auto"/>
        </w:rPr>
        <w:t>is a potential best-in-class inhibitor of adenosinetriphosphatase (ATPase) activity on the helicase domain of DNA polymerase theta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(Polθ). Polθ is a synthetic lethal target associated with homologous recombination deficiency (HRD) tumors, including those with BRCA1/2 mutations or other genomic alterations. Data suggest that RP-3467 works effectively and synergistically with therapies that result in double stranded DNA breaks, such as PARP inhibition, radioligand therapy (RLT) and multiple chemotherapies and antibody-drug conjugates (ADCs). Initial data suggest that Polθ inhibition may interfere with mechanisms central to the development of PARPi resistance, which could be relevant to currently marketed PARP 1/2 inhibitors and the emerging PARP1-selective inhibitors. We also reported comprehensive preclinical data for RP-3467 in November 2023, in which RP-3467 demonstrated complete, sustained regressions in combination with PARP inhibitors and compelling anti-tumor activity in combination with RLT and chemotherapy. We expect to initiate a Phase 1 trial of RP-3467 in the second half of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we had cash and cash equivalents and marketable securities on hand of $223.6 million. In February 2024, we received the $40 million milestone payment from Roche that was earned upon dosing of the first patient with camonsertib in Roche’s TAPISTRY trial. We believe that our cash, cash equivalents, and marketable securities will be sufficient to fund our anticipated operating and capital expenditure requirements into mid-2026. We have based this estimate on assumptions that may prove to be wrong, and we could exhaust our capital resources sooner than we expect.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$93.8 million, and $29.0 million for the years ended December 31, 2023 and 2022, respectively. As of December 31, 2023, we had an accumulated deficit of $333.1 million.</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Our net losses are also expected to be impacted as we hire additional personnel, pay for accounting, audit, legal, regulatory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consulting services, and pay costs associated with maintaining compliance with Nasdaq listing rules and the SEC requirements, directors and officers, or D&amp;O, insurance, investor and public relations activities and other expenses associated with operating as a public company. Our net losses may fluctuate significantly from quarter-to-quarter and year-to-year, depending on the timing of our preclinical studies, our clinical trials, our expenditures on other research and development activities, and our revenue and expenses recognized from collaboration and license agreements.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We will not generate revenue from product sales unless and until we successfully complete clinical development and obtain regulatory approval for our product candidates, if ever.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 and Other Global Uncertainties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Unfavorable conditions in the economy in the United States, Canada and abroad may negatively affect the growth of our business and our results of operations. For example, macroeconomic events, including health pandemics, rising inflation, changes in interest rates and foreign currency exchange rates, banking crises or disruptions in access to bank deposits or lending commitments, natural disasters, supply chain disruptions and the Russia-Ukraine and Middle-East conflicts, have led to economic uncertainty globally and could impact our overall business operations.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revenue from collaboration agreements: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Roche Collaboration and License Agreement</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116,668</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Bristol-Myers Squibb Collaboration and License Agreement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Ono Collaboration Agreement</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51,133</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Hoffmann-La Roche Inc. and F. Hoffmann-La Roche Ltd.</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June 1, 2022, we entered into a collaboration and license agreement (the Roche Agreement) with Hoffmann-La Roche Inc. and F. Hoffmann-La Roche Ltd (collectively, Roche) regarding the development and commercialization of our product candidate camonsertib (also known as RP-3500) and specified other ATR (Ataxia-Telangiectasia and Rad3-related protein kinase) inhibitors, which we refer to as the Licensed Products. The transaction was subject to clearance under the Hart-Scott-Rodino Antitrust Improvements Act of 1976 and other customary closing conditions, which were met on July 13,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Roche Agreement, we granted Roche a worldwide, perpetual, exclusive, sublicensable license to develop, manufacture, and commercialize the Licensed Products. Roche assumed all subsequent development of camonsertib with the potential to expand development into additional tumors and multiple combination studies. We agreed to complete specified ongoing clinical trials in accordance with the development plan in the Roche Agreement, as well as ongoing investigator sponsored trials, or together, the Continuing Trials, at our expense. We also retained the right to conduct specified clinical trials of camonsertib in combination with our PKMYT1 compound (also known as lunresertib).</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Roche Agreement, we received an initial upfront payment of $125 million in July 2022, and were eligible to receive up to $1.172 billion in potential clinical, regulatory, commercial and sales milestones, of which a $40 million milestone was received in the first quarter of 2024 upon dosing of the first patient in the camonsertib-based arm of the Roche TAPISTRY trial, as well as royalties on global net sales ranging from high-single-digits to high-teens. The Roche Agreement also provided us with the ability to opt-in to a 50/50 U.S. co-development and profit share arrangement, including participation in U.S. co-promotion if U.S. regulatory approval was received. If we would have chosen to exercise our co-development and profit share option, we would have continued to be eligible to receive certain clinical, regulatory, commercial and sales milestone payments, in addition to full ex-U.S. royalties.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Roche Agreement was subsequently amended in October 2022 to extend the timeline to negotiate in good faith the parties’ rights and obligations with respect to the Repare Trials, as defined in the Roche Agreement, and to clarify indications included in the development plan that are subject to milestones.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determined that the transaction price at the onset of the Roche Agreement was $134.6 million, being (i) the total non-refundable upfront payment received of $125.0 million, (ii) the additional $4.0 million payment received, negotiated with Roche for revisions to the clinical development plan under the Roche Agreement as agreed at the time of the effective date of the Roche Agreement, and (iii) the $5.6 million received for the transfer of clinical trial materials.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2023, we received an additional payment of $4.0 million negotiated with Roche for additional revisions to the clinical development plan. We further negotiated an additional payment of $4.0 million for revisions to the clinical development plan under the Roche Agreement, of which $2.1 million was recorded as collaboration revenue receivable at December 31, 2023. We determined that the scope and the price of the Roche Agreement had increased as a result of these additional changes and, thus, reflected a contract modification under ASC 606. The transaction price was updated for the additional consideration of $6.1 million in 2023, which has been allocated to the completion of the Continuing Trials performance obligation.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Transaction price</w:t>
            </w:r>
          </w:p>
        </w:tc>
      </w:tr>
      <w:tr>
        <w:trPr>
          <w:trHeight w:val="169"/>
        </w:trPr>
        <w:tc>
          <w:tcPr>
            <w:tcW w:w="9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Combined licenses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105,327</w:t>
            </w:r>
          </w:p>
        </w:tc>
        <w:tc>
          <w:tcPr>
            <w:tcW w:w="100" w:type="dxa"/>
            <w:vAlign w:val="bottom"/>
            <w:shd w:val="clear" w:color="auto" w:fill="CFF0FC"/>
          </w:tcPr>
          <w:p>
            <w:pPr>
              <w:spacing w:after="0"/>
              <w:rPr>
                <w:sz w:val="21"/>
                <w:szCs w:val="21"/>
                <w:color w:val="auto"/>
              </w:rPr>
            </w:pPr>
          </w:p>
        </w:tc>
      </w:tr>
      <w:tr>
        <w:trPr>
          <w:trHeight w:val="23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Completion of Continuing Trials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32,635</w:t>
            </w:r>
          </w:p>
        </w:tc>
        <w:tc>
          <w:tcPr>
            <w:tcW w:w="100" w:type="dxa"/>
            <w:vAlign w:val="bottom"/>
          </w:tcPr>
          <w:p>
            <w:pPr>
              <w:spacing w:after="0"/>
              <w:rPr>
                <w:sz w:val="20"/>
                <w:szCs w:val="20"/>
                <w:color w:val="auto"/>
              </w:rPr>
            </w:pPr>
          </w:p>
        </w:tc>
      </w:tr>
      <w:tr>
        <w:trPr>
          <w:trHeight w:val="247"/>
        </w:trPr>
        <w:tc>
          <w:tcPr>
            <w:tcW w:w="9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 of clinical trial materials</w:t>
            </w:r>
          </w:p>
        </w:tc>
        <w:tc>
          <w:tcPr>
            <w:tcW w:w="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transaction price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140,676</w:t>
            </w:r>
          </w:p>
        </w:tc>
        <w:tc>
          <w:tcPr>
            <w:tcW w:w="100" w:type="dxa"/>
            <w:vAlign w:val="bottom"/>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9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Completion of Continuing</w:t>
            </w:r>
          </w:p>
        </w:tc>
      </w:tr>
      <w:tr>
        <w:trPr>
          <w:trHeight w:val="187"/>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Roche Agreement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Trials</w:t>
            </w:r>
          </w:p>
        </w:tc>
        <w:tc>
          <w:tcPr>
            <w:tcW w:w="100" w:type="dxa"/>
            <w:vAlign w:val="bottom"/>
          </w:tcPr>
          <w:p>
            <w:pPr>
              <w:spacing w:after="0"/>
              <w:rPr>
                <w:sz w:val="16"/>
                <w:szCs w:val="16"/>
                <w:color w:val="auto"/>
              </w:rPr>
            </w:pPr>
          </w:p>
        </w:tc>
      </w:tr>
      <w:tr>
        <w:trPr>
          <w:trHeight w:val="259"/>
        </w:trPr>
        <w:tc>
          <w:tcPr>
            <w:tcW w:w="9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1"/>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Pr>
          <w:p>
            <w:pPr>
              <w:spacing w:after="0"/>
              <w:rPr>
                <w:sz w:val="20"/>
                <w:szCs w:val="20"/>
                <w:color w:val="auto"/>
              </w:rPr>
            </w:pPr>
          </w:p>
        </w:tc>
      </w:tr>
      <w:tr>
        <w:trPr>
          <w:trHeight w:val="250"/>
        </w:trPr>
        <w:tc>
          <w:tcPr>
            <w:tcW w:w="9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in collaboration revenue receivable</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shd w:val="clear" w:color="auto" w:fill="CFF0FC"/>
          </w:tcPr>
          <w:p>
            <w:pPr>
              <w:spacing w:after="0"/>
              <w:rPr>
                <w:sz w:val="21"/>
                <w:szCs w:val="21"/>
                <w:color w:val="auto"/>
              </w:rPr>
            </w:pPr>
          </w:p>
        </w:tc>
      </w:tr>
      <w:tr>
        <w:trPr>
          <w:trHeight w:val="243"/>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(14,545 )</w:t>
            </w:r>
          </w:p>
        </w:tc>
      </w:tr>
      <w:tr>
        <w:trPr>
          <w:trHeight w:val="276"/>
        </w:trPr>
        <w:tc>
          <w:tcPr>
            <w:tcW w:w="9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Classified as short-term</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00" w:type="dxa"/>
            <w:vAlign w:val="bottom"/>
          </w:tcPr>
          <w:p>
            <w:pPr>
              <w:spacing w:after="0"/>
              <w:rPr>
                <w:sz w:val="19"/>
                <w:szCs w:val="19"/>
                <w:color w:val="auto"/>
              </w:rPr>
            </w:pPr>
          </w:p>
        </w:tc>
      </w:tr>
      <w:tr>
        <w:trPr>
          <w:trHeight w:val="247"/>
        </w:trPr>
        <w:tc>
          <w:tcPr>
            <w:tcW w:w="9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Classified as long-term</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recognized $14.5 million as revenue for the year ended December 31, 2023 in recognition of research and development services performed towards the completion of the Continuing Trials under the Roche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Adjustments to revenue previously recognized based on updated measures of progress related to the completion of the Continuing Trials have been recognized on a cumulative catch-up basis in the year ended December 31, 2023.</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recognized $116.7 million for the year ended December 31, 2022 as revenue associated with the Roche Agreement, of which $105.3 million related to the grant of the combined licenses, $2.7 million related to the clinical trial materials transferred, and $8.6 million related to the partial recognition of deferred revenue for research and development services performed towards the completion of the Continuing Trials during the period.</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$9.4 million (December 31, 2022 – $18.0 million) of deferred revenue related to the Roche Agreement, of which $7.7 million (December 31, 2022 – $15.3 million) was classified as current and $1.7 million (December 31, 2022 – $2.7 million) was classified as non-current in the consolidated balance sheet based on the period the services to complete the Continuing Trials were expected to be performed.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Subsequent to year-end, on February 7, 2024, we received written notice from Roche of their election to terminate the Roche collaboration agreement. The termination will become effective in May 2024, at which time we will regain global development and commercialization rights for camonsertib from Roche. Following May 7, 2024, and except as disclosed above, there is no other material relationship between us and Roche. As such, all deferred revenue related to the Roche Agreement is expected to be recognized in 2024.</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Bristol-Myers Squibb Company</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May 2020, we entered into a collaboration and license agreement (the BMS Agreement), with the Bristol-Myers Squibb Company (Bristol-Myers Squibb), pursuant to which we and Bristol-Myers Squibb have agreed to collaborate in the research and development of potential new product candidates for the treatment of cancer. We are providing Bristol-Myers Squibb access to a selected number of our existing screening campaigns and novel campaigns. We are responsible for carrying out early-stage research activities directed to identifying potential targets for potential licensing by Bristol-Myers Squibb. The collaboration consists of programs directed to both druggable targets and to targets commonly considered undruggable to traditional small molecule approaches. In the event that Bristol-Myers Squibb elects to obtain an exclusive license for the subsequent development, manufacturing and commercialization of a program, Bristol-Myers Squibb will then be solely responsible for all such worldwide activities.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BMS Agreement was subsequently amended in July, September and November 2020 to include additional campaigns to the list of existing campaigns from which Bristol-Myers Squibb may select campaigns under the BMS Agreement and to enable unblinding of a Bristol-Myers Squibb alliance manager in order to streamline the collaboration process. The BMS Agreement was also amended in May 2023 to extend review periods for specified targets.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the BMS Agreement, Bristol-Myers Squibb paid us an initial upfront fee of $50.0 million and made an equity investment of $15.0 million in our company. We will also be eligible to receive up to $3.0 billion in total milestones across all potential programs. Such milestones consist of $301.0 million in total milestones per program subject upon the achievement of certain specified research, development, regulatory and commercial milestones.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$50.0 million upfront payment was recorded as deferred revenue on our consolidated balance sheet and is expected to be partially recognized at the point in time when option licenses are exercised by Bristol-Myers Squibb, with the remainder being recognized on a proportional performance basis over the period of service for research services.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Transaction price</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activities</w:t>
            </w:r>
          </w:p>
        </w:tc>
        <w:tc>
          <w:tcPr>
            <w:tcW w:w="5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to license druggable targets</w:t>
            </w:r>
          </w:p>
        </w:tc>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Options to license undruggable targets</w:t>
            </w:r>
          </w:p>
        </w:tc>
        <w:tc>
          <w:tcPr>
            <w:tcW w:w="5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transaction price</w:t>
            </w:r>
          </w:p>
        </w:tc>
        <w:tc>
          <w:tcPr>
            <w:tcW w:w="5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020" w:type="dxa"/>
            <w:vAlign w:val="bottom"/>
            <w:vMerge w:val="restart"/>
          </w:tcPr>
          <w:p>
            <w:pPr>
              <w:jc w:val="right"/>
              <w:ind w:right="333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6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BMS Agreement</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Increase in collaboration revenue receivable</w:t>
      </w:r>
    </w:p>
    <w:p>
      <w:pPr>
        <w:spacing w:after="0" w:line="36" w:lineRule="exact"/>
        <w:rPr>
          <w:sz w:val="20"/>
          <w:szCs w:val="20"/>
          <w:color w:val="auto"/>
        </w:rPr>
      </w:pPr>
    </w:p>
    <w:p>
      <w:pPr>
        <w:ind w:left="340" w:right="1320" w:hanging="134"/>
        <w:spacing w:after="0" w:line="282" w:lineRule="auto"/>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Classified as short-term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 to license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to license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activities</w:t>
            </w:r>
          </w:p>
        </w:tc>
        <w:tc>
          <w:tcPr>
            <w:tcW w:w="12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undruggable</w:t>
            </w:r>
          </w:p>
        </w:tc>
        <w:tc>
          <w:tcPr>
            <w:tcW w:w="28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druggable targets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targets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4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(2,448 )</w:t>
            </w:r>
          </w:p>
        </w:tc>
        <w:tc>
          <w:tcPr>
            <w:tcW w:w="3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(13,709 )</w:t>
            </w:r>
          </w:p>
        </w:tc>
        <w:tc>
          <w:tcPr>
            <w:tcW w:w="1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(9,958 )</w:t>
            </w:r>
          </w:p>
        </w:tc>
        <w:tc>
          <w:tcPr>
            <w:tcW w:w="2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(26,115 )</w:t>
            </w:r>
          </w:p>
        </w:tc>
        <w:tc>
          <w:tcPr>
            <w:tcW w:w="0" w:type="dxa"/>
            <w:vAlign w:val="bottom"/>
          </w:tcPr>
          <w:p>
            <w:pPr>
              <w:spacing w:after="0"/>
              <w:rPr>
                <w:sz w:val="1"/>
                <w:szCs w:val="1"/>
                <w:color w:val="auto"/>
              </w:rPr>
            </w:pPr>
          </w:p>
        </w:tc>
      </w:tr>
      <w:tr>
        <w:trPr>
          <w:trHeight w:val="239"/>
        </w:trPr>
        <w:tc>
          <w:tcPr>
            <w:tcW w:w="4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-774065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-328295</wp:posOffset>
            </wp:positionV>
            <wp:extent cx="713232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220"/>
          </w:cols>
          <w:pgMar w:left="320" w:top="1412" w:right="339" w:bottom="1440" w:gutter="0" w:footer="0" w:header="0"/>
        </w:sectPr>
      </w:pPr>
    </w:p>
    <w:p>
      <w:pPr>
        <w:spacing w:after="0" w:line="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recognized $2.4 million and $2.7 million as revenue for the years ended December 31, 2023 and 2022, respectively, in recognition of deferred revenue for research activities performed under the BMS Agreement.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fiscal 2023, Bristol-Myers Squibb exercised its option for a druggable target and also waived its rights to exercise an option for another druggable target. As a result, we recognized $12.7 million as revenue related to druggable targets for the year ended December 31, 2023, including the option fee payment of $0.25 million. In fiscal 2022, Bristol-Myers Squibb waived its rights to exercise options for druggable targets directed at two separate lesions. As a result, we recognized $12.5 million as revenue related to druggable targets for the year ended December 31, 2022.</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fiscal 2023, Bristol-Myers Squibb also triggered a $1.0 million further development election for a previously exercised druggable target. As such, we recognized $1.0 million for this specified research milestone as revenue for the year ended December 31, 2023 (2022 - nil).</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completed the discovery portion of the BMS Agreement in November 2023. With the completion of our performance obligations under the BMS Agreement in the fourth quarter of 2023, we recognized $10.0 million as revenue the for the year ended December 31, 2023 (2022 - nil) related to options to license undruggable targets as these options expired upon completion of the discovery portion of the BMS Agreement. As of December 31, 2023, Bristol Myers Squibb retains its right to exercise one option to an undruggable target which will expire in March 2024 if unexercised by then.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$2.5 million (December 31, 2022 - $27.4 million) of deferred revenue related to the BMS Agreement, of which $2.5 million (December 31, 2022 - $27.4 million) was classified as current on the consolidated balance sheet based on the period the services are expected to be performed and the expected timing of potential option exercises.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 with Ono Pharmaceutical Company Ltd.</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January 2019, we entered into a research services, license and collaboration agreement (the Ono Agreement) with Ono Pharmaceutical Company Ltd. (Ono), pursuant to which we and Ono agreed to collaborate in the research of potential product candidates targeting Polθ and the development of our small molecule Polθ ATPase inhibitor program. Pursuant to the terms of the agreement, we received initial upfront payments of approximately $8.1 million. These upfront payments were recorded as deferred revenue on our consolidated balance sheet as per our revenue recognition accounting policy and were to be recognized as revenue at the point in time when a product candidate was licensed to Ono pursuant to the terms of the agreement.</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2021 and December 2022, we achieved specified research triggers amounting to ¥100 million ($0.9 million) and ¥200 million ($1.5 million), respectively, as research service payments provided for in the Ono Agreement. The ¥200 million ($1.5 million) was included in the collaboration revenue receivable as of December 31, 2022 and was subsequently received in January 2023. These amounts were added to the transaction price as the consideration was no longer constrained.</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October 2021, we and Ono entered into an amendment to the Ono Agreement whereby the research term, as defined in the Ono Agreement, was extended by one year. In January 2023, we and Ono entered into a second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28" w:name="page129"/>
    <w:bookmarkEnd w:id="12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Ono Agreement whereby the Research Term, as defined in the Ono Agreement, was extended until July 31, 2023.</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2023, we and Ono determined not to further extend the term of the Ono Agreement. As a result, no product candidate will be licensed to Ono pursuant to the terms of the Ono Agreement. We recognized $10.5 million as revenue for the year ended December 31, 2023 (2022 - nil) with regards to the performance obligation under the Ono Agreement. In July 2023, Ono provided us with a formal notice to terminate the Ono Agreement without cause as defined in the Ono Agreement. As a result of this termination, all rights to the Polθ program have reverted back to us.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Ono Agreement</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Research activities</w:t>
            </w:r>
          </w:p>
        </w:tc>
        <w:tc>
          <w:tcPr>
            <w:tcW w:w="100" w:type="dxa"/>
            <w:vAlign w:val="bottom"/>
          </w:tcPr>
          <w:p>
            <w:pPr>
              <w:spacing w:after="0"/>
              <w:rPr>
                <w:sz w:val="16"/>
                <w:szCs w:val="16"/>
                <w:color w:val="auto"/>
              </w:rPr>
            </w:pPr>
          </w:p>
        </w:tc>
      </w:tr>
      <w:tr>
        <w:trPr>
          <w:trHeight w:val="264"/>
        </w:trPr>
        <w:tc>
          <w:tcPr>
            <w:tcW w:w="9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tc>
        <w:tc>
          <w:tcPr>
            <w:tcW w:w="24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(10,473 )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partially offset by fully refundable Canadian research and development tax credits. We expense research and development costs as incurred, which include:</w:t>
      </w:r>
    </w:p>
    <w:p>
      <w:pPr>
        <w:spacing w:after="0" w:line="68" w:lineRule="exact"/>
        <w:rPr>
          <w:sz w:val="20"/>
          <w:szCs w:val="20"/>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(CROs), as well as investigative sites and consultants that conduct our clinical trials, preclinical studies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(CMOs);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maintenance fees incurred under license, acquisition and other third-party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studies or other services performed. Significant judgment and estimates are made in determining the accrued expense or prepaid balances at the end of any reporting period.</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fees incurred under license, acquisition, and option agreements. We track these external research and development costs on a program-by-program basis once we have identified a product candidate.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costs:</w:t>
      </w:r>
    </w:p>
    <w:p>
      <w:pPr>
        <w:spacing w:after="0" w:line="23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8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7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4"/>
                <w:szCs w:val="14"/>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costs</w:t>
            </w: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external costs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7,717</w:t>
            </w:r>
          </w:p>
        </w:tc>
        <w:tc>
          <w:tcPr>
            <w:tcW w:w="7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9,942</w:t>
            </w: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Laboratory supplies and research materials</w:t>
            </w: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3,881</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4,072</w:t>
            </w: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costs</w:t>
            </w:r>
          </w:p>
        </w:tc>
        <w:tc>
          <w:tcPr>
            <w:tcW w:w="44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11,710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10,965</w:t>
            </w: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Facilities related costs</w:t>
            </w: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1,523</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1,536</w:t>
            </w: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costs</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3,913</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4,032</w:t>
            </w:r>
          </w:p>
        </w:tc>
      </w:tr>
      <w:tr>
        <w:trPr>
          <w:trHeight w:val="241"/>
        </w:trPr>
        <w:tc>
          <w:tcPr>
            <w:tcW w:w="7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28,744</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30,547</w:t>
            </w: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external costs</w:t>
            </w: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39"/>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Camonsertib program</w:t>
            </w:r>
          </w:p>
        </w:tc>
        <w:tc>
          <w:tcPr>
            <w:tcW w:w="44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23,420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25,434</w:t>
            </w:r>
          </w:p>
        </w:tc>
      </w:tr>
      <w:tr>
        <w:trPr>
          <w:trHeight w:val="247"/>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Lunresertib program</w:t>
            </w: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29,848</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25,241</w:t>
            </w:r>
          </w:p>
        </w:tc>
      </w:tr>
      <w:tr>
        <w:trPr>
          <w:trHeight w:val="239"/>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RP-1664 program</w:t>
            </w:r>
          </w:p>
        </w:tc>
        <w:tc>
          <w:tcPr>
            <w:tcW w:w="44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6,337</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RP-3467 and Polθ program</w:t>
            </w: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5,152</w:t>
            </w: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related costs</w:t>
            </w:r>
          </w:p>
        </w:tc>
        <w:tc>
          <w:tcPr>
            <w:tcW w:w="44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34,187</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27,450</w:t>
            </w:r>
          </w:p>
        </w:tc>
      </w:tr>
      <w:tr>
        <w:trPr>
          <w:trHeight w:val="247"/>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Facilities related costs</w:t>
            </w:r>
          </w:p>
        </w:tc>
        <w:tc>
          <w:tcPr>
            <w:tcW w:w="4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808</w:t>
            </w:r>
          </w:p>
        </w:tc>
      </w:tr>
      <w:tr>
        <w:trPr>
          <w:trHeight w:val="23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costs</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5,154</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5,868</w:t>
            </w:r>
          </w:p>
        </w:tc>
      </w:tr>
      <w:tr>
        <w:trPr>
          <w:trHeight w:val="241"/>
        </w:trPr>
        <w:tc>
          <w:tcPr>
            <w:tcW w:w="7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106,313</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89,953</w:t>
            </w: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tax credits</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(1,464 )</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(1,434 )</w:t>
            </w:r>
          </w:p>
        </w:tc>
      </w:tr>
      <w:tr>
        <w:trPr>
          <w:trHeight w:val="276"/>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133,593</w:t>
            </w:r>
          </w:p>
        </w:tc>
        <w:tc>
          <w:tcPr>
            <w:tcW w:w="2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1289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1289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86" w:lineRule="exact"/>
        <w:rPr>
          <w:sz w:val="20"/>
          <w:szCs w:val="20"/>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86"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(FDA), the European Medicines Agency (EMA), or another regulatory authority were to delay our planned start of clinical trials or require us to conduct clinical trials or other testing beyond those that we currently expect or if we experience significant delays in enrollment in any of our ongoing and planned clinical trials, we could be required to expend significant additional financial resources and time on the completion of clinical development of that product candidate.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directors and officers insurance expenses, investor and public relations expenses and other general administrative expenses.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significant accounting, audit, legal, regulatory, compliance and directors’ and officers’ insurance costs as well as investor and public relations expenses, including with our transition from smaller reporting company status at the end of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realized and unrealized gains and losses on foreign exchange, interest income earned on cash and cash equivalents and marketable securities, and other expenses such as interest and bank charges.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Realized and unrealized gains and losses on foreign exchange consist of realized and unrealized gains and losses from holding cash and foreign currency denominated other receivables, accounts payable, accrued expenses and other current liabilities as well as operating lease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agreements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51,133</w:t>
            </w:r>
          </w:p>
        </w:tc>
        <w:tc>
          <w:tcPr>
            <w:tcW w:w="60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131,830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(80,697 )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320" w:type="dxa"/>
            <w:vAlign w:val="bottom"/>
          </w:tcPr>
          <w:p>
            <w:pPr>
              <w:spacing w:after="0"/>
              <w:rPr>
                <w:sz w:val="20"/>
                <w:szCs w:val="20"/>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133,593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119,066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14,527</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33,764</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32,560</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167,357</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151,626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15,731</w:t>
            </w: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(116,224 )</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(19,796 )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(96,428 )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(loss) gain on foreign exchange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0"/>
                <w:szCs w:val="20"/>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13,334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5,631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7,703</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13,045</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5,896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7,149</w:t>
            </w: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(103,179 )</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(89,279 )</w:t>
            </w: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9,383</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(15,147 )</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24,530</w:t>
            </w:r>
          </w:p>
        </w:tc>
        <w:tc>
          <w:tcPr>
            <w:tcW w:w="0" w:type="dxa"/>
            <w:vAlign w:val="bottom"/>
          </w:tcPr>
          <w:p>
            <w:pPr>
              <w:spacing w:after="0"/>
              <w:rPr>
                <w:sz w:val="1"/>
                <w:szCs w:val="1"/>
                <w:color w:val="auto"/>
              </w:rPr>
            </w:pP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(93,796 )</w:t>
            </w:r>
          </w:p>
        </w:tc>
        <w:tc>
          <w:tcPr>
            <w:tcW w:w="1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(29,047 )</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-1610995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-1610995</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-668020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-668020</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was $51.1 million for the year ended December 31, 2023, compared to $131.8 million for year ended December 31, 2022. The decrease of $80.7 million was due to:</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$102.1 million decrease in revenue recognized under the Roche Agreement as a result of the $108.0 million in revenue recognized in 2022 pursuant to the satisfaction of our performance obligations for the issuance of the combined licenses and the clinical trial materials transferred, partially offset by higher deferred revenue recognized for the completion of Continuing Trials as the agreement became effective in July 2022;</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$10.9 million increase in revenue recognized under the BMS Agreement as a result of the deferred revenue recognized pursuant to the satisfaction of our performance obligation for options to license undruggable targets as these options expired upon completion of the discovery portion of the agreement;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$10.5 million increase in deferred revenue recognized under the Ono Agreement as a result of the termination of the Ono Agreement.</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 of Tax Credits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$133.6 million for the year ended December 31, 2023, compared to $119.1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increase of $14.5 million in research and development expenses was primarily due to:</w:t>
      </w:r>
    </w:p>
    <w:p>
      <w:pPr>
        <w:spacing w:after="0" w:line="99" w:lineRule="exact"/>
        <w:rPr>
          <w:sz w:val="20"/>
          <w:szCs w:val="20"/>
          <w:color w:val="auto"/>
        </w:rPr>
      </w:pPr>
    </w:p>
    <w:p>
      <w:pPr>
        <w:jc w:val="both"/>
        <w:ind w:left="10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$8.1 million increase in direct external costs as a result of a $12.3 million increase in costs with the advancement of clinical trials for lunresertib and IND-enabling studies for RP-1664 and Polθ, partially offset by a $2.0 million decrease in costs with the transition of the camonsertib program to Roche and a $2.2 million decrease in discovery related costs;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 million increase in personnel-related costs, including a $3.2 million increase in share-based compensation;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86"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in other research and development costs, including lower laboratory supplies and research materials.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$33.8 million for the year ended December 31, 2023, compared to $32.6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increase of $1.2 million in general and administrative expenses consisted of:</w:t>
      </w:r>
    </w:p>
    <w:p>
      <w:pPr>
        <w:spacing w:after="0" w:line="99"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increase in personnel related costs, including a $2.2 million increase in share-based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decrease in our D&amp;O insurance premium due to lower renewal premiums;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in professional fees associated with the Roche Agreement signed in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increase in other general and administrative expenses including IT and travel costs.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$13.0 million for the year ended December 31, 2023, compared to $5.9 million for the year ended December 31, 2022. The increase of $7.1 million in other income was primarily attributable to higher interest income due to higher sums invested in cash and cash equivalents and marketable securities as well as higher interest rates.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 benefit of $9.4 million for the year ended December 31, 2023 primarily due to taxable income in our U.S. subsidiary and utilization of federal and state research and development tax credit carry forwards offset by a favorable adjustment related to IRC Section 174 guidance issued in September 2023 prior to filing U.S. income tax returns for the prior period.</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was $15.1 million for the year ended December 31, 2022, primarily due to the taxable income in our U.S. subsidiary and utilization of federal and state research and development tax credit carry forwards.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increase of $24.5 million in the income tax benefit was primarily driven by a favorable adjustment in U.S income taxes related to IRC Section 174 guidance.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not recognized any revenue from product sales and have incurred operating losses and negative cash flows from our operations. We have not yet commercialized any product and we do not expect to generate revenue from sales of any products for several years, if at all.</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June 2020, we completed our IPO whereby we raised $232.0 million, net of underwriting commissions and offering expenses. In November 2021, we completed a follow-on offering whereby we raised $94.3 million, net of underwriting commissions and offering expenses.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We have also received initial upfront and additional payments of approximately $60.5 million in the aggregate from partnerships with Ono for our Polθ ATPase inhibitor program and Bristol-Myers Squibb for research and development of potential new product candidates for the treatment of cancer. In June 2022, we entered into a collaboration and license agreement with Roche for camonsertib and have earned a cumulative total of $182.6 million to date under the terms of the Roche Agreement, including an upfront payment of $125.0 million, a milestone payment of $40 million and additional reimbursements from Roche.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August 2022, we entered into a Common Shares Sale Agreement (the Sales Agreement), with Cowen and Company, LLC. Under the Sales Agreement, we may sell up to $125.0 million in common shares. During the years ended December 31, 2023 and 2022, we did not issue or sell shares under the Sales Agreement.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and we will continue to incur additional costs associated with operating as a public company, including with our transition from smaller reporting company status at the end of 2023. We expect that our research and development and general and administrative costs will increase in connection with our planned research and development activities.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eliminated the option to deduct certain U.S.-based research and development expenditures in the current fiscal year and required taxpayers to amortize them over five years pursuant to Section 174 of the Internal Revenue Code of 1986, as amended (IRC). This provision increased our 2023 and 2022 cash payments of income taxes significantly as compared to 2021 in compliance with IRC Section 174. In September 2023, new interim guidance was issued by the Department of Treasury and the Internal Revenue Service on IRC Section 174 that supports the deduction of such expenses. An income tax receivable in the amount of $13.1 million as of December 31, 2023 reflects the overpayment of tax installments by our U.S. subsidiary (net of a $4.8 million refund received in October 2023). Any changes to tax legislation may materially affect our cash flows.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our cash and cash equivalents and marketable securities on hand was $223.6 million. In February 2024, we received the $40 million milestone payment from Roche that was earned upon dosing of the first patient with camonsertib in Roche’s TAPISTRY trial. We believe that our cash, cash equivalents, and marketable securities will be sufficient to fund our anticipated operating and capital expenditure requirements into mid-2026. We have based this estimate on assumptions that may prove to be wrong, and we could exhaust our capital resources sooner than we expect.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54"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costs, progress and results of our product candidates, including our ongoing Phase 1 clinical trials of lunresertib;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development and possible clinical trials of our current earlier-stage programs;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research programs and preclinical development of any additional product candidates that we may pursue;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requirements of other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that we are required to make or eligible to receive under our current or future collaboration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regulatory authorities;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or our collaborators receive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86" w:lineRule="exact"/>
        <w:rPr>
          <w:sz w:val="20"/>
          <w:szCs w:val="20"/>
          <w:color w:val="auto"/>
        </w:rPr>
      </w:pPr>
    </w:p>
    <w:p>
      <w:pPr>
        <w:ind w:left="10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partner our programs, acquire or in-license other product candidates and technologies or enter into additional strategic collaborations;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camonsertib, lunresertib and any future product candidates for which we or our collaborators receive marketing approval;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years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5"/>
        </w:trPr>
        <w:tc>
          <w:tcPr>
            <w:tcW w:w="5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7"/>
        </w:trPr>
        <w:tc>
          <w:tcPr>
            <w:tcW w:w="5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57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top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(127,158 )</w:t>
            </w:r>
          </w:p>
        </w:tc>
        <w:tc>
          <w:tcPr>
            <w:tcW w:w="74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(127,480 )</w:t>
            </w:r>
          </w:p>
        </w:tc>
        <w:tc>
          <w:tcPr>
            <w:tcW w:w="160" w:type="dxa"/>
            <w:vAlign w:val="bottom"/>
            <w:shd w:val="clear" w:color="auto" w:fill="CFF0FC"/>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0"/>
                <w:szCs w:val="20"/>
                <w:color w:val="auto"/>
              </w:rPr>
            </w:pP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78,041</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(175,778 )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253,819</w:t>
            </w:r>
          </w:p>
        </w:tc>
        <w:tc>
          <w:tcPr>
            <w:tcW w:w="160" w:type="dxa"/>
            <w:vAlign w:val="bottom"/>
          </w:tcPr>
          <w:p>
            <w:pPr>
              <w:spacing w:after="0"/>
              <w:rPr>
                <w:sz w:val="20"/>
                <w:szCs w:val="20"/>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shd w:val="clear" w:color="auto" w:fill="CFF0FC"/>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held</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20"/>
                <w:szCs w:val="20"/>
                <w:color w:val="auto"/>
              </w:rPr>
            </w:pPr>
          </w:p>
        </w:tc>
      </w:tr>
      <w:tr>
        <w:trPr>
          <w:trHeight w:val="277"/>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(48,253 )</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(174,906 )</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126,653</w:t>
            </w:r>
          </w:p>
        </w:tc>
        <w:tc>
          <w:tcPr>
            <w:tcW w:w="1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-24765</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111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02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$127.2 million for the year ended December 31, 2023, reflecting a net loss of $93.8 million, a net decrease of $55.2 million in our net operating assets offset by a net change in non-cash charges of $21.8 million. The non-cash charges primarily consist of share-based compensation for option grants to employees, as well as depreciation expense and non-cash lease expense offset by the net accretion/amortization of marketable securities. The change in our net operating assets was primarily due to $43.8 million of deferred revenue being recognized with the satisfaction of performance obligations and $14.3 million income tax recovery, offset by an increase of $4.3 million in accounts payable and accrued expenses and other current liabilities.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$0.3 million for the year ended December 31, 2022, reflecting a net loss of $29.0 million, offset by a net change of $4.4 million in our net operating assets and non-cash charges of $25.0 million. The non-cash charges primarily consist of share-based compensation for option grants to employees, as well as depreciation expense and non-cash lease expense offset by the net accretion/amortization of marketable securities and deferred tax assets. The change in our net operating assets was due to a decrease of $1.9 million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prepaid expenses and research development tax credits receivable, as well as an increase of $7.9 million in accrued expenses and other current liabilities, income taxes payable and deferred revenue, offset by an increase of $2.7 million in collaboration revenue receivable and other receivables, as well as a $2.8 million decrease in accounts payable and operating lease liabilities.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$127.5 million increase in cash used in operating activities for the year ended December 31, 2023 compared to December 31, 2022 is primarily due to the $134.6 million of payments received under the Roche Agreement in 2022.</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$78.0 million for the year ended December 31, 2023 and resulted primarily from proceeds from maturities of marketable securities offset by purchases of marketable securities.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$175.8 million for the year ended December 31, 2022 and resulted primarily from purchases of marketable securities offset by proceeds from maturities of marketable securities.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$0.8 million for the year ended December 31, 2023, consisting of net proceeds from the exercise of stock options and issuance of common shares under the ESPP.</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$0.9 million for the year ended December 31, 2022, consisting of net proceeds from the exercise of stock options and issuance of common shares under the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anticipate the aggregate of our cash and cash equivalents and marketable securities will be sufficient to fund our contractual obligations, as well as cash requirements to support our ongoing operations and capital expenditures. Our contractual obligations as of December 31, 2023 primarily consist of:</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and Research Agreements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Collaboration and research agreement obligations primarily relate to a strategic collaboration agreement that we entered into with the University of Texas M. D. Anderson Cancer Center (MDACC) in March 2020. The collaboration consists of preclinical studies and clinical trials designed by us and MDACC with the research to be completed by MDACC. We have agreed to commit $10.0 million in the aggregate to fund the collaboration, with payments to be made over a period of five years, of which $7.7 million was paid as of December 31, 2023.</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entered into an agreement with the Broad Institute, Inc. (Broad) in July 2022, under which Broad will perform specialty screening services at our request over the course of a three-year term in exchange for payments of $0.8 million per year, beginning in July 2022, totaling $2.3 million in the aggregate of which $1.5 million was paid as of December 31, 2023.</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jc w:val="both"/>
        <w:ind w:firstLine="557"/>
        <w:spacing w:after="0" w:line="282" w:lineRule="auto"/>
        <w:rPr>
          <w:sz w:val="20"/>
          <w:szCs w:val="20"/>
          <w:color w:val="auto"/>
        </w:rPr>
      </w:pPr>
      <w:r>
        <w:rPr>
          <w:rFonts w:ascii="Times New Roman" w:cs="Times New Roman" w:eastAsia="Times New Roman" w:hAnsi="Times New Roman"/>
          <w:sz w:val="18"/>
          <w:szCs w:val="18"/>
          <w:color w:val="auto"/>
        </w:rPr>
        <w:t>We have certain lease agreements for office and laboratory space in Montréal, Quebec, and office space in Cambridge, Massachusetts, under which we are obligated to make lease payments of $3.5 million as of December 31, 2023.</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and Other Obligations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CROs and other third parties for preclinical studies and clinical trials, research and development supplies and other testing and manufacturing services. These contracts generally do not contain minimum purchase commitments and provide for termination 30 to 90 days’ prior written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and therefore are cancellable contracts. The amount and timing of such payments are not known as of December 31, 2023.</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further entered into license agreements under which we are obligated to make milestone and royalty payments and incur annual maintenance fees. The future milestone or royalty payment obligations under the agreement are contingent upon future events, such as achieving certain clinical and commercial milestones or generating product sales. As of December 31, 2023, we were unable to estimate the timing or likelihood of achieving these clinical and commercial milestones or generating future product sales. Upon the expected initiation of a Phase 1 clinical trial of RP-3467 in the second half of 2024, a milestone payment of $0.1 million to New York University would be triggered under the terms of the NYU Agreement. See the section titled “License and Collaboration Agreements” elsewhere in this Annual Report as well as Note 8 to our annual consolidated financial statements appearing elsewhere in this Annual Report for a description of our license agreements.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we have entered into indemnification agreements with members of our board of directors and executive officers that will require us, among other things, to indemnify them against certain liabilities that may arise by reason of their status or service as directors or officers. The maximum potential amount of future payments we could be required to make under these indemnification agreements is, in many cases, unlimited. To date, we have not incurred any material costs as a result of such indemnifications. We are not aware of any indemnification arrangements could have a material effect on our financial position, results of operations or cash flows, and we have not accrued any liabilities related to such obligations in our consolidated financial statements as of December 31,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our accounting policies are described in more detail in the notes to our consolidated financial statements appearing elsewhere in this Annual Report, we believe the following accounting policies used in the preparation of our consolidated financial statements require the most significant judgments and estimates. See Note 2 to our annual consolidated financial statements included elsewhere in this Annual Report for a description of our other significant accounting policies.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2023, our revenue was generated from our Bristol-Myers Squibb collaboration agreement, the Ono collaboration agreement and the Roche collaboration and license agreement.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recognize revenue in accordance with Financial Accounting Standards Board (FASB), Accounting Standards Codification (ASC), Topic 606, Revenue from Contracts with Customers (ASC 606). We enter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us under these agreements may include non-refundable license fees, customer option exercise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fees, payments for research activities, reimbursement of certain costs, payments based upon the achievement of certain milestones and royalties on any resulting net product sales.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we identify the contract(s) with a customer; (ii) we identify the performance obligations in the contract; (iii) we determine the transaction price; (iv) we allocate the transaction price to the performance obligations in the contract; and (v) we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part of the accounting for these arrangements, we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We use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we recognize revenue as or when the performance obligations under the contract are satisfied. In determining the stand-alone selling price of a license to our proprietary technology or a material right provided by a customer option, we consider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estimated stand-alone selling price, we evaluate whether changes in the key assumptions used to determine estimated stand-alone selling price will have a significant effect on the allocation of arrangement consideration between performance obligations.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Licenses </w:t>
      </w:r>
      <w:r>
        <w:rPr>
          <w:rFonts w:ascii="Times New Roman" w:cs="Times New Roman" w:eastAsia="Times New Roman" w:hAnsi="Times New Roman"/>
          <w:sz w:val="18"/>
          <w:szCs w:val="18"/>
          <w:color w:val="auto"/>
        </w:rPr>
        <w:t>– If the license to our intellectual property is determined to be distinct from the other promises or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which generally include research and development services, we recognize revenue from non-refundable, upfront fees allocated to the license when the license is transferred to the customer and the customer is able to use and benefit from the license. In assessing whether a license is distinct from the other promises, we consider relevant facts and circumstances of each arrangement, including the research and development capabilities of the collaboration partner and the availability of the associated expertise in the general marketplace. In addition, we consider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we utilize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 We have recognized revenue related to such licenses from our Roche collaboration and license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 The obligations under our collaboration and license agreements generally include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to be performed by us to benefit the collaboration partner. For performance obligations that include research and development services, we generally recognize revenue allocated to such performance obligations based on an appropriate measure of progress. We utilize judgment to determine the appropriate method of measuring progress for purposes of recognizing revenue, which is generally an input measure such as costs incurred. We evaluate the measure of progress each reporting period and, if necessary, adjust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We have recognized revenue related to such research and development services from our Bristol-Myers Squibb collaboration agreement and our Roche collaboration and license agreement.</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Our arrangements may provide a collaborator with the right to acquire additional goods or services in the future.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agreements, fees may be due to us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 We have recognized revenue related to such customer options from our Bristol-Myers Squibb collaboration agreement.</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we evaluate whether the milestones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considered probable of being achieved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 our estimate of the overall transaction price. Any such adjustments are recorded on a cumulative catch-up basis, which would affect revenues and earnings in the period of adjustment. If a milestone or other variable consideration relates specifically to our efforts to satisfy a single performance obligation or to a specific outcome from satisfying the performance obligation, we generally allocate the milestone amount entirely to that performance obligation once it is probable that a significant revenue reversal would not occur.</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and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and prepaid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prepaid expenses as of each balance sheet date based on facts and circumstances known to us at that time. We periodically confirm the accuracy of our estimates with the service providers and make adjustments if necessary.</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measure share-based compensation based on the grant date fair value of the share-based awards and recognize share-based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Share-based compensation expense is classified in our consolidated statements of operations and comprehensive loss based on the function to which the related services are provided. We recognize share-based compensation expense for the portion of awards that have vested. Forfeitures are accounted for as they occur.</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The fair value of each restricted share unit is estimated on the date of grant based on the fair value of our common share on that same date. Prior to our IPO, as there was no public market for our common shares, we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blended with the historical volatility of our common shares. We expect to continue using such methodology until we have adequate historical data regarding the volatility of the trading price of our common shares on Nasdaq. The expected term of our options granted to employees has been determined utilizing the “simplified” method for awards that qualify as “plain-vanilla” options. With the adoption of ASU 2018-07, we applied the nonpublic entity practical expedient for calculating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We have not paid, and do not anticipate paying, cash dividends on our common shares; therefore, the expected dividend yield is assumed to be zero.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note 2 to our annual consolidated financial statements appearing elsewhere in this Annual Report for a description of recently issued accounting pronouncements not yet adopted.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Under SEC rules and regulations, because we are considered to be a “smaller reporting company”, we are not required to provide the information required by this item in this report until the filing of our first Quarterly Report on Form 10-Q in 2024.</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1263)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 for the years ended December 31,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the Shareholders and the Board of Directors of </w:t>
      </w:r>
      <w:r>
        <w:rPr>
          <w:rFonts w:ascii="Times New Roman" w:cs="Times New Roman" w:eastAsia="Times New Roman" w:hAnsi="Times New Roman"/>
          <w:sz w:val="17"/>
          <w:szCs w:val="17"/>
          <w:b w:val="1"/>
          <w:bCs w:val="1"/>
          <w:color w:val="auto"/>
        </w:rPr>
        <w:t>Repare Therapeutics Inc.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Repare Therapeutics Inc. (the “Company”) as of December 31, 2023 and 2022, the related consolidated statements of operations and comprehensive loss, shareholders’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20" w:type="dxa"/>
            <w:vAlign w:val="bottom"/>
          </w:tcPr>
          <w:p>
            <w:pPr>
              <w:spacing w:after="0"/>
              <w:rPr>
                <w:sz w:val="19"/>
                <w:szCs w:val="19"/>
                <w:color w:val="auto"/>
              </w:rPr>
            </w:pPr>
          </w:p>
        </w:tc>
        <w:tc>
          <w:tcPr>
            <w:tcW w:w="9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and Prepaid Research and Development Expenses</w:t>
            </w:r>
          </w:p>
        </w:tc>
      </w:tr>
      <w:tr>
        <w:trPr>
          <w:trHeight w:val="300"/>
        </w:trPr>
        <w:tc>
          <w:tcPr>
            <w:tcW w:w="15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Description of the</w:t>
            </w:r>
          </w:p>
        </w:tc>
        <w:tc>
          <w:tcPr>
            <w:tcW w:w="9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 has entered into various research and</w:t>
            </w:r>
          </w:p>
        </w:tc>
      </w:tr>
      <w:tr>
        <w:trPr>
          <w:trHeight w:val="207"/>
        </w:trPr>
        <w:tc>
          <w:tcPr>
            <w:tcW w:w="15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matter</w:t>
            </w:r>
          </w:p>
        </w:tc>
        <w:tc>
          <w:tcPr>
            <w:tcW w:w="9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development contracts with third parties and is required to record its accrued and prepaid research and development expenses</w:t>
            </w:r>
          </w:p>
        </w:tc>
      </w:tr>
      <w:tr>
        <w:trPr>
          <w:trHeight w:val="203"/>
        </w:trPr>
        <w:tc>
          <w:tcPr>
            <w:tcW w:w="1520" w:type="dxa"/>
            <w:vAlign w:val="bottom"/>
          </w:tcPr>
          <w:p>
            <w:pPr>
              <w:spacing w:after="0"/>
              <w:rPr>
                <w:sz w:val="17"/>
                <w:szCs w:val="17"/>
                <w:color w:val="auto"/>
              </w:rPr>
            </w:pPr>
          </w:p>
        </w:tc>
        <w:tc>
          <w:tcPr>
            <w:tcW w:w="9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resulting from these contracts at the end of each reporting period. When evaluating the adequacy of the accrued liabilities and</w:t>
            </w:r>
          </w:p>
        </w:tc>
      </w:tr>
      <w:tr>
        <w:trPr>
          <w:trHeight w:val="203"/>
        </w:trPr>
        <w:tc>
          <w:tcPr>
            <w:tcW w:w="1520" w:type="dxa"/>
            <w:vAlign w:val="bottom"/>
          </w:tcPr>
          <w:p>
            <w:pPr>
              <w:spacing w:after="0"/>
              <w:rPr>
                <w:sz w:val="17"/>
                <w:szCs w:val="17"/>
                <w:color w:val="auto"/>
              </w:rPr>
            </w:pPr>
          </w:p>
        </w:tc>
        <w:tc>
          <w:tcPr>
            <w:tcW w:w="9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prepaid expenses, the Company analyzes progress of the studies, including the phase or completion of events, invoices</w:t>
            </w:r>
          </w:p>
        </w:tc>
      </w:tr>
      <w:tr>
        <w:trPr>
          <w:trHeight w:val="203"/>
        </w:trPr>
        <w:tc>
          <w:tcPr>
            <w:tcW w:w="1520" w:type="dxa"/>
            <w:vAlign w:val="bottom"/>
          </w:tcPr>
          <w:p>
            <w:pPr>
              <w:spacing w:after="0"/>
              <w:rPr>
                <w:sz w:val="17"/>
                <w:szCs w:val="17"/>
                <w:color w:val="auto"/>
              </w:rPr>
            </w:pPr>
          </w:p>
        </w:tc>
        <w:tc>
          <w:tcPr>
            <w:tcW w:w="9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received and contracted costs. As of December 31, 2023, the Company has recorded $16.3 million of accrued research and</w:t>
            </w:r>
          </w:p>
        </w:tc>
      </w:tr>
      <w:tr>
        <w:trPr>
          <w:trHeight w:val="203"/>
        </w:trPr>
        <w:tc>
          <w:tcPr>
            <w:tcW w:w="1520" w:type="dxa"/>
            <w:vAlign w:val="bottom"/>
          </w:tcPr>
          <w:p>
            <w:pPr>
              <w:spacing w:after="0"/>
              <w:rPr>
                <w:sz w:val="17"/>
                <w:szCs w:val="17"/>
                <w:color w:val="auto"/>
              </w:rPr>
            </w:pPr>
          </w:p>
        </w:tc>
        <w:tc>
          <w:tcPr>
            <w:tcW w:w="9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development expenses and has also recorded total prepaid expenses of $4.7 million, which included amounts for prepayments</w:t>
            </w:r>
          </w:p>
        </w:tc>
      </w:tr>
      <w:tr>
        <w:trPr>
          <w:trHeight w:val="222"/>
        </w:trPr>
        <w:tc>
          <w:tcPr>
            <w:tcW w:w="1520" w:type="dxa"/>
            <w:vAlign w:val="bottom"/>
          </w:tcPr>
          <w:p>
            <w:pPr>
              <w:spacing w:after="0"/>
              <w:rPr>
                <w:sz w:val="19"/>
                <w:szCs w:val="19"/>
                <w:color w:val="auto"/>
              </w:rPr>
            </w:pPr>
          </w:p>
        </w:tc>
        <w:tc>
          <w:tcPr>
            <w:tcW w:w="9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of research and development expenses.</w:t>
            </w:r>
          </w:p>
        </w:tc>
      </w:tr>
      <w:tr>
        <w:trPr>
          <w:trHeight w:val="663"/>
        </w:trPr>
        <w:tc>
          <w:tcPr>
            <w:tcW w:w="1520" w:type="dxa"/>
            <w:vAlign w:val="bottom"/>
          </w:tcPr>
          <w:p>
            <w:pPr>
              <w:spacing w:after="0"/>
              <w:rPr>
                <w:sz w:val="24"/>
                <w:szCs w:val="24"/>
                <w:color w:val="auto"/>
              </w:rPr>
            </w:pPr>
          </w:p>
        </w:tc>
        <w:tc>
          <w:tcPr>
            <w:tcW w:w="972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140</w:t>
            </w:r>
          </w:p>
        </w:tc>
      </w:tr>
      <w:tr>
        <w:trPr>
          <w:trHeight w:val="763"/>
        </w:trPr>
        <w:tc>
          <w:tcPr>
            <w:tcW w:w="152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ind w:left="1980" w:right="160"/>
        <w:spacing w:after="0" w:line="265" w:lineRule="auto"/>
        <w:rPr>
          <w:sz w:val="20"/>
          <w:szCs w:val="20"/>
          <w:color w:val="auto"/>
        </w:rPr>
      </w:pPr>
      <w:r>
        <w:rPr>
          <w:rFonts w:ascii="Times New Roman" w:cs="Times New Roman" w:eastAsia="Times New Roman" w:hAnsi="Times New Roman"/>
          <w:sz w:val="17"/>
          <w:szCs w:val="17"/>
          <w:color w:val="auto"/>
        </w:rPr>
        <w:t>The Company’s determination of the amount of accrued or prepaid expenses at each reporting period requires significant judgment and estimates by management in certain circumstances, as estimates are based on management’s knowledge of the services provided by the third parties to date but not yet invoiced.</w:t>
      </w:r>
    </w:p>
    <w:p>
      <w:pPr>
        <w:spacing w:after="0" w:line="176" w:lineRule="exact"/>
        <w:rPr>
          <w:sz w:val="20"/>
          <w:szCs w:val="20"/>
          <w:color w:val="auto"/>
        </w:rPr>
      </w:pPr>
    </w:p>
    <w:p>
      <w:pPr>
        <w:ind w:left="1980"/>
        <w:spacing w:after="0" w:line="265" w:lineRule="auto"/>
        <w:rPr>
          <w:sz w:val="20"/>
          <w:szCs w:val="20"/>
          <w:color w:val="auto"/>
        </w:rPr>
      </w:pPr>
      <w:r>
        <w:rPr>
          <w:rFonts w:ascii="Times New Roman" w:cs="Times New Roman" w:eastAsia="Times New Roman" w:hAnsi="Times New Roman"/>
          <w:sz w:val="17"/>
          <w:szCs w:val="17"/>
          <w:color w:val="auto"/>
        </w:rPr>
        <w:t>Auditing the Company’s accrued and prepaid research and development expenses is challenging and required significant auditor effort in performing appropriate procedures to evaluate the completeness and accuracy of the information management utilizes in these estimates.</w:t>
      </w:r>
    </w:p>
    <w:p>
      <w:pPr>
        <w:sectPr>
          <w:pgSz w:w="11900" w:h="16838" w:orient="portrait"/>
          <w:cols w:equalWidth="0" w:num="1">
            <w:col w:w="10640"/>
          </w:cols>
          <w:pgMar w:left="320" w:top="1427" w:right="939" w:bottom="1440" w:gutter="0" w:footer="0" w:header="0"/>
        </w:sectPr>
      </w:pPr>
    </w:p>
    <w:p>
      <w:pPr>
        <w:spacing w:after="0" w:line="199" w:lineRule="exact"/>
        <w:rPr>
          <w:sz w:val="20"/>
          <w:szCs w:val="20"/>
          <w:color w:val="auto"/>
        </w:rPr>
      </w:pPr>
    </w:p>
    <w:p>
      <w:pPr>
        <w:ind w:left="120"/>
        <w:spacing w:after="0" w:line="319"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internal controls over the Company’s process used in accounting for accrued and prepaid research and development expenses.</w:t>
      </w:r>
    </w:p>
    <w:p>
      <w:pPr>
        <w:spacing w:after="0" w:line="163" w:lineRule="exact"/>
        <w:rPr>
          <w:sz w:val="20"/>
          <w:szCs w:val="20"/>
          <w:color w:val="auto"/>
        </w:rPr>
      </w:pPr>
    </w:p>
    <w:p>
      <w:pPr>
        <w:sectPr>
          <w:pgSz w:w="11900" w:h="16838" w:orient="portrait"/>
          <w:cols w:equalWidth="0" w:num="2">
            <w:col w:w="1640" w:space="340"/>
            <w:col w:w="8660"/>
          </w:cols>
          <w:pgMar w:left="320" w:top="1427" w:right="939" w:bottom="1440" w:gutter="0" w:footer="0" w:header="0"/>
          <w:type w:val="continuous"/>
        </w:sectPr>
      </w:pPr>
    </w:p>
    <w:p>
      <w:pPr>
        <w:ind w:left="1980" w:right="20"/>
        <w:spacing w:after="0" w:line="253" w:lineRule="auto"/>
        <w:rPr>
          <w:sz w:val="20"/>
          <w:szCs w:val="20"/>
          <w:color w:val="auto"/>
        </w:rPr>
      </w:pPr>
      <w:r>
        <w:rPr>
          <w:rFonts w:ascii="Times New Roman" w:cs="Times New Roman" w:eastAsia="Times New Roman" w:hAnsi="Times New Roman"/>
          <w:sz w:val="17"/>
          <w:szCs w:val="17"/>
          <w:color w:val="auto"/>
        </w:rPr>
        <w:t>To test the accrued and prepaid research and development expenses, our audit procedures included, among others, testing the accuracy and completeness of the underlying data used by management to estimate the accrual or prepaid balance. To corroborate management’s estimates, we inspected a sample of contracts with third parties, obtained information regarding the progress of clinical trials from the Company’s research and development personnel that oversee the clinical trials and inspected a sample of data obtained from the third parties. We confirmed information directly with a sample of the third parties, such as the services provided and costs incurred, and the number of sites in the clinical trials. We also inspected subsequent invoices received from the third parties and cash disbursements made to these parties, to the extent such invoices were received, or payments were made prior to the date that the consolidated financial statements were issued.</w:t>
      </w:r>
    </w:p>
    <w:p>
      <w:pPr>
        <w:sectPr>
          <w:pgSz w:w="11900" w:h="16838" w:orient="portrait"/>
          <w:cols w:equalWidth="0" w:num="1">
            <w:col w:w="10640"/>
          </w:cols>
          <w:pgMar w:left="320" w:top="1427"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Montréal, Canada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27" w:right="939" w:bottom="1440" w:gutter="0" w:footer="0" w:header="0"/>
          <w:type w:val="continuous"/>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111,268</w:t>
            </w:r>
          </w:p>
        </w:tc>
        <w:tc>
          <w:tcPr>
            <w:tcW w:w="720" w:type="dxa"/>
            <w:vAlign w:val="bottom"/>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159,521</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112,359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184,420</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receivable</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10,813</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receivables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4,323</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9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4,749</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5,715</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243,688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353,979</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4,215</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4,228</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5,371</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2,276</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396</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497</w:t>
            </w:r>
          </w:p>
        </w:tc>
      </w:tr>
      <w:tr>
        <w:trPr>
          <w:trHeight w:val="26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253,901</w:t>
            </w:r>
          </w:p>
        </w:tc>
        <w:tc>
          <w:tcPr>
            <w:tcW w:w="720" w:type="dxa"/>
            <w:vAlign w:val="bottom"/>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364,075</w:t>
            </w:r>
          </w:p>
        </w:tc>
      </w:tr>
      <w:tr>
        <w:trPr>
          <w:trHeight w:val="208"/>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9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2,400</w:t>
            </w:r>
          </w:p>
        </w:tc>
        <w:tc>
          <w:tcPr>
            <w:tcW w:w="7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24,057</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21,645</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2,171</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10,222</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53,102</w:t>
            </w: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1,240</w:t>
            </w: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39,079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78,619</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3,257</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9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1,730</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2,682</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41,819</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84,558</w:t>
            </w: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shares, no par value per share; unlimited shares authorized as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of December 31, 2023 and December 31, 2022, respectively; 0 shares issued</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and outstanding as of December 31, 2023 and December 31, 2022, respectively</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shares, no par value per share; unlimited shares authorized as</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 December 31, 2023 and December 31, 2022; 42,176,041 and 42,036,193</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respectively</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483,350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482,032</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61,813</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37,226</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(428 )</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9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(333,109 )</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(239,313 )</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212,082</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279,517</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96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253,901</w:t>
            </w:r>
          </w:p>
        </w:tc>
        <w:tc>
          <w:tcPr>
            <w:tcW w:w="1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364,075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-4542790</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-3651250</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-3634105</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-2159635</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-334010</wp:posOffset>
            </wp:positionV>
            <wp:extent cx="1111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7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agreements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51,133</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131,830</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3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133,593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119,066</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33,764</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32,560</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167,357</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151,626</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(116,224 )</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(19,796 )</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(loss) gain on foreign exchange</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308</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13,334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5,631</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13,045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5,896</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(103,179 )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9,383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(15,147 )</w:t>
            </w:r>
          </w:p>
        </w:tc>
      </w:tr>
      <w:tr>
        <w:trPr>
          <w:trHeight w:val="27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(93,796 )</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(29,047 )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41"/>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7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(93,340 )</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(29,475 )</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42,093,293</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41,922,042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-2639695</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-2313940</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-1687830</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-1045210</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-1028065</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-710565</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-385445</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-367665</wp:posOffset>
            </wp:positionV>
            <wp:extent cx="1111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Total Shareholders'</w:t>
            </w: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January 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41,850,162</w:t>
            </w:r>
          </w:p>
        </w:tc>
        <w:tc>
          <w:tcPr>
            <w:tcW w:w="6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480,699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17,988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(210,266 )</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288,421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vested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148,116</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(261 )</w:t>
            </w:r>
          </w:p>
        </w:tc>
        <w:tc>
          <w:tcPr>
            <w:tcW w:w="1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19,691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shares under</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the 2020 Employee Share</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37,915</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(192 )</w:t>
            </w:r>
          </w:p>
        </w:tc>
        <w:tc>
          <w:tcPr>
            <w:tcW w:w="1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(428 )</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(428 )</w:t>
            </w: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(29,047 )</w:t>
            </w:r>
          </w:p>
        </w:tc>
        <w:tc>
          <w:tcPr>
            <w:tcW w:w="2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(29,047 )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42,036,193</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482,032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37,226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(428 )</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(239,313 )</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279,517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Exercise of vested stock options</w:t>
            </w: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64,240</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241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(88 )</w:t>
            </w:r>
          </w:p>
        </w:tc>
        <w:tc>
          <w:tcPr>
            <w:tcW w:w="120" w:type="dxa"/>
            <w:vAlign w:val="bottom"/>
          </w:tcPr>
          <w:p>
            <w:pPr>
              <w:spacing w:after="0"/>
              <w:rPr>
                <w:sz w:val="12"/>
                <w:szCs w:val="12"/>
                <w:color w:val="auto"/>
              </w:rPr>
            </w:pPr>
          </w:p>
        </w:tc>
        <w:tc>
          <w:tcPr>
            <w:tcW w:w="130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6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9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25,063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shares under</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the 2020 Employee Share</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75,608</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(388 )</w:t>
            </w:r>
          </w:p>
        </w:tc>
        <w:tc>
          <w:tcPr>
            <w:tcW w:w="12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(93,796 )</w:t>
            </w:r>
          </w:p>
        </w:tc>
        <w:tc>
          <w:tcPr>
            <w:tcW w:w="2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(93,796 )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42,176,041</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483,350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61,813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(333,109 )</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212,082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-848360</wp:posOffset>
            </wp:positionV>
            <wp:extent cx="76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-830580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-848360</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-830580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-848360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-830580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-848360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-830580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-848360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-830580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60" w:type="dxa"/>
            <w:vAlign w:val="bottom"/>
            <w:vMerge w:val="restart"/>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6"/>
        </w:trPr>
        <w:tc>
          <w:tcPr>
            <w:tcW w:w="77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9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for the year</w:t>
            </w:r>
          </w:p>
        </w:tc>
        <w:tc>
          <w:tcPr>
            <w:tcW w:w="940" w:type="dxa"/>
            <w:vAlign w:val="bottom"/>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(93,796 )</w:t>
            </w:r>
          </w:p>
        </w:tc>
        <w:tc>
          <w:tcPr>
            <w:tcW w:w="780" w:type="dxa"/>
            <w:vAlign w:val="bottom"/>
            <w:gridSpan w:val="2"/>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(29,047 )</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9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25,063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19,691</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Depreciation expense</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1,951</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1,978</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Non-cash lease expense</w:t>
            </w:r>
          </w:p>
        </w:tc>
        <w:tc>
          <w:tcPr>
            <w:tcW w:w="9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2,194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2,206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Foreign exchange loss (gain)</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78</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(298 )</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accretion of marketable securities</w:t>
            </w: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(7,465 )</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(2,233 )</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Deferred tax asset</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3,620</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Prepaid expenses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969</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593</w:t>
            </w:r>
          </w:p>
        </w:tc>
        <w:tc>
          <w:tcPr>
            <w:tcW w:w="0" w:type="dxa"/>
            <w:vAlign w:val="bottom"/>
          </w:tcPr>
          <w:p>
            <w:pPr>
              <w:spacing w:after="0"/>
              <w:rPr>
                <w:sz w:val="1"/>
                <w:szCs w:val="1"/>
                <w:color w:val="auto"/>
              </w:rPr>
            </w:pPr>
          </w:p>
        </w:tc>
      </w:tr>
      <w:tr>
        <w:trPr>
          <w:trHeight w:val="189"/>
        </w:trPr>
        <w:tc>
          <w:tcPr>
            <w:tcW w:w="77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current receivables</w:t>
            </w: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(216 )</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(1,385 )</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Other non-current assets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101</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89"/>
        </w:trPr>
        <w:tc>
          <w:tcPr>
            <w:tcW w:w="77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1,934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(1,348 )</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2,412</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3,020</w:t>
            </w:r>
          </w:p>
        </w:tc>
        <w:tc>
          <w:tcPr>
            <w:tcW w:w="0" w:type="dxa"/>
            <w:vAlign w:val="bottom"/>
          </w:tcPr>
          <w:p>
            <w:pPr>
              <w:spacing w:after="0"/>
              <w:rPr>
                <w:sz w:val="1"/>
                <w:szCs w:val="1"/>
                <w:color w:val="auto"/>
              </w:rPr>
            </w:pPr>
          </w:p>
        </w:tc>
      </w:tr>
      <w:tr>
        <w:trPr>
          <w:trHeight w:val="189"/>
        </w:trPr>
        <w:tc>
          <w:tcPr>
            <w:tcW w:w="77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Operating lease liabilities, current portion</w:t>
            </w:r>
          </w:p>
        </w:tc>
        <w:tc>
          <w:tcPr>
            <w:tcW w:w="9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615</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Income taxes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(14,329 )</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717</w:t>
            </w:r>
          </w:p>
        </w:tc>
        <w:tc>
          <w:tcPr>
            <w:tcW w:w="0" w:type="dxa"/>
            <w:vAlign w:val="bottom"/>
          </w:tcPr>
          <w:p>
            <w:pPr>
              <w:spacing w:after="0"/>
              <w:rPr>
                <w:sz w:val="1"/>
                <w:szCs w:val="1"/>
                <w:color w:val="auto"/>
              </w:rPr>
            </w:pPr>
          </w:p>
        </w:tc>
      </w:tr>
      <w:tr>
        <w:trPr>
          <w:trHeight w:val="189"/>
        </w:trPr>
        <w:tc>
          <w:tcPr>
            <w:tcW w:w="77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(2,373 )</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(2,146 )</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Deferred revenue</w:t>
            </w:r>
          </w:p>
        </w:tc>
        <w:tc>
          <w:tcPr>
            <w:tcW w:w="9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(43,832 )</w:t>
            </w:r>
          </w:p>
        </w:tc>
        <w:tc>
          <w:tcPr>
            <w:tcW w:w="1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4,250</w:t>
            </w:r>
          </w:p>
        </w:tc>
        <w:tc>
          <w:tcPr>
            <w:tcW w:w="0" w:type="dxa"/>
            <w:vAlign w:val="bottom"/>
          </w:tcPr>
          <w:p>
            <w:pPr>
              <w:spacing w:after="0"/>
              <w:rPr>
                <w:sz w:val="1"/>
                <w:szCs w:val="1"/>
                <w:color w:val="auto"/>
              </w:rPr>
            </w:pPr>
          </w:p>
        </w:tc>
      </w:tr>
      <w:tr>
        <w:trPr>
          <w:trHeight w:val="183"/>
        </w:trPr>
        <w:tc>
          <w:tcPr>
            <w:tcW w:w="77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9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(127,158 )</w:t>
            </w: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322</w:t>
            </w:r>
          </w:p>
        </w:tc>
        <w:tc>
          <w:tcPr>
            <w:tcW w:w="0" w:type="dxa"/>
            <w:vAlign w:val="bottom"/>
          </w:tcPr>
          <w:p>
            <w:pPr>
              <w:spacing w:after="0"/>
              <w:rPr>
                <w:sz w:val="1"/>
                <w:szCs w:val="1"/>
                <w:color w:val="auto"/>
              </w:rPr>
            </w:pPr>
          </w:p>
        </w:tc>
      </w:tr>
      <w:tr>
        <w:trPr>
          <w:trHeight w:val="18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9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(1,938 )</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(602 )</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maturities of marketable securities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259,000</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81,400</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(179,021 )</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(256,576 )</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9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78,041</w:t>
            </w: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(175,778 )</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153</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447</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Proceeds from issuance of common shares under the 2020 Employee Share Purchase Plan</w:t>
            </w: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689</w:t>
            </w:r>
          </w:p>
        </w:tc>
        <w:tc>
          <w:tcPr>
            <w:tcW w:w="16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433</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9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842</w:t>
            </w: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880</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fluctuations on cash held</w:t>
            </w:r>
          </w:p>
        </w:tc>
        <w:tc>
          <w:tcPr>
            <w:tcW w:w="940" w:type="dxa"/>
            <w:vAlign w:val="bottom"/>
          </w:tcPr>
          <w:p>
            <w:pPr>
              <w:spacing w:after="0"/>
              <w:rPr>
                <w:sz w:val="15"/>
                <w:szCs w:val="15"/>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(330 )</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(48,253 )</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(174,906 )</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cash at beginning of year</w:t>
            </w:r>
          </w:p>
        </w:tc>
        <w:tc>
          <w:tcPr>
            <w:tcW w:w="9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159,521</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334,427</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year</w:t>
            </w:r>
          </w:p>
        </w:tc>
        <w:tc>
          <w:tcPr>
            <w:tcW w:w="940" w:type="dxa"/>
            <w:vAlign w:val="bottom"/>
            <w:shd w:val="clear" w:color="auto" w:fill="CFF0FC"/>
          </w:tcPr>
          <w:p>
            <w:pPr>
              <w:jc w:val="right"/>
              <w:ind w:right="7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111,268</w:t>
            </w:r>
          </w:p>
        </w:tc>
        <w:tc>
          <w:tcPr>
            <w:tcW w:w="78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159,521</w:t>
            </w:r>
          </w:p>
        </w:tc>
        <w:tc>
          <w:tcPr>
            <w:tcW w:w="0" w:type="dxa"/>
            <w:vAlign w:val="bottom"/>
          </w:tcPr>
          <w:p>
            <w:pPr>
              <w:spacing w:after="0"/>
              <w:rPr>
                <w:sz w:val="1"/>
                <w:szCs w:val="1"/>
                <w:color w:val="auto"/>
              </w:rPr>
            </w:pPr>
          </w:p>
        </w:tc>
      </w:tr>
      <w:tr>
        <w:trPr>
          <w:trHeight w:val="170"/>
        </w:trPr>
        <w:tc>
          <w:tcPr>
            <w:tcW w:w="7720" w:type="dxa"/>
            <w:vAlign w:val="bottom"/>
            <w:tcBorders>
              <w:top w:val="single" w:sz="8" w:color="CFF0FC"/>
            </w:tcBorders>
          </w:tcPr>
          <w:p>
            <w:pPr>
              <w:ind w:lef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interest received</w:t>
            </w:r>
          </w:p>
        </w:tc>
        <w:tc>
          <w:tcPr>
            <w:tcW w:w="940" w:type="dxa"/>
            <w:vAlign w:val="bottom"/>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3,089</w:t>
            </w:r>
          </w:p>
        </w:tc>
        <w:tc>
          <w:tcPr>
            <w:tcW w:w="780" w:type="dxa"/>
            <w:vAlign w:val="bottom"/>
            <w:gridSpan w:val="2"/>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1,966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color w:val="auto"/>
              </w:rPr>
              <w:t>Cash taxes paid, net</w:t>
            </w:r>
          </w:p>
        </w:tc>
        <w:tc>
          <w:tcPr>
            <w:tcW w:w="940" w:type="dxa"/>
            <w:vAlign w:val="bottom"/>
            <w:tcBorders>
              <w:bottom w:val="single" w:sz="8" w:color="auto"/>
            </w:tcBorders>
            <w:shd w:val="clear" w:color="auto" w:fill="CFF0FC"/>
          </w:tcPr>
          <w:p>
            <w:pPr>
              <w:jc w:val="right"/>
              <w:ind w:right="7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4,945</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4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10,810</w:t>
            </w: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Right-of-use assets obtained in exchange for new operating lease liability</w:t>
            </w:r>
          </w:p>
        </w:tc>
        <w:tc>
          <w:tcPr>
            <w:tcW w:w="940" w:type="dxa"/>
            <w:vAlign w:val="bottom"/>
          </w:tcPr>
          <w:p>
            <w:pPr>
              <w:jc w:val="right"/>
              <w:ind w:right="7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149</w:t>
            </w:r>
          </w:p>
        </w:tc>
        <w:tc>
          <w:tcPr>
            <w:tcW w:w="780" w:type="dxa"/>
            <w:vAlign w:val="bottom"/>
            <w:gridSpan w:val="2"/>
          </w:tcPr>
          <w:p>
            <w:pPr>
              <w:jc w:val="right"/>
              <w:ind w:right="44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-2442210</wp:posOffset>
            </wp:positionV>
            <wp:extent cx="1028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-1696720</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-1341120</wp:posOffset>
            </wp:positionV>
            <wp:extent cx="12827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-702310</wp:posOffset>
            </wp:positionV>
            <wp:extent cx="102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-685165</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102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U.S. dollars, except per share data, unless otherwise specified)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September 6, 2016. On June 23, 2020, immediately prior to the completion of its initial public offering (the “IPO”), the Company was continued as a corporation under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 (Québec)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operating losses. As of December 31, 2023, the Company had an accumulated deficit of $333.1 million. The Company does not have any products approved for sale and has financed its operations primarily through equity financings and funding from its collaboration and license agreements. Based on its current operating plan, the Company expects that its existing cash and cash equivalents and marketable securities on hand will be sufficient to fund its operating and capital expenditures for at least one year from the date of the issuance of these consolidated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obtain additional debt or equity financing, or generate product revenue or revenue from collaboration agreements, on a timely basis or at all. The failure of the Company to obtain sufficient funds on acceptable terms when needed could have a material adverse effect on the Company’s business, results of operations and financial condition.</w:t>
      </w:r>
    </w:p>
    <w:p>
      <w:pPr>
        <w:spacing w:after="0" w:line="280" w:lineRule="exact"/>
        <w:rPr>
          <w:sz w:val="20"/>
          <w:szCs w:val="20"/>
          <w:color w:val="auto"/>
        </w:rPr>
      </w:pPr>
    </w:p>
    <w:p>
      <w:pPr>
        <w:ind w:right="7680" w:firstLine="8"/>
        <w:spacing w:after="0" w:line="378" w:lineRule="auto"/>
        <w:tabs>
          <w:tab w:leader="none" w:pos="1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 and expenses are eliminated in full upon consolidation.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market value of our common shares held by non-affiliates was between $250 million and $700 million as of June 30, 2023 and our revenue for the year ended December 31, 2022 was more than $100 million, we will lose our status as a “smaller reporting company” and no longer be eligible to rely on the scaled disclosure exemptions available to smaller reporting companies starting with the filing of our first Quarterly Report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for the Company and Repare USA is the U.S. dollar (“USD”).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currencies are translated into the functional currency using the exchange rate prevailing at the dates of the respective transactions. Any gains or losses arising on remeasurement are included in the consolidated statement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The Company’s singular focus is the research, development and commercialization of precision oncology drugs targeting specific vulnerabilities of tumors in genetically defined patient populations.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estimates related to revenue recognition, accrued research and development expenses, share-based compensation, and income taxes. The Company bases its estimates on historical experience and other market specific or other relevant assumptions that it believes to be reasonable under the circumstances. Actual results could differ from those estimates. Estimates are periodically reviewed in light of changes in circumstances, facts and experience. Changes in estimates are recorded in the period in which they become known.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Cash and cash equivalents include cash held in banks, amounts held in money market funds and commercial paper with original maturities less than 90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marketable debt securities with a remaining maturity of greater than three months when purchased as available-for-sale. Marketable debt securities with a remaining maturity date greater than one year are classified as non-current where the Company has the intent and ability to hold these securities for at least the next 12 months.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marketable securities consist of U.S. treasury securities, government-sponsored enterprises securities, and commercial paper with original maturities greater than 90 days. All of the Company’s marketable securities have a contractual maturity of one year or less. The Company considers its investment portfolio of U.S. treasury securities, government-sponsored enterprises securities, and commercial paper to be available-for-sale. Accordingly, these investments are recorded at fair value, which is based on observable inputs, other than quoted market prices. Unrealized gains and losses are reported in accumulated other comprehensive items in shareholders’ equity. Amortization and accretion of premiums and discounts are recorded in interest income (expense). Realized gains or losses on debt securities are included in other income (expense).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reviews investments whenever the fair value of an investment is less than the amortized cost and evidence indicates that an investment’s carrying amount is not recoverable within a reasonable period of time. In connection therewith, the Company evaluates whether the decline in fair value has resulted from credit losses or other factors, considering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on the consolidated balance sheet, limited by the amount that the fair value is less than the amortized cost basis. Any impairment that is not related to credit is recognized in other comprehensive loss. Changes in the allowance for credit losses are recorded as a provision for (or reversal of) credit loss expense in other income (expense), net within the consolidated statement of operations. Losses are charged against the allowance when the Company believes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uncollectibility of an available-for-sale security is confirmed or when either of the criteria regarding intent or requirement to sell is met.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Off-Balance Sheet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marketable securities. Our investment portfolio comprises money market funds, U.S. treasury securities, government-sponsored enterprises securities, and commercial paper. Our investment policy limits investment instruments to investment-grade securities with the objective to preserve capital and to maintain liquidity until the funds can be used in business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deposits in accredited financial institutions which exceed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Company’s exposure to foreign exchange risk is primarily related to fluctuations between the Canadian dollar and the U.S. dollar. There are balances in Canadian dollars which are subject to foreign currency fluctuations relating to the impact of translating to U.S. dollars for financial statement presentation.</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no significant off-balance sheet risk, such as foreign exchange contracts, option contracts or other foreign hedging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shareholders’ equity that result from transactions and economic events other than those with shareholders. Other comprehensive loss consists of unrealized losses on available-for-sale marketable securities. Total comprehensive loss for all periods presented has been disclosed in the consolidated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00" w:hanging="357"/>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160" w:hanging="517"/>
        <w:spacing w:after="0" w:line="266" w:lineRule="auto"/>
        <w:tabs>
          <w:tab w:leader="none" w:pos="10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160" w:right="20" w:hanging="517"/>
        <w:spacing w:after="0" w:line="282" w:lineRule="auto"/>
        <w:tabs>
          <w:tab w:leader="none" w:pos="10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entity may choose to measure financial instruments and certain other items at fair value at specified election dates. Subsequent unrealized gains and losses on items for which the fair value option has been elected will be reported in earnings.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cash and cash equivalents, other current receivables, other assets, accounts payable, and accrued expenses and other current liabilities approximate their carrying values.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marketable securities are carried at fair value, determined according to Level 2 inputs in the fair value hierarchy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historical cost, net of accumulated depreciation. Depreciation is calculated using the straight-line method over the estimated useful lives of the assets, which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40" w:type="dxa"/>
            <w:vAlign w:val="bottom"/>
          </w:tcPr>
          <w:p>
            <w:pPr>
              <w:spacing w:after="0"/>
              <w:rPr>
                <w:sz w:val="16"/>
                <w:szCs w:val="16"/>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23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4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shd w:val="clear" w:color="auto" w:fill="CCEEFF"/>
          </w:tcPr>
          <w:p>
            <w:pPr>
              <w:spacing w:after="0"/>
              <w:rPr>
                <w:sz w:val="21"/>
                <w:szCs w:val="21"/>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the shorter of the lease term and the useful life</w:t>
            </w: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assets are retired or disposed of, the assets and related accumulated depreciation are derecognized from the accounts, and any resulting gain or loss is included in the determination of net loss. Expenditures for maintenance and repairs are recorded to expense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finite-lived intangible assets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impaired, the impairment to be recognized is measured by the amount by which the carrying value of the assets exceeds their fair value. Indefinite-lived intangible assets are tested for impairment annually, or more frequently if indicators of impairment are present. To date, no such impairment losses have been recorded.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consolidated balance sheet as a right-of-use asset and current and non-current lease liabilities, as applicable.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typically only includes an initial lease term in its assessment of a lease arrangement. Options to renew a lease are not included in the Company’s assessment unless there is reasonable certainty that the Company will renew.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Assumptions made by the Company at the commencement date are re-evaluated upon occurrence of certain events, including a lease modification. A lease modification results in a separate contract when the modification grants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the Company under these agreements may include non-refundable license fees, customer option exercise fees, payments for research activities, reimbursement of certain costs, payments based upon the achievement of certain milestones and royalties on any resulting net product sales.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first evaluates license and/or collaboration arrangements to determine whether the arrangement (or part of the arrangement) represents a collaborative arrangement pursuant to ASC 808, Collaborative Arrangements (“ASC 808”),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collaborations primarily represent revenue arrangements. For the arrangements or arrangement components that are subject to revenue accounting guidance, in determining the appropriate amount of revenue to be recognized as it fulfills its obligations under each of its agreements, the Company applies the five-step model. 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Licenses </w:t>
      </w:r>
      <w:r>
        <w:rPr>
          <w:rFonts w:ascii="Times New Roman" w:cs="Times New Roman" w:eastAsia="Times New Roman" w:hAnsi="Times New Roman"/>
          <w:sz w:val="18"/>
          <w:szCs w:val="18"/>
          <w:color w:val="auto"/>
        </w:rPr>
        <w:t>– If the license to the Company’s intellectual property is determined to be distinct from the other promises or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 The obligations under the Company’s collaboration and license agreements generally include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The Company’s arrangements may provide a collaborator with the right to acquire additional goods or services in the future.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agreements, fees may be due to the Company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 milestones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and the license is deemed to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complete discussion of accounting for collaboration revenues, see Note 13.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The Company’s research and development expenses consist primarily of costs incurred in performing research and development activities, including salaries and other compensation, share-based compensation, fees paid to external service providers, laboratory supplies and costs for facilities and equipment, partially offset by fully refundable research and development tax credits. Non-refundable prepayments for goods or services that will be used or rendered for future research and development activities are deferred and capitalized. Such amounts are expensed as the goods are delivered or the services are performed, or until it is no longer expected that the goods will be delivered, or the services rendered.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and Prepaid Research and Development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outside consultants, contract research organizations and clinical manufacturing organizations that conduct and manage preclinical studies and clinical trials on the Company’s behalf based on actual time and expenses incurred. The payments for these vendors are recorded as research and development expenses as incurred. There may be instances in which payments made to our vendors will exceed the level of services provided and result in a prepayment of the research and development expense.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records accrued liabilities and prepaid expenses for the estimated costs of research and development activities based upon the estimated services provided but not yet invoiced. When evaluating the adequacy of the accrued liabilities and prepaid expenses, the Company analyzes progress of the studies, including the phase or completion of events, invoices received and contracted costs. The Company accrues the expenses for its clinical trial activities performed by third-party vendors, including contract research organizations and clinical sites, based upon estimates of the proportion of work completed over the life of the individual clinical trial, activities performed by patient and patient enrollment rates in accordance with associated agreements. Significant judgements and estimates are made in determining the accrued and prepaid balances at the end of any reporting period. Actual results could differ from the Company’s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all share-based awards granted to employees and non-employees as share-based compensation expense at fair value.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date for employee and non-employee awards is the date of grant, and share-based compensation costs are recognized over the employees’ requisite service period, which is the vesting period, on a straight-line basis. Forfeitures are accounted for as they occur.</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fair value of each restricted share unit is estimated on the date of grant based on the fair value of the Company’s common share on that same date. The fair value of each stock option grant or purchases under the Company’s 2020 Employee Share Purchase Plan (“ESPP”)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the Company’s expected dividend yield. As there was no public market for its common shares prior to its IPO in June 2020, the Company determined the volatility for stock option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blended with the historical volatility of the Company’s common shares. The Company expects to continue to do so until such time as it has adequate historical data regarding the volatility of its own traded share price. For purchases under our ESPP, only the historical volatility of the Company’s common shares is used when developing an estimate of expected volatility. The expected term of the Company’s stock options granted to employees and non-employees has been determined utilizing the “simplified” method for awards that qualify as “plain-vanilla” options. In connection with the adoption of ASU No. 2018-07, Compensation—Stock Compensation (“ASU No. 2018-07”), the Company calculated the expected term of non-employee awards using the midpoint between the vesting date and the contractual term, which is consistent with the method used for employee awards. For purchases under our ESPP, the expected term is based on the length of the offering period.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shares; therefore, the expected dividend yield is assumed to be zero.</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is classified in the accompanying consolidated statements of operations and comprehensive loss based on the function to which the related services are provided. Any consideration paid by employees on exercising stock options or the purchases under our ESPP and the corresponding portion previously credited to additional paid-in capital are credited to share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Issuance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issuance costs applicable to the issuance of equity instruments are recorded as a reduction of the financing equity proceeds.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shareholders is computed by dividing the net loss attributable to common shareholders by the weighted-average number of common shares outstanding during the reporting period, without consideration for potentially dilutive securities. Diluted net loss per share is computed by dividing the net loss attributable to common shareholders by the weighted-average number of common shares and potentially dilutive securities outstanding during the period determined using the treasury-stock and if-converted methods. For purposes of the diluted net loss per share calculation, options to purchase common shares, restricted share units and shares issuable under the ESPP considered to be potentially dilutive securities were excluded from the calculation of diluted net loss per share because their effect would be anti-dilutive and therefore, basic and diluted net loss per share were the same for all reporting periods presented.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Company’s consolidated financial statements.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Tax Credits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benefit of refundable Canadian research and development tax credits as a reduction of research and development costs when there is reasonable assurance that the amount claimed will be recovered.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accounting pronouncements adopted.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amended the guidance in ASU 280, Segment Reporting, to require a public entity to disclose significant segment expenses and other segment items on an annual and interim basis and provide in interim periods all disclosures about a reportable segment’s profit or loss and assets that are currently required annually. Public entities with a single reportable segment are required to provide the new disclosures and all the disclosures currently required under ASC 280. The new guidance is effective for public entities in fiscal years beginning after December 15, 2023, and interim periods within fiscal years beginning after December 15, 2024. Early adoption is permitted. The Company is currently assessing the impact of this amendment on its consolidated financial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amended the guidance in ASU 740, Income Taxes, to provide disaggregated income tax disclosures on the rate reconciliation and income taxes paid. The new guidance is effective for public entities in fiscal years beginning after 15 December 2024. Early adoption is permitted. The Company is currently assessing the impact of this amendment on its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and Cash Equivalents and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cash and cash equivalents and marketable securities were comprised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 at December 31, 2023</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7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111,264</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111,268</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Treasury and government-sponsored enterprises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89,901</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89,950</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112,335</w:t>
            </w:r>
          </w:p>
        </w:tc>
        <w:tc>
          <w:tcPr>
            <w:tcW w:w="260" w:type="dxa"/>
            <w:vAlign w:val="bottom"/>
          </w:tcPr>
          <w:p>
            <w:pPr>
              <w:spacing w:after="0"/>
              <w:rPr>
                <w:sz w:val="20"/>
                <w:szCs w:val="20"/>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 at December 31, 2022</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116,526</w:t>
            </w:r>
          </w:p>
        </w:tc>
        <w:tc>
          <w:tcPr>
            <w:tcW w:w="7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116,526</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42,995</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42,995</w:t>
            </w:r>
          </w:p>
        </w:tc>
        <w:tc>
          <w:tcPr>
            <w:tcW w:w="100" w:type="dxa"/>
            <w:vAlign w:val="bottom"/>
          </w:tcPr>
          <w:p>
            <w:pPr>
              <w:spacing w:after="0"/>
              <w:rPr>
                <w:sz w:val="21"/>
                <w:szCs w:val="21"/>
                <w:color w:val="auto"/>
              </w:rPr>
            </w:pPr>
          </w:p>
        </w:tc>
      </w:tr>
      <w:tr>
        <w:trPr>
          <w:trHeight w:val="27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159,521</w:t>
            </w:r>
          </w:p>
        </w:tc>
        <w:tc>
          <w:tcPr>
            <w:tcW w:w="7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159,521</w:t>
            </w:r>
          </w:p>
        </w:tc>
        <w:tc>
          <w:tcPr>
            <w:tcW w:w="100" w:type="dxa"/>
            <w:vAlign w:val="bottom"/>
            <w:shd w:val="clear" w:color="auto" w:fill="CFF0FC"/>
          </w:tcPr>
          <w:p>
            <w:pPr>
              <w:spacing w:after="0"/>
              <w:rPr>
                <w:sz w:val="24"/>
                <w:szCs w:val="24"/>
                <w:color w:val="auto"/>
              </w:rPr>
            </w:pPr>
          </w:p>
        </w:tc>
      </w:tr>
      <w:tr>
        <w:trPr>
          <w:trHeight w:val="219"/>
        </w:trPr>
        <w:tc>
          <w:tcPr>
            <w:tcW w:w="58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Treasury and government-sponsored enterprises</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184,848</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(433 )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184,420</w:t>
            </w:r>
          </w:p>
        </w:tc>
        <w:tc>
          <w:tcPr>
            <w:tcW w:w="100" w:type="dxa"/>
            <w:vAlign w:val="bottom"/>
            <w:shd w:val="clear" w:color="auto" w:fill="CFF0FC"/>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184,848</w:t>
            </w:r>
          </w:p>
        </w:tc>
        <w:tc>
          <w:tcPr>
            <w:tcW w:w="26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184,420</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-2253615</wp:posOffset>
            </wp:positionV>
            <wp:extent cx="768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-2253615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-2253615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-521970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-504825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-521970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-504825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-521970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-504825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receivable was $0.4 million and $0.4 million as of December 31, 2023 and 2022, respectively, and is included in other receivables.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held available-for-sale marketable securities with an aggregate fair value of $58.6 million and $157.9 million that were in an unrealized loss position as of December 31, 2023 and 2022, respectively. These marketable securities have been in an unrealized loss position for less than twelve months. The unrealized losses as of December 31, 2023 were not attributed to credit risk but were primarily associated with changes in interest rates and market liquidity. The Company does not intend to sell these securities and it is more likely than not that it will hold these investments for a period of time sufficient to recover the amortized cost. As a result, the Company did not record an allowance for credit losses or other impairment charges for its marketable securities for the year ended December 31, 2023.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$0.5 million net unrealized gain and $0.4 million net unrealized loss in other comprehensive income for the years ended December 31,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marketable securities as of December 31, 2023 and 2022 are less than one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the fair value hierarchy utilized to determine such fair values: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 at December 31, 2023</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36,991</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36,991</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29,815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29,815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66,806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36,991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29,815</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and government-sponsored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enterprises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22,409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22,409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89,950</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89,950</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112,359</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112,359</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financial assets</w:t>
            </w:r>
          </w:p>
        </w:tc>
        <w:tc>
          <w:tcPr>
            <w:tcW w:w="4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179,165</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36,991</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142,174</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2"/>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at December 31, 2022</w:t>
            </w:r>
          </w:p>
        </w:tc>
        <w:tc>
          <w:tcPr>
            <w:tcW w:w="1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equivalents</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42,995</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42,995</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and government-sponsored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184,420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184,420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enterprises</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227,415</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42,995</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184,420</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-2416810</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-2416810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-2416810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-1645285</wp:posOffset>
            </wp:positionV>
            <wp:extent cx="857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-1645285</wp:posOffset>
            </wp:positionV>
            <wp:extent cx="857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-1645285</wp:posOffset>
            </wp:positionV>
            <wp:extent cx="857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-1319530</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-1302385</wp:posOffset>
            </wp:positionV>
            <wp:extent cx="857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-1319530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-1302385</wp:posOffset>
            </wp:positionV>
            <wp:extent cx="857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-1319530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-1302385</wp:posOffset>
            </wp:positionV>
            <wp:extent cx="857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developing fair value estimates, the Company maximizes the use of observable inputs and minimizes the use of unobservable inputs. When available, the Company uses quoted market prices to measure the fair value. In determining the fair values at each date presented above, the Company relied on quoted prices for similar securities in active markets or using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and 2022, there were no transfers between fair value measure levels.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Current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receivables as of December 31, 2023 and 2022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 receivable</w:t>
            </w:r>
          </w:p>
        </w:tc>
        <w:tc>
          <w:tcPr>
            <w:tcW w:w="42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8"/>
              </w:rPr>
              <w:t>1,319</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 receivable</w:t>
            </w:r>
          </w:p>
        </w:tc>
        <w:tc>
          <w:tcPr>
            <w:tcW w:w="3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8"/>
              </w:rPr>
              <w:t>2,050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tax and other receivables</w:t>
            </w:r>
          </w:p>
        </w:tc>
        <w:tc>
          <w:tcPr>
            <w:tcW w:w="3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8"/>
              </w:rPr>
              <w:t>1,130</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current receivables</w:t>
            </w:r>
          </w:p>
        </w:tc>
        <w:tc>
          <w:tcPr>
            <w:tcW w:w="42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8"/>
              </w:rPr>
              <w:t>4,499</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156</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December 31, 2023 and 2022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60" w:type="dxa"/>
            <w:vAlign w:val="bottom"/>
            <w:gridSpan w:val="4"/>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00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auto"/>
            </w:tcBorders>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(7,304 )</w:t>
            </w: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(5,353 )</w:t>
            </w:r>
          </w:p>
        </w:tc>
      </w:tr>
      <w:tr>
        <w:trPr>
          <w:trHeight w:val="27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shd w:val="clear" w:color="auto" w:fill="CFF0FC"/>
          </w:tcPr>
          <w:p>
            <w:pPr>
              <w:spacing w:after="0"/>
              <w:rPr>
                <w:sz w:val="24"/>
                <w:szCs w:val="24"/>
                <w:color w:val="auto"/>
              </w:rPr>
            </w:pPr>
          </w:p>
        </w:tc>
      </w:tr>
      <w:tr>
        <w:trPr>
          <w:trHeight w:val="417"/>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expense recognized was allocated as follows:</w:t>
            </w:r>
          </w:p>
        </w:tc>
        <w:tc>
          <w:tcPr>
            <w:tcW w:w="10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459"/>
        </w:trPr>
        <w:tc>
          <w:tcPr>
            <w:tcW w:w="7720" w:type="dxa"/>
            <w:vAlign w:val="bottom"/>
          </w:tcPr>
          <w:p>
            <w:pPr>
              <w:spacing w:after="0"/>
              <w:rPr>
                <w:sz w:val="24"/>
                <w:szCs w:val="24"/>
                <w:color w:val="auto"/>
              </w:rPr>
            </w:pPr>
          </w:p>
        </w:tc>
        <w:tc>
          <w:tcPr>
            <w:tcW w:w="2860" w:type="dxa"/>
            <w:vAlign w:val="bottom"/>
            <w:tcBorders>
              <w:bottom w:val="single" w:sz="8" w:color="auto"/>
            </w:tcBorders>
            <w:gridSpan w:val="5"/>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7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60" w:type="dxa"/>
            <w:vAlign w:val="bottom"/>
            <w:gridSpan w:val="4"/>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-1422400</wp:posOffset>
            </wp:positionV>
            <wp:extent cx="111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-1405255</wp:posOffset>
            </wp:positionV>
            <wp:extent cx="111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as of December 31, 2023 and 2022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6,981</w:t>
            </w:r>
          </w:p>
        </w:tc>
        <w:tc>
          <w:tcPr>
            <w:tcW w:w="6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5,616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w:t>
            </w:r>
          </w:p>
        </w:tc>
        <w:tc>
          <w:tcPr>
            <w:tcW w:w="100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16,251</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15,078</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680</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271</w:t>
            </w: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24,057</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21,645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License Agreements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as further amended in February 2017 and amended and restated in July 2018, the Company entered into a license agreement (the “NYU Agreement”) with New York University, pursuant to which the Company obtained a worldwide, royalty-bearing, exclusive license under certain patents and know-how of New York University to research, develop and commercialize products covered by such licensed patents. The Company is required to pay New York University an annual non-refundable license fee, which is creditable against future milestone and royalty payments. The Company is required to pay amounts up to approximately $6.7 million in the aggregate upon achievement of certain clinical and commercial milestones and pay a low single digit royalty on future net sales of any product covered by a licensed product and a lower-single digit royalty on future net sales of any product not covered by a licensed product. The NYU Agreement expires on the date of expiration of all royalty obligations.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potential future milestone or royalty payment amounts have not been accrued at December 31, 2023 and 2022 due to the uncertainty related to the successful achievement of these milestones.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has historically entered into lease arrangements for its facilities and certain equipment. As of December 31, 2023, the Company had four operating leases with required future minimum payments. The Company’s leases generally do not include termination or purchase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June 2017, and as further amended in 2021, the Company entered into a lease agreement for office and laboratory space in Montréal, Quebec, for a four-year term, ending in July 2021. In August 2021, the lease was extended through July 2025.</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November 2017, and as further amended throughout 2018, 2019, 2020, 2021 and 2022, the Company entered into a lease agreement for office and laboratory space located in Montréal, Québec, for a three-year term ending in October 2020, which was extended through December 2022. In January 2023, and as further amended in April 2023, the Company entered into a lease renewal agreement for a thirty-two month term, ending in August 2025.</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office space in Cambridge, Massachusetts, for a three-year term ending in December 2024, which commenced in December 2021. The Company has an option for a three year renewal, which has not been recognized in the Company’s right-of-use asset or lease liability.</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November 2019, and as further amended in July 2021, the Company entered into a lease agreement for office and laboratory space for a five-year term located in Montréal, Québec which commenced in September 2020. The Company has an option for a five year renewal, which has not been recognized in the Company’s right-of-use asset or lease liability.</w:t>
      </w:r>
    </w:p>
    <w:p>
      <w:pPr>
        <w:spacing w:after="0" w:line="17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contains a summary of the lease costs recognized under ASC 842 and other information pertaining to the Company’s operating leases for the years ended December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tcPr>
          <w:p>
            <w:pPr>
              <w:spacing w:after="0"/>
              <w:rPr>
                <w:sz w:val="20"/>
                <w:szCs w:val="20"/>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6"/>
        </w:trPr>
        <w:tc>
          <w:tcPr>
            <w:tcW w:w="77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specified otherwise)</w:t>
            </w:r>
          </w:p>
        </w:tc>
        <w:tc>
          <w:tcPr>
            <w:tcW w:w="160" w:type="dxa"/>
            <w:vAlign w:val="bottom"/>
            <w:gridSpan w:val="2"/>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Lease Information</w:t>
            </w: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4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8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04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40" w:type="dxa"/>
            <w:vAlign w:val="bottom"/>
          </w:tcPr>
          <w:p>
            <w:pPr>
              <w:spacing w:after="0"/>
              <w:rPr>
                <w:sz w:val="20"/>
                <w:szCs w:val="20"/>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4.2 %</w:t>
            </w:r>
          </w:p>
        </w:tc>
        <w:tc>
          <w:tcPr>
            <w:tcW w:w="4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-1439545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Variable lease costs for the years ended December 31, 2023 and 2022 include contingent rental usage,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61" w:name="page162"/>
    <w:bookmarkEnd w:id="16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operating leases as of December 31, 2023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9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FF0FC"/>
          </w:tcPr>
          <w:p>
            <w:pPr>
              <w:spacing w:after="0"/>
              <w:rPr>
                <w:sz w:val="21"/>
                <w:szCs w:val="21"/>
                <w:color w:val="auto"/>
              </w:rPr>
            </w:pPr>
          </w:p>
        </w:tc>
      </w:tr>
      <w:tr>
        <w:trPr>
          <w:trHeight w:val="232"/>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r>
      <w:tr>
        <w:trPr>
          <w:trHeight w:val="236"/>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9320" w:firstLine="8"/>
        <w:spacing w:after="0" w:line="377" w:lineRule="auto"/>
        <w:tabs>
          <w:tab w:leader="none" w:pos="27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Preferred Shares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upon the closing of the IPO, the Company authorized for issue an unlimited number of preferred shares, issuable in series, having such designations, rights, privileges, restrictions and conditions, including dividend and voting rights as the board of directors of the Company may determine, and such rights and privileges, including dividend and voting rights, may be superior to those of the common shares. No preferred shares were issued and outstanding as of December 31, 2023 and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articles of continuance of the Company authorize an unlimited number of common shares, voting and participating, without par value.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common share entitles the holder to one vote on all matters submitted to the shareholders for a vote. The holders of common shares are entitled to receive dividends, as may be declared by the board of directors, if any. Through December 31, 2023, no cash dividends have been declared or paid.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the Company entered into a sale agreement (the “Sales Agreement”), with Cowen and Company, LLC. Under the Sales Agreement, the Company may sell up to $125.0 million in common shares. During the years ended December 31, 2023 and 2022, the Company did not issue or sell shares under the Sales Agreement.</w:t>
      </w:r>
    </w:p>
    <w:p>
      <w:pPr>
        <w:spacing w:after="0" w:line="280" w:lineRule="exact"/>
        <w:rPr>
          <w:sz w:val="20"/>
          <w:szCs w:val="20"/>
          <w:color w:val="auto"/>
        </w:rPr>
      </w:pPr>
    </w:p>
    <w:p>
      <w:pPr>
        <w:ind w:right="8420" w:firstLine="8"/>
        <w:spacing w:after="0" w:line="378" w:lineRule="auto"/>
        <w:tabs>
          <w:tab w:leader="none" w:pos="2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2020 Employee Share Purchase Plan</w:t>
      </w: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2020, the Company’s board of directors adopted, and the Company’s shareholders approved the 2020 Employee Share Purchase Plan (“ESPP”). The number of shares reserved and available for issuance under the ESPP will automatically increase each January 1, beginning on January 1, 2021 and each January 1 thereafter through January 31, 2030, by the lesser of (1) 1.0% of the total number of common shares outstanding on December 31 of the preceding calendar year, (2) 3,300,000 common shares, or (3) such smaller number of common shares as the Company’s board of directors may designate. As of January 1, 2024, the number of common shares that may be issued under the ESPP is 1,833,186.</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ESPP enables eligible employees to purchase common shares of the Company at the end of each offering period at a price equal to 85% of the fair market value of the shares on the first business day or the last business day of the offering period, whichever is lower. Participation in the ESPP is voluntary. Eligible employees become participants in the ESPP by enrolling in the plan and authorizing payroll deductions. At the end of each offering period, accumulated payroll deductions are used to purchase the Company’s shares at the discounted price. The Company makes no contributions to the ESPP. A participant may withdraw from the ESPP or suspend contributions to the ESPP. If the participant elects to withdraw during an offering, all contributions are refunded as soon as administratively practicable. If a participant elects to withdraw or suspend contributions, they will not be able to re-enroll in the current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9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offering but may elect to participate in future offerings. A participant may only purchase whole shares of the Company’s common shares in the ESPP. ESPP offering periods are offered on a rolling six-month basis.</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the Company issued 75,608 and 37,915 common shares under the ESPP, respectively, at an average price per share of $9.11 and $11.43, respectively. Cash received from purchases under the ESPP for the years ended December 31, 2023 and 2022 was $0.7 million and $0.4 million, respectively. In February 2024, the Company issued 60,618 common shares under the ESPP at an average price per share of $5.91.</w:t>
      </w:r>
    </w:p>
    <w:p>
      <w:pPr>
        <w:spacing w:after="0" w:line="18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 Scholes option-pricing model to determine the grant date fair value under the ESPP offering were as follows:</w:t>
      </w:r>
    </w:p>
    <w:p>
      <w:pPr>
        <w:spacing w:after="0" w:line="16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r>
      <w:tr>
        <w:trPr>
          <w:trHeight w:val="22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20"/>
                <w:szCs w:val="20"/>
                <w:color w:val="auto"/>
              </w:rPr>
            </w:pPr>
          </w:p>
        </w:tc>
      </w:tr>
      <w:tr>
        <w:trPr>
          <w:trHeight w:val="24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58.38 %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85.37 %</w:t>
            </w:r>
          </w:p>
        </w:tc>
      </w:tr>
      <w:tr>
        <w:trPr>
          <w:trHeight w:val="24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common shares offered and issued under the ESPP during the years ended December 31, 2023 and 2022 was $3.27 and $4.91,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Plan and 2020 Plan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4,074,135 shares of the Company’s common shares to be issued.</w:t>
      </w:r>
    </w:p>
    <w:p>
      <w:pPr>
        <w:spacing w:after="0" w:line="176"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In June 2020, the Company’s board of directors adopted, and the Company’s shareholders approved the 2020 Equity Incentive Plan (the “2020 Plan”). The 2020 Plan became effective on the effective date of the IPO, at which time the Company ceased making awards under the Option Plan. The 2020 Plan allows the Company’s compensation committee to make equity-based and cash-based incentive awards to the Company’s officers, employees, directors and consultants including but not limited to stock options and restricted share units. The aggregate number of common shares reserved and available for issuance under the 2020 Plan has automatically increased on January 1 of each year beginning on January 1, 2021 and will continue to increase on January 1 of each year through and including January 1, 2030, by 5% of the outstanding number of common shares on the immediately preceding December 31, or such lesser number of shares as determined by the Company’s board of directors. As of January 1, 2024, the number of common shares reserved for issuance under the 2020 Plan is 12,132,580.</w:t>
      </w:r>
    </w:p>
    <w:p>
      <w:pPr>
        <w:spacing w:after="0" w:line="19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exercise price per share of stock option must be at least equal to the fair value of the common shares on the date of grant, as determined by the Company’s compensation committee or the Company’s board of directors. Stock options awarded under the 2020 Plan expire 10 years after the grant. Unless otherwise stated in a stock option agreement, options generally have vesting conditions of 25% of the shares subject to an option grant typically vesting upon the first anniversary of the vesting start date and thereafter at the rate of one forty-eighth of the option shares per month as of the first day of each month after the first anniversary.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Grant</w:t>
      </w:r>
    </w:p>
    <w:p>
      <w:pPr>
        <w:spacing w:after="0" w:line="12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In May 2023, the compensation committee of the Company’s board of directors approved the grant of an inducement award to a newly hired member of the senior leadership team. The equity award, which was granted outside of the 2020 Plan, was an inducement material to such executive entering into employment with the Company, in accordance with Nasdaq Listing Rule 5635(c)(4). The stock option award to purchase an aggregate of 240,000 of the Company’s common shares has a ten-year term and an exercise price of $9.83 per share. The award has terms and conditions consistent with those set forth under the 2020 Plan and vests under the similar vesting schedules as stock option awards granted under the 2020 Plan. The inducement grant is included in the stock options table below.</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63" w:name="page164"/>
    <w:bookmarkEnd w:id="16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 Scholes option-pricing model to determine the grant date fair value of stock options granted to employees and non-employees were as follows, presented on a weighted-average basis:</w:t>
      </w:r>
    </w:p>
    <w:p>
      <w:pPr>
        <w:spacing w:after="0" w:line="16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2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3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5.99</w:t>
            </w:r>
          </w:p>
        </w:tc>
        <w:tc>
          <w:tcPr>
            <w:tcW w:w="60" w:type="dxa"/>
            <w:vAlign w:val="bottom"/>
          </w:tcPr>
          <w:p>
            <w:pPr>
              <w:spacing w:after="0"/>
              <w:rPr>
                <w:sz w:val="20"/>
                <w:szCs w:val="20"/>
                <w:color w:val="auto"/>
              </w:rPr>
            </w:pPr>
          </w:p>
        </w:tc>
      </w:tr>
      <w:tr>
        <w:trPr>
          <w:trHeight w:val="24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78.95 %</w:t>
            </w:r>
          </w:p>
        </w:tc>
      </w:tr>
      <w:tr>
        <w:trPr>
          <w:trHeight w:val="24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2023 and 2022 was $8.18 and $9.54,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options activity: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8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Intrinsic value (in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9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3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5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94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January 1, 2023</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8,032,902</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2,371,540</w:t>
            </w:r>
          </w:p>
        </w:tc>
        <w:tc>
          <w:tcPr>
            <w:tcW w:w="320" w:type="dxa"/>
            <w:vAlign w:val="bottom"/>
          </w:tcPr>
          <w:p>
            <w:pPr>
              <w:spacing w:after="0"/>
              <w:rPr>
                <w:sz w:val="15"/>
                <w:szCs w:val="15"/>
                <w:color w:val="auto"/>
              </w:rPr>
            </w:pP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(64,240 )</w:t>
            </w:r>
          </w:p>
        </w:tc>
        <w:tc>
          <w:tcPr>
            <w:tcW w:w="94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(242,431 )</w:t>
            </w: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Outstanding, December 31, 2023</w:t>
            </w:r>
          </w:p>
        </w:tc>
        <w:tc>
          <w:tcPr>
            <w:tcW w:w="1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10,097,771</w:t>
            </w:r>
          </w:p>
        </w:tc>
        <w:tc>
          <w:tcPr>
            <w:tcW w:w="3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13.77</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7.41</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13,502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exercisable,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5,960,917</w:t>
            </w:r>
          </w:p>
        </w:tc>
        <w:tc>
          <w:tcPr>
            <w:tcW w:w="320" w:type="dxa"/>
            <w:vAlign w:val="bottom"/>
          </w:tcPr>
          <w:p>
            <w:pPr>
              <w:spacing w:after="0"/>
              <w:rPr>
                <w:sz w:val="24"/>
                <w:szCs w:val="24"/>
                <w:color w:val="auto"/>
              </w:rPr>
            </w:pP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Options unvested, December 31, 2023</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4,136,854</w:t>
            </w:r>
          </w:p>
        </w:tc>
        <w:tc>
          <w:tcPr>
            <w:tcW w:w="3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-359410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-342265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-359410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-342265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shares for those stock options that had an exercise price lower than the fair value of the Company’s common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2023 and 2022 was $0.5 million and $1.7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2023 and 2022 was $24.4 million and $20.1 million, respectively.</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an aggregate of 64,240 options were exercised at a weighted-average exercise price of $2.37 per share, for aggregate proceeds of $0.2 million. As a result, an amount of $0.1 million previously included in additional paid-in-capital related to the exercised options has been credited to common shares and deducted from additional paid-in-capital.</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64" w:name="page165"/>
    <w:bookmarkEnd w:id="16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share unit activity: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8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Intrinsic value (in</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3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5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January 1, 2023</w:t>
            </w:r>
          </w:p>
        </w:tc>
        <w:tc>
          <w:tcPr>
            <w:tcW w:w="18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626,260</w:t>
            </w:r>
          </w:p>
        </w:tc>
        <w:tc>
          <w:tcPr>
            <w:tcW w:w="3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18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(22,575 )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603,685</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restricted share unit is estimated on the date of grant based on the fair value of our common shares on that same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for all awards was allocated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Borders>
              <w:bottom w:val="single" w:sz="8" w:color="auto"/>
            </w:tcBorders>
          </w:tcPr>
          <w:p>
            <w:pPr>
              <w:spacing w:after="0"/>
              <w:rPr>
                <w:sz w:val="20"/>
                <w:szCs w:val="20"/>
                <w:color w:val="auto"/>
              </w:rPr>
            </w:pPr>
          </w:p>
        </w:tc>
      </w:tr>
      <w:tr>
        <w:trPr>
          <w:trHeight w:val="27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10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00" w:type="dxa"/>
            <w:vAlign w:val="bottom"/>
            <w:shd w:val="clear" w:color="auto" w:fill="CFF0FC"/>
          </w:tcPr>
          <w:p>
            <w:pPr>
              <w:spacing w:after="0"/>
              <w:rPr>
                <w:sz w:val="24"/>
                <w:szCs w:val="24"/>
                <w:color w:val="auto"/>
              </w:rPr>
            </w:pPr>
          </w:p>
        </w:tc>
      </w:tr>
      <w:tr>
        <w:trPr>
          <w:trHeight w:val="417"/>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Share-based compensation expense by type of award was as follows:</w:t>
            </w:r>
          </w:p>
        </w:tc>
        <w:tc>
          <w:tcPr>
            <w:tcW w:w="10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391"/>
        </w:trPr>
        <w:tc>
          <w:tcPr>
            <w:tcW w:w="7720" w:type="dxa"/>
            <w:vAlign w:val="bottom"/>
          </w:tcPr>
          <w:p>
            <w:pPr>
              <w:spacing w:after="0"/>
              <w:rPr>
                <w:sz w:val="24"/>
                <w:szCs w:val="24"/>
                <w:color w:val="auto"/>
              </w:rPr>
            </w:pPr>
          </w:p>
        </w:tc>
        <w:tc>
          <w:tcPr>
            <w:tcW w:w="284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100" w:type="dxa"/>
            <w:vAlign w:val="bottom"/>
          </w:tcPr>
          <w:p>
            <w:pPr>
              <w:spacing w:after="0"/>
              <w:rPr>
                <w:sz w:val="20"/>
                <w:szCs w:val="20"/>
                <w:color w:val="auto"/>
              </w:rPr>
            </w:pPr>
          </w:p>
        </w:tc>
        <w:tc>
          <w:tcPr>
            <w:tcW w:w="11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-1439545</wp:posOffset>
            </wp:positionV>
            <wp:extent cx="111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-1422400</wp:posOffset>
            </wp:positionV>
            <wp:extent cx="1111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$37.5 million and $5.2 million of unrecognized share-based compensation expense to be recognized over a weighted-average remaining vesting period of 1.4 years and 2.1 years related to unvested stock options and unvested restricted share units,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Savings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its employees in the United States the ability to participate in a 401(k) savings plan and offers its employees in Canada the ability to participate in a registered retirement savings plan. The Company makes non-matching employer contributions into both of these plans on behalf of participants equal to 3% of their base salary. The Company has recorded an expense of $0.9 million and $0.8 million in matching contributions for the years ended December 31, 2023 and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Collaborations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revenue from collaboration agreements: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Roche Collaboration and License Agreement</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116,668</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Bristol-Myers Squibb Collaboration and License Agreement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Ono Collaboration Agreement</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51,133</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Roche Collaboration and License Agreement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2022, the Company entered into a collaboration and license agreement (the “Roche Agreement”) with Hoffmann-La Roche Inc. and F. Hoffmann-La Roche Ltd (collectively, “Roche”) regarding the development and commercialization of the Company’s product candidate camonsertib (also known as RP-3500) and specified other Ataxia-Telangiectasia and Rad3-related protein kinase (“ATR”) inhibitors (the “Licensed Products”). The transaction was subject to clearance under the Hart-Scott-Rodino Antitrust Improvements Act of 1976 and other customary closing conditions, which were met on July 13, 2022 (“Effective Date”). Pursuant to the Roche Agreement, the Company granted Roche a worldwide, perpetual, exclusive, sublicensable license to develop, manufacture, and commercialize the Licensed Products, as well as a non-exclusive, sublicensable license to certain related companion diagnostics. The Company agreed to complete specified ongoing clinical trials in accordance with the development plan in the Roche Agreement, as well as ongoing investigator sponsored trials (together, the “Continuing Trials”) at the Company’s expense. Roche assumed all subsequent development of camonsertib with the potential to expand development into additional tumors and multiple combination studies. The Company retained the right to conduct specified clinical trials (the “Repare Trials”) of camonsertib in combination with the Company’s PKMYT1 compound (also known as lunresertib). The Roche Agreement also provided the Company, at its sole discretion, with the ability to opt-in to a 50/50 U.S. co-development and profit share arrangement, including participation in U.S. co-promotion if U.S. regulatory approval is received. If the Company would have chosen to exercise its co-development and profit share option, it would continue to be eligible to receive certain clinical, regulatory, commercial and sales milestone payments, in addition to full ex-U.S. royalties.</w:t>
      </w:r>
    </w:p>
    <w:p>
      <w:pPr>
        <w:spacing w:after="0" w:line="19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Roche Agreement was subsequently amended in October 2022 to extend the timeline to negotiate in good faith the parties’ rights and obligations with respect to the Repare Trials, as defined in the Roche Agreement, and to clarify indications included in the development plan that were subject to milestones.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Roche Agreement, the Company received an upfront, nonrefundable payment of $125.0 million in July 2022. The Company also received an additional payment of $4.0 million negotiated with Roche for revisions to the clinical development plan under the Roche Agreement as agreed to by the parties at the time of the Effective Date. The Company further received $5.6 million for the transfer of clinical trial material on hand to Roche, as agreed to pursuant to the Roche Agreement. In addition, in February 2023, the Company became entitled to receive an additional payment of $4.0 million, negotiated with Roche for additional revisions to the clinical development plan under the Roche Agreement, which was received in April 2023. The Company negotiated an additional payment of $4.0 million for revisions to the clinical development plan under the Roche Agreement, of which $2.1 million was recorded as a receivable at December 31, 2023. The Company was eligible to receive up to $1.172 billion in potential clinical, regulatory, commercial and sales milestones, of which a $40 million milestone was earned in January 2024 upon dosing of the first patient in the camonsertib-based arm of the Roche TAPISTRY trial, as well as royalties on global net sales ranging from high-single-digits to high-teens, subject to certain specified reductions. Royalties were payable by Roche on a product by product and country by country basis until the later of 12 years following the first commercial sale of a licensed product in such country or the expiration of certain exclusivity rights.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Roche Agreement would have expired upon the last to expire royalty term or, as applicable, the end of the U.S. co-development and profit share arrangement. Additionally, Roche could terminate the agreement for convenience in its entirety or on a product by product or country by country basis subject to certain notice periods. Either party could terminate earlier upon the other party’s uncured material breach of the agreement or insolvency. Subject to the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Roche Agreement, effective upon termination of the Roche Agreement, the Company is entitled to retain specified licenses to be able to continue to exploit the Licensed Products.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the Roche Agreement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concluded that Roche is a customer within the context of the agreement. At inception, the Company identified several performance obligations under the agreement, being (i) the combination of the exclusive perpetual license to the Licensed Products and the non-exclusive license to certain companion diagnostics, (ii) the research and development activities related to the completion of the Continuing Trials, as well as (iii) the transfer of clinical trial materials on hand. The Company determined that the exclusive license to the Licensed Products and the non-exclusive license to certain companion diagnostics should be combined into one distinct performance obligation as they were not capable of being distinct from each other within the context of the agreement given both are highly interdependent of each other. The Company determined that the combined licenses, the completion of the Continuing Trials and the transfer of clinical trial materials were all capable of being distinct and were distinct within the context of the Roche Agreement given such activities are independent of each other and Roche could benefit from either separately.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the transaction price at the onset of the agreement was $134.6 million, being the total non-refundable upfront payment received of $125.0 million, the additional $4.0 million payment received and the $5.6 million received for the transfer of clinical trial materials. Additional consideration is to be paid to the Company upon the achievement of multiple clinical, regulatory and sales milestones. The Company utilized the most likely method approach and concluded that these amounts were constrained based on the probability of achievement. As such, the Company excluded this additional consideration from the transaction price.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allocated the transaction price at the onset of the agreement of $134.6 million to each performance obligation based on the relative stand-alone selling price of each performance obligation at inception. The Company has determined the estimated stand-alone selling price at contract inception of the combined licenses by applying a probability adjusted discounted cashflow model which forecasts future cash flows related to the licenses. The Company considered applicable market conditions and relevant entity-specific factors, including those factors contemplated in negotiating the agreement, probability of success, discount rate and the time needed to commercialize a product pursuant to the license. The Company determined the estimated stand-alone selling price at contract inception of the research and development activities required to complete the Continuing Trials based on internal estimates of the costs to perform the services, inclusive of a reasonable profit margin. Significant inputs used to determine the total costs to complete the Continuing Trials included the length of time required, the internal hours as well as external costs expected to be incurred, the number of patients and the number of clinical and investigator sponsored trials. The Company determined the stand-alone selling price of the clinical trial materials transferred based on the purchase price from external vendors, without applying a markup as the materials have a built-in margin from the external vendors.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2023, the Company received a further payment of $4.0 million negotiated with Roche for additional revisions to the clinical development plan. The Company negotiated an additional payment of $4.0 million for revisions to the clinical development plan under the Roche Agreement, of which $2.1 million was recorded as a receivable at December 31, 2023. The Company determined that the scope and the price of the contract had increased as a result of these additional changes and thus reflected a contract modification under ASC 606. The additional services were assessed to be not distinct from the ongoing performance obligation related to the completion of the Continuing Trials but distinct from the other performance obligations. No adjustment was therefore made to the two previously completed performance obligations, being the combined licenses and the transfer of clinical trial materials. The transaction price was updated for the additional consideration of $6.1 million in 2023, which has been allocated to the completion of the Continuing Trials performance obligation.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relative stand-alone selling price, the allocation of the transaction price to the separate performance obligations is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Combined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Completion of Continuing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Transfer of clinical trial materials</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transaction price</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Transaction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2426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8" w:lineRule="exact"/>
        <w:rPr>
          <w:sz w:val="20"/>
          <w:szCs w:val="20"/>
          <w:color w:val="auto"/>
        </w:rPr>
      </w:pPr>
    </w:p>
    <w:p>
      <w:pPr>
        <w:ind w:left="1360" w:hanging="1352"/>
        <w:spacing w:after="0"/>
        <w:tabs>
          <w:tab w:leader="none" w:pos="13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105,327</w:t>
      </w:r>
    </w:p>
    <w:p>
      <w:pPr>
        <w:spacing w:after="0" w:line="39" w:lineRule="exact"/>
        <w:rPr>
          <w:rFonts w:ascii="Times New Roman" w:cs="Times New Roman" w:eastAsia="Times New Roman" w:hAnsi="Times New Roman"/>
          <w:sz w:val="17"/>
          <w:szCs w:val="17"/>
          <w:color w:val="auto"/>
        </w:rPr>
      </w:pPr>
    </w:p>
    <w:p>
      <w:pPr>
        <w:ind w:left="1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32,635</w:t>
      </w:r>
    </w:p>
    <w:p>
      <w:pPr>
        <w:spacing w:after="0" w:line="36"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2,714</w:t>
      </w:r>
    </w:p>
    <w:p>
      <w:pPr>
        <w:spacing w:after="0" w:line="61" w:lineRule="exact"/>
        <w:rPr>
          <w:sz w:val="20"/>
          <w:szCs w:val="20"/>
          <w:color w:val="auto"/>
        </w:rPr>
      </w:pPr>
    </w:p>
    <w:p>
      <w:pPr>
        <w:ind w:left="1360" w:hanging="1352"/>
        <w:spacing w:after="0"/>
        <w:tabs>
          <w:tab w:leader="none" w:pos="13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140,676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12426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426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wp:posOffset>
            </wp:positionV>
            <wp:extent cx="12426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8460" w:space="720"/>
            <w:col w:w="2060"/>
          </w:cols>
          <w:pgMar w:left="320" w:top="1424" w:right="339" w:bottom="1440" w:gutter="0" w:footer="0" w:header="0"/>
        </w:sectPr>
      </w:pP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associated with the combined licenses was recognized at a point in time upon the transfer of the licenses to Roche on the effective date of the Roche Agreement as the Company concluded that the combined licenses were a functional intellectual property license that Roche could benefit from as of the time of grant. Revenue associated with the transfer of clinical trial materials was recognized at a point in time upon delivery of the clinical trial materials to Roche in the year ended December 31, 2022. Revenue associated with the completion of the Continuing Trials has been deferred and will be recognized on a proportional performance basis over the period of time to complete the Continuing Trials, using input-based measurements of total costs of research and development incurred to estimate the proportion performed. Progress towards completion is remeasured at the end of each reporting period.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Completion of Continuing</w:t>
            </w:r>
          </w:p>
        </w:tc>
      </w:t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Roche Agreement</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Trials</w:t>
            </w:r>
          </w:p>
        </w:tc>
        <w:tc>
          <w:tcPr>
            <w:tcW w:w="100" w:type="dxa"/>
            <w:vAlign w:val="bottom"/>
          </w:tcPr>
          <w:p>
            <w:pPr>
              <w:spacing w:after="0"/>
              <w:rPr>
                <w:sz w:val="16"/>
                <w:szCs w:val="16"/>
                <w:color w:val="auto"/>
              </w:rPr>
            </w:pPr>
          </w:p>
        </w:tc>
      </w:tr>
      <w:tr>
        <w:trPr>
          <w:trHeight w:val="259"/>
        </w:trPr>
        <w:tc>
          <w:tcPr>
            <w:tcW w:w="9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1"/>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Pr>
          <w:p>
            <w:pPr>
              <w:spacing w:after="0"/>
              <w:rPr>
                <w:sz w:val="20"/>
                <w:szCs w:val="20"/>
                <w:color w:val="auto"/>
              </w:rPr>
            </w:pPr>
          </w:p>
        </w:tc>
      </w:tr>
      <w:tr>
        <w:trPr>
          <w:trHeight w:val="25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in collaboration revenue receivable</w:t>
            </w:r>
          </w:p>
        </w:tc>
        <w:tc>
          <w:tcPr>
            <w:tcW w:w="1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tc>
        <w:tc>
          <w:tcPr>
            <w:tcW w:w="100" w:type="dxa"/>
            <w:vAlign w:val="bottom"/>
          </w:tcPr>
          <w:p>
            <w:pPr>
              <w:spacing w:after="0"/>
              <w:rPr>
                <w:sz w:val="21"/>
                <w:szCs w:val="21"/>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(14,545 )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Classified as short-term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00" w:type="dxa"/>
            <w:vAlign w:val="bottom"/>
          </w:tcPr>
          <w:p>
            <w:pPr>
              <w:spacing w:after="0"/>
              <w:rPr>
                <w:sz w:val="19"/>
                <w:szCs w:val="19"/>
                <w:color w:val="auto"/>
              </w:rPr>
            </w:pPr>
          </w:p>
        </w:tc>
      </w:tr>
      <w:tr>
        <w:trPr>
          <w:trHeight w:val="24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Classified as long-term</w:t>
            </w:r>
          </w:p>
        </w:tc>
        <w:tc>
          <w:tcPr>
            <w:tcW w:w="1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$14.5 million as revenue for the year ended December 31, 2023 in recognition of research and development services performed towards the completion of the Continuing Trials under the Roche Agreement. Adjustments to revenue previously recognized based on updated measures of progress related to the completion of the Continuing Trials have been recognized on a cumulative catch-up basis in the year ended December 31,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$116.7 million for the year ended December 31, 2022 as revenue associated with the Roche Agreement, of which $105.3 million related to the grant of the combined licenses, $2.7 million related to the clinical trial materials transferred, and $8.6 million related to the partial recognition of deferred revenue for research and development services performed towards the completion of the Continuing Trials during the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$9.4 million (December 31, 2022 – $18.0 million) of deferred revenue related to the Roche Agreement, of which $7.7 million (December 31, 2022 – $15.3 million) was classified as current and $1.7 million (December 31, 2022 – $2.7 million) was classified as non-current in the consolidated balance sheet based on the period the services to complete the Continuing Trials are expected to be performed.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year-end, on February 7, 2024, the Company received written notice from Roche of their election to terminate the Roche collaboration agreement. The termination will become effective in May 2024, at which time the Company will regain global development and commercialization rights for camonsertib from Roche. Following May 7, 2024, and except as disclosed above, there is no other material relationship between the Company and Roche. As such, all deferred revenue related to the Roche Agreement is expected to be recognized in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Bristol-Myers Squibb</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2020, the Company entered into a collaboration and license agreement (the “BMS Agreement”) with Bristol-Myers Squibb Company (Bristol-Myers Squibb), pursuant to which the Company and Bristol-Myers Squibb have agreed to collaborate in the research and development of potential new product candidates for the treatment of cancer. The Company is providing Bristol-Myers Squibb access to a selected number of its existing screening campaigns and novel campaigns. The Company is responsible for carrying out early-stage research activities directed to identifying potential targets for potential licensing by Bristol-Myers Squibb, in accordance with a mutually agreed upon research plan and will be solely responsible for such costs. The collaboration consists of programs directed to both druggable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type w:val="continuous"/>
        </w:sectPr>
      </w:pPr>
    </w:p>
    <w:bookmarkStart w:id="168" w:name="page169"/>
    <w:bookmarkEnd w:id="168"/>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targets and to targets commonly considered undruggable to traditional small molecule approaches. Upon Bristol-Myers Squibb’s election to exercise its option to obtain exclusive worldwide licenses for the subsequent development, manufacturing and commercialization of a program, Bristol-Myers Squibb will then be solely responsible for all such worldwide activities and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BMS Agreement was subsequently amended in July, September and November 2020 to include additional campaigns to the list of existing campaigns from which Bristol-Myers Squibb may select campaigns under the agreement and to enable unblinding of a Bristol-Myers Squibb alliance manager in order to streamline the collaboration and selection process.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collaboration term expired in November 2023, being 42 months after the effective date of the BMS Agreement. The BMS Agreement will expire, assuming that Bristol-Myers Squibb has exercised at least one option for a program, on a licensed product-by-licensed product and country-by-country basis on expiration of the applicable royalty term and in its entirety upon expiration of the last royalty term. Either party may terminate earlier upon an uncured material breach of the agreement by the other party, or the insolvency of the other party. Additionally, Bristol-Myers Squibb may terminate the BMS Agreement for any or no reason on a program-by-program basis upon specified written notice.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BMS Agreement, Bristol-Myers Squibb paid the Company an initial nonrefundable upfront fee payment of $50.0 million in June 2020. The Company is entitled to receive, on a program-by-program basis, option exercise fees ranging in the low six figures depending on the nature of the applicable program. Bristol-Myers Squibb also has the right to retain rights to certain back-up programs in exchange for a one-time payment in the low eight figures per program. The Company is also entitled to receive up to $301.0 million in total milestones on a program-by-program basis, consisting of $176.0 million in the aggregate for certain specified research, development and regulatory milestones and $125.0 million in the aggregate for certain specified commercial milestones. The Company is further entitled to a tiered percentage royalty on annual net sales ranging from high-single digits to low-double digits, subject to certain specified reductions. Royalties are payable by Bristol-Myers Squibb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program-by-program basis, prior to the earlier of such program ceasing to be included under the BMS Agreement and expiration of the last to expire royalty term for such program, the Company, alone and with third parties, is prohibited from researching, developing, manufacturing and commercializing products that are directed to the applicable target for such program.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provided Bristol-Myers Squibb with certain, limited rights to first negotiation if the Company determines to divest, license or collaborate with others regarding certain existing programs, including in the event that the Company receives an unsolicited offer to do so. The right of first negotiation expressly excludes any potential change of control transaction, as defined in the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assessed the BMS Agreement in accordance with ASC 606, Revenue from Contracts with Customers, and concluded that Bristol-Myers Squibb is a customer based on the agreement structure. At inception, the Company identified several performance obligations under the BMS Agreement, being (i) research activities for each campaign over the collaboration term, as well as (ii) a selected number of material rights associated with options to obtain exclusive development, manufacturing, and commercial licenses to targets identified. The Company determined that the options to obtain the exclusive development, manufacturing and commercialization licenses were material rights under ASC 606 because there are minimal amounts to be paid to the Company upon exercise of such options.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that the transaction price at the onset of the BMS Agreement is the total non-refundable upfront payment received of $50.0 million. Additional consideration is to be paid to the Company upon the exercise of options to license targets and future milestone payments. The Company utilized the most likely method approach and concluded that these amounts were constrained as they represent option fees and milestone payments that can only be achieved subsequent to option exercises. As such, the Company excluded this additional consideration from the transaction price.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allocated the transaction price of $50.0 million to each performance obligation based on the relative stand-alone selling price of each performance obligation at inception, which was determined based on each performance obligation’s estimated stand-alone selling price. The Company has determined the estimated stand-alone selling price at contract inception of the research activities based on internal estimates of the costs to perform the services, inclusive of a reasonable profit margin. Significant inputs used to determine the total costs to perform the research activities included the length of time required, the internal hours expected to be incurred on the services and the number and costs of various studies that will be performed to complete the research plan. The Company determined the estimated stand-alone selling price at contract inception of the material rights associated with options to obtain exclusive licenses to druggable targets and undruggable targets based on the fees Bristol-Myers Squibb would pay to exercise these options, the probability-weighted value of expected future cash flows associated with each license related to each target and the probability that these options would be exercised by Bristol-Myers Squibb.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 Based on the relative stand-alone selling price, the allocation of the transaction price to the separate performance obligations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6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Transaction price</w:t>
            </w:r>
          </w:p>
        </w:tc>
      </w:tr>
      <w:tr>
        <w:trPr>
          <w:trHeight w:val="169"/>
        </w:trPr>
        <w:tc>
          <w:tcPr>
            <w:tcW w:w="91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9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shd w:val="clear" w:color="auto" w:fill="CFF0FC"/>
          </w:tcPr>
          <w:p>
            <w:pPr>
              <w:spacing w:after="0"/>
              <w:rPr>
                <w:sz w:val="21"/>
                <w:szCs w:val="21"/>
                <w:color w:val="auto"/>
              </w:rPr>
            </w:pPr>
          </w:p>
        </w:tc>
      </w:tr>
      <w:tr>
        <w:trPr>
          <w:trHeight w:val="239"/>
        </w:trPr>
        <w:tc>
          <w:tcPr>
            <w:tcW w:w="9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to license druggable targets</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31,148</w:t>
            </w:r>
          </w:p>
        </w:tc>
        <w:tc>
          <w:tcPr>
            <w:tcW w:w="100" w:type="dxa"/>
            <w:vAlign w:val="bottom"/>
          </w:tcPr>
          <w:p>
            <w:pPr>
              <w:spacing w:after="0"/>
              <w:rPr>
                <w:sz w:val="20"/>
                <w:szCs w:val="20"/>
                <w:color w:val="auto"/>
              </w:rPr>
            </w:pPr>
          </w:p>
        </w:tc>
      </w:tr>
      <w:tr>
        <w:trPr>
          <w:trHeight w:val="247"/>
        </w:trPr>
        <w:tc>
          <w:tcPr>
            <w:tcW w:w="9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Options to license undruggable targets</w:t>
            </w:r>
          </w:p>
        </w:tc>
        <w:tc>
          <w:tcPr>
            <w:tcW w:w="26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transaction price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associated with the options has been deferred and will be recognized at the point in time when options to license are exercised by Bristol-Myers Squibb or upon expiry of such options. Revenue associated with the research activities has been deferred and will be recognized on a proportional performance basis over the period of service for research activities, being the collaboration term, using input-based measurements of total costs of research incurred to estimated proportion performed. Progress towards completion is remeasured at the end of each reporting period.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BMS Agreement</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Increase in collaboration revenue receivable</w:t>
      </w:r>
    </w:p>
    <w:p>
      <w:pPr>
        <w:spacing w:after="0" w:line="36" w:lineRule="exact"/>
        <w:rPr>
          <w:sz w:val="20"/>
          <w:szCs w:val="20"/>
          <w:color w:val="auto"/>
        </w:rPr>
      </w:pPr>
    </w:p>
    <w:p>
      <w:pPr>
        <w:ind w:left="340" w:right="1320" w:hanging="134"/>
        <w:spacing w:after="0" w:line="282" w:lineRule="auto"/>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Classified as short-term</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 to license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to license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activities</w:t>
            </w:r>
          </w:p>
        </w:tc>
        <w:tc>
          <w:tcPr>
            <w:tcW w:w="12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undruggable</w:t>
            </w:r>
          </w:p>
        </w:tc>
        <w:tc>
          <w:tcPr>
            <w:tcW w:w="28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druggable targets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targets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4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(2,448 )</w:t>
            </w:r>
          </w:p>
        </w:tc>
        <w:tc>
          <w:tcPr>
            <w:tcW w:w="3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(13,709 )</w:t>
            </w:r>
          </w:p>
        </w:tc>
        <w:tc>
          <w:tcPr>
            <w:tcW w:w="1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(9,958 )</w:t>
            </w:r>
          </w:p>
        </w:tc>
        <w:tc>
          <w:tcPr>
            <w:tcW w:w="2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(26,115 )</w:t>
            </w:r>
          </w:p>
        </w:tc>
        <w:tc>
          <w:tcPr>
            <w:tcW w:w="0" w:type="dxa"/>
            <w:vAlign w:val="bottom"/>
          </w:tcPr>
          <w:p>
            <w:pPr>
              <w:spacing w:after="0"/>
              <w:rPr>
                <w:sz w:val="1"/>
                <w:szCs w:val="1"/>
                <w:color w:val="auto"/>
              </w:rPr>
            </w:pPr>
          </w:p>
        </w:tc>
      </w:tr>
      <w:tr>
        <w:trPr>
          <w:trHeight w:val="239"/>
        </w:trPr>
        <w:tc>
          <w:tcPr>
            <w:tcW w:w="4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-774065</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-328295</wp:posOffset>
            </wp:positionV>
            <wp:extent cx="7132320" cy="1803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220"/>
          </w:cols>
          <w:pgMar w:left="320" w:top="1440" w:right="339" w:bottom="1440" w:gutter="0" w:footer="0" w:header="0"/>
          <w:type w:val="continuous"/>
        </w:sectPr>
      </w:pPr>
    </w:p>
    <w:p>
      <w:pPr>
        <w:spacing w:after="0" w:line="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$2.4 million and $2.7 million as revenue for the years ended December 31, 2023 and 2022, respectively, in recognition of deferred revenue for research activities performed under the BMS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2023, Bristol-Myers Squibb exercised its option for a druggable target and also waived its rights to exercise an option for another druggable target. As a result, the Company recognized $12.7 million as revenue related to druggable targets for the year ended December 31, 2023, including the option fee payment of $0.25 million. In fiscal 2022, Bristol-Myers Squibb waived its rights to exercise options for druggable targets directed at two separate lesions. As a result, the Company recognized $12.5 million as revenue related to druggable targets for the year ended December 31,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2023, Bristol-Myers Squibb also triggered a $1.0 million further development election for a previously exercised druggable target. As such, the Company recognized $1.0 million for this specified research milestone as revenue for the year ended December 31, 2023 (2022 - nil).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0" w:name="page171"/>
    <w:bookmarkEnd w:id="170"/>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the discovery portion of the BMS Agreement in November 2023. With the completion of its performance obligations under the BMS Agreement in the fourth quarter of 2023, the Company recognized $10.0 million as revenue for the year ended December 31, 2023 related to options to license undruggable targets (2022 - nil) as these options expired upon completion of the discovery portion of the BMS Agreement. As of December 31, 2023, Bristol Myers Squibb retains its right to exercise one option to an undruggable target which will expire in March 2024 if unexercised by then.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$2.5 million (December 31, 2022 - $27.4 million) of deferred revenue related to the BMS Agreement, of which $2.5 million (December 31, 2022 - $27.4 million) was classified as current on the consolidated balance sheet based on the period the services are expected to be performed and the expected timing of potential option exercises.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Ono</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2019, the Company entered into a research services, license and collaboration agreement (the “Ono Agreement”) with Ono Pharmaceutical Company, Ltd. (“Ono”), pursuant to which the Company and Ono agreed to collaborate in the research of potential product candidates targeting Polθ and the development of the Company’s small molecule Polθ ATPase inhibitor program. The Company was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elected to collaborate on the subsequent development and commercialization of the proposed product candidate, Ono would then have been responsible for such activities in Japan, South Korea, Taiwan, Hong-Kong, Macau and the Association of Southeast Asian Nations (collectively, the “Ono territory”), and the Company would have been responsible for all such activities in the rest of the world outside the Ono territory, including the United States, Canada and European Union. In such instance, Ono would have been responsible for a specified percentage of research and developments costs for the IND-enabling studies of the selected product candidate.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the Company and Ono entered into an amendment to the Ono Agreement whereby the research term, as defined in the Ono Agreement, was extended by one year. In January 2023, the Company and Ono entered into a second amendment to the Ono Agreement whereby the Research Term, as defined in the Ono Agreement, was extended until July 31, 2023.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terms of the Ono Agreement, the Company received non-refundable upfront payments of ¥900 million ($8.1 million), consisting of an initial upfront fee payment of ¥110 million ($1.0 million) and an initial upfront research service payment of ¥790 million ($7.1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assessed the arrangement in accordance with ASC 606 and concluded that Ono is a customer based on the arrangement structure. The Company identified a single performance obligation under the arrangement consisting of the combination of the license to develop and commercialize a selected product candidate targeting Polθ and associated research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license and research services are not distinct within the context of the contract, and the license is the predominant good or service. Accordingly, revenue is recognized in accordance with guidance for licenses, and because the license represents functional IP, it is recognized at the point in time control of the license is transferred.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the transaction price at the onset of the arrangement is the total upfront payments received in the aggregate amount of $8.1 million which was recorded as deferred revenue. The future milestone payments represent variable consideration that is fully constrained at inception of the arrangement as the achievement of the milestone events are highly uncertain. In October 2021 and December 2022, the Company achieved specified research triggers amounting to ¥100 million ($0.9 million) and ¥200 million ($1.5 million), respectively, as research service payments provided for in the Ono Agreement. The ¥200 million ($1.5 million) is included in the collaboration revenue receivable at December 31, 2022 and was subsequently received in January 2023. These amounts have been added to the transaction price as the consideration was no longer constrained.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 pertaining to the Ono Agreement</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Research activities</w:t>
            </w:r>
          </w:p>
        </w:tc>
        <w:tc>
          <w:tcPr>
            <w:tcW w:w="100" w:type="dxa"/>
            <w:vAlign w:val="bottom"/>
          </w:tcPr>
          <w:p>
            <w:pPr>
              <w:spacing w:after="0"/>
              <w:rPr>
                <w:sz w:val="16"/>
                <w:szCs w:val="16"/>
                <w:color w:val="auto"/>
              </w:rPr>
            </w:pPr>
          </w:p>
        </w:tc>
      </w:tr>
      <w:tr>
        <w:trPr>
          <w:trHeight w:val="264"/>
        </w:trPr>
        <w:tc>
          <w:tcPr>
            <w:tcW w:w="9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as revenue, as the result of performance obligations satisfied</w:t>
            </w:r>
          </w:p>
        </w:tc>
        <w:tc>
          <w:tcPr>
            <w:tcW w:w="24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(10,473 )</w:t>
            </w: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June 2023, the Company and Ono determined not to further extend the Term of the Ono Agreement. As a result, no product candidate will be licensed to Ono pursuant to the terms of agreement. The Company recognized $10.5 million as revenue for the year ended December 31, 2023, respectively (nil for the year ended December 31, 2022) with regards to the performance obligation under the Ono Agreement. In July 2023, Ono provided the Company with a formal notice to terminate the Ono Agreement without cause as defined in the Ono Agreement. As a result of this termination, all rights to the Polθ program have reverted to the Company.</w:t>
      </w:r>
    </w:p>
    <w:p>
      <w:pPr>
        <w:sectPr>
          <w:pgSz w:w="11900" w:h="16838" w:orient="portrait"/>
          <w:cols w:equalWidth="0" w:num="1">
            <w:col w:w="11300"/>
          </w:cols>
          <w:pgMar w:left="320" w:top="1440" w:right="27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the provision for income taxes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9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income tax provision -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benefit -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164"/>
        </w:trPr>
        <w:tc>
          <w:tcPr>
            <w:tcW w:w="380" w:type="dxa"/>
            <w:vAlign w:val="bottom"/>
          </w:tcPr>
          <w:p>
            <w:pPr>
              <w:spacing w:after="0"/>
              <w:rPr>
                <w:sz w:val="14"/>
                <w:szCs w:val="14"/>
                <w:color w:val="auto"/>
              </w:rPr>
            </w:pPr>
          </w:p>
        </w:tc>
        <w:tc>
          <w:tcPr>
            <w:tcW w:w="12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(108,362 )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(17,550 )</w:t>
            </w:r>
          </w:p>
        </w:tc>
      </w:tr>
      <w:tr>
        <w:trPr>
          <w:trHeight w:val="250"/>
        </w:trPr>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60" w:type="dxa"/>
            <w:vAlign w:val="bottom"/>
          </w:tcPr>
          <w:p>
            <w:pPr>
              <w:spacing w:after="0"/>
              <w:rPr>
                <w:sz w:val="21"/>
                <w:szCs w:val="21"/>
                <w:color w:val="auto"/>
              </w:rPr>
            </w:pPr>
          </w:p>
        </w:tc>
      </w:tr>
      <w:tr>
        <w:trPr>
          <w:trHeight w:val="239"/>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08"/>
        </w:trPr>
        <w:tc>
          <w:tcPr>
            <w:tcW w:w="380" w:type="dxa"/>
            <w:vAlign w:val="bottom"/>
          </w:tcPr>
          <w:p>
            <w:pPr>
              <w:spacing w:after="0"/>
              <w:rPr>
                <w:sz w:val="24"/>
                <w:szCs w:val="24"/>
                <w:color w:val="auto"/>
              </w:rPr>
            </w:pPr>
          </w:p>
        </w:tc>
        <w:tc>
          <w:tcPr>
            <w:tcW w:w="3100" w:type="dxa"/>
            <w:vAlign w:val="bottom"/>
            <w:gridSpan w:val="5"/>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164"/>
        </w:trPr>
        <w:tc>
          <w:tcPr>
            <w:tcW w:w="380" w:type="dxa"/>
            <w:vAlign w:val="bottom"/>
          </w:tcPr>
          <w:p>
            <w:pPr>
              <w:spacing w:after="0"/>
              <w:rPr>
                <w:sz w:val="14"/>
                <w:szCs w:val="14"/>
                <w:color w:val="auto"/>
              </w:rPr>
            </w:pPr>
          </w:p>
        </w:tc>
        <w:tc>
          <w:tcPr>
            <w:tcW w:w="12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(9,383 )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60" w:type="dxa"/>
            <w:vAlign w:val="bottom"/>
          </w:tcPr>
          <w:p>
            <w:pPr>
              <w:spacing w:after="0"/>
              <w:rPr>
                <w:sz w:val="20"/>
                <w:szCs w:val="20"/>
                <w:color w:val="auto"/>
              </w:rPr>
            </w:pPr>
          </w:p>
        </w:tc>
      </w:tr>
      <w:tr>
        <w:trPr>
          <w:trHeight w:val="250"/>
        </w:trPr>
        <w:tc>
          <w:tcPr>
            <w:tcW w:w="380" w:type="dxa"/>
            <w:vAlign w:val="bottom"/>
          </w:tcPr>
          <w:p>
            <w:pPr>
              <w:spacing w:after="0"/>
              <w:rPr>
                <w:sz w:val="21"/>
                <w:szCs w:val="21"/>
                <w:color w:val="auto"/>
              </w:rPr>
            </w:pPr>
          </w:p>
        </w:tc>
        <w:tc>
          <w:tcPr>
            <w:tcW w:w="148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60" w:type="dxa"/>
            <w:vAlign w:val="bottom"/>
          </w:tcPr>
          <w:p>
            <w:pPr>
              <w:spacing w:after="0"/>
              <w:rPr>
                <w:sz w:val="21"/>
                <w:szCs w:val="21"/>
                <w:color w:val="auto"/>
              </w:rPr>
            </w:pPr>
          </w:p>
        </w:tc>
      </w:tr>
      <w:tr>
        <w:trPr>
          <w:trHeight w:val="239"/>
        </w:trPr>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60" w:type="dxa"/>
            <w:vAlign w:val="bottom"/>
          </w:tcPr>
          <w:p>
            <w:pPr>
              <w:spacing w:after="0"/>
              <w:rPr>
                <w:sz w:val="20"/>
                <w:szCs w:val="20"/>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00" w:space="720"/>
            <w:col w:w="3580"/>
          </w:cols>
          <w:pgMar w:left="320" w:top="1440"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 reconciliation between tax expense and the product of accounting income multiplied by the statutory income tax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(103,179 )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(13,900 )</w:t>
            </w:r>
          </w:p>
        </w:tc>
        <w:tc>
          <w:tcPr>
            <w:tcW w:w="60" w:type="dxa"/>
            <w:vAlign w:val="bottom"/>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at statutory rate</w:t>
            </w:r>
          </w:p>
        </w:tc>
        <w:tc>
          <w:tcPr>
            <w:tcW w:w="380" w:type="dxa"/>
            <w:vAlign w:val="bottom"/>
          </w:tcPr>
          <w:p>
            <w:pPr>
              <w:spacing w:after="0"/>
              <w:rPr>
                <w:sz w:val="20"/>
                <w:szCs w:val="20"/>
                <w:color w:val="auto"/>
              </w:rPr>
            </w:pPr>
          </w:p>
        </w:tc>
        <w:tc>
          <w:tcPr>
            <w:tcW w:w="14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26.5 %</w:t>
            </w:r>
          </w:p>
        </w:tc>
        <w:tc>
          <w:tcPr>
            <w:tcW w:w="4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Computed income tax recovery</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(27,342 )</w:t>
            </w:r>
          </w:p>
        </w:tc>
        <w:tc>
          <w:tcPr>
            <w:tcW w:w="4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(3,684 )</w:t>
            </w:r>
          </w:p>
        </w:tc>
        <w:tc>
          <w:tcPr>
            <w:tcW w:w="60" w:type="dxa"/>
            <w:vAlign w:val="bottom"/>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on income tax resulting from:</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investment tax credit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(6,648 )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(4,899 )</w:t>
            </w:r>
          </w:p>
        </w:tc>
        <w:tc>
          <w:tcPr>
            <w:tcW w:w="60" w:type="dxa"/>
            <w:vAlign w:val="bottom"/>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Accounting charges not deductible for tax purposes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Capital gain income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(13,956 )</w:t>
            </w:r>
          </w:p>
        </w:tc>
        <w:tc>
          <w:tcPr>
            <w:tcW w:w="60" w:type="dxa"/>
            <w:vAlign w:val="bottom"/>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State taxes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(777 )</w:t>
            </w:r>
          </w:p>
        </w:tc>
        <w:tc>
          <w:tcPr>
            <w:tcW w:w="60" w:type="dxa"/>
            <w:vAlign w:val="bottom"/>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6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(9,383 )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applicable statutory tax rate is the Canadian combined rate applicable in the jurisdictions in which the Company operates.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type w:val="continuous"/>
        </w:sectPr>
      </w:pPr>
    </w:p>
    <w:bookmarkStart w:id="172" w:name="page173"/>
    <w:bookmarkEnd w:id="17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receivable in the amount of $13.1 million as of December 31, 2023 reflects the overpayment of tax installments by the Company’s U.S. subsidiary, which resulted from its compliance with the requirement to capitalize and amortize certain specified research and experimental expenditures subject to Section 174 of the Internal Revenue Code of 1986, as amended (“IRC”) (as per the Tax Cuts and Jobs Act of 2017), prior to the issuance of interim guidance on September 8, 2023 by the Department of Treasury and the Internal Revenue Service on IRC Section 174 that supports the deduction of certain expenses that would otherwise be treated as specified research and experimental expenditures. The current portion of the income tax receivable is approximately $10.8 million, which primarily consists of an overpayment of tax installments by the Company’s U.S. subsidiary for the 2022 fiscal year, and the long-term portion is approximately $2.3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tax losses of approximately $263.8 million, which are available to offset future taxable income in Canada. The Company has not recognized the tax benefit of these losses. These losses expire as follows: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9260" w:type="dxa"/>
            <w:vAlign w:val="bottom"/>
            <w:shd w:val="clear" w:color="auto" w:fill="CFF0FC"/>
          </w:tcPr>
          <w:p>
            <w:pPr>
              <w:jc w:val="right"/>
              <w:ind w:right="8790"/>
              <w:spacing w:after="0"/>
              <w:rPr>
                <w:sz w:val="20"/>
                <w:szCs w:val="20"/>
                <w:color w:val="auto"/>
              </w:rPr>
            </w:pPr>
            <w:r>
              <w:rPr>
                <w:rFonts w:ascii="Times New Roman" w:cs="Times New Roman" w:eastAsia="Times New Roman" w:hAnsi="Times New Roman"/>
                <w:sz w:val="18"/>
                <w:szCs w:val="18"/>
                <w:color w:val="auto"/>
                <w:w w:val="99"/>
              </w:rPr>
              <w:t>2043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115,959</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jc w:val="right"/>
              <w:ind w:right="8790"/>
              <w:spacing w:after="0"/>
              <w:rPr>
                <w:sz w:val="20"/>
                <w:szCs w:val="20"/>
                <w:color w:val="auto"/>
              </w:rPr>
            </w:pPr>
            <w:r>
              <w:rPr>
                <w:rFonts w:ascii="Times New Roman" w:cs="Times New Roman" w:eastAsia="Times New Roman" w:hAnsi="Times New Roman"/>
                <w:sz w:val="18"/>
                <w:szCs w:val="18"/>
                <w:color w:val="auto"/>
                <w:w w:val="99"/>
              </w:rPr>
              <w:t>2042</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jc w:val="right"/>
              <w:ind w:right="8790"/>
              <w:spacing w:after="0"/>
              <w:rPr>
                <w:sz w:val="20"/>
                <w:szCs w:val="20"/>
                <w:color w:val="auto"/>
              </w:rPr>
            </w:pPr>
            <w:r>
              <w:rPr>
                <w:rFonts w:ascii="Times New Roman" w:cs="Times New Roman" w:eastAsia="Times New Roman" w:hAnsi="Times New Roman"/>
                <w:sz w:val="18"/>
                <w:szCs w:val="18"/>
                <w:color w:val="auto"/>
                <w:w w:val="99"/>
              </w:rPr>
              <w:t>2041</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93,833</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jc w:val="right"/>
              <w:ind w:right="8790"/>
              <w:spacing w:after="0"/>
              <w:rPr>
                <w:sz w:val="20"/>
                <w:szCs w:val="20"/>
                <w:color w:val="auto"/>
              </w:rPr>
            </w:pPr>
            <w:r>
              <w:rPr>
                <w:rFonts w:ascii="Times New Roman" w:cs="Times New Roman" w:eastAsia="Times New Roman" w:hAnsi="Times New Roman"/>
                <w:sz w:val="18"/>
                <w:szCs w:val="18"/>
                <w:color w:val="auto"/>
                <w:w w:val="99"/>
              </w:rPr>
              <w:t>2040</w:t>
            </w:r>
          </w:p>
        </w:tc>
        <w:tc>
          <w:tcPr>
            <w:tcW w:w="3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9260" w:type="dxa"/>
            <w:vAlign w:val="bottom"/>
            <w:shd w:val="clear" w:color="auto" w:fill="CFF0FC"/>
          </w:tcPr>
          <w:p>
            <w:pPr>
              <w:jc w:val="right"/>
              <w:ind w:right="8790"/>
              <w:spacing w:after="0"/>
              <w:rPr>
                <w:sz w:val="20"/>
                <w:szCs w:val="20"/>
                <w:color w:val="auto"/>
              </w:rPr>
            </w:pPr>
            <w:r>
              <w:rPr>
                <w:rFonts w:ascii="Times New Roman" w:cs="Times New Roman" w:eastAsia="Times New Roman" w:hAnsi="Times New Roman"/>
                <w:sz w:val="18"/>
                <w:szCs w:val="18"/>
                <w:color w:val="auto"/>
                <w:w w:val="99"/>
              </w:rPr>
              <w:t>2039</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jc w:val="right"/>
              <w:ind w:right="8790"/>
              <w:spacing w:after="0"/>
              <w:rPr>
                <w:sz w:val="20"/>
                <w:szCs w:val="20"/>
                <w:color w:val="auto"/>
              </w:rPr>
            </w:pPr>
            <w:r>
              <w:rPr>
                <w:rFonts w:ascii="Times New Roman" w:cs="Times New Roman" w:eastAsia="Times New Roman" w:hAnsi="Times New Roman"/>
                <w:sz w:val="18"/>
                <w:szCs w:val="18"/>
                <w:color w:val="auto"/>
                <w:w w:val="99"/>
              </w:rPr>
              <w:t>2038</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jc w:val="right"/>
              <w:ind w:right="8790"/>
              <w:spacing w:after="0"/>
              <w:rPr>
                <w:sz w:val="20"/>
                <w:szCs w:val="20"/>
                <w:color w:val="auto"/>
              </w:rPr>
            </w:pPr>
            <w:r>
              <w:rPr>
                <w:rFonts w:ascii="Times New Roman" w:cs="Times New Roman" w:eastAsia="Times New Roman" w:hAnsi="Times New Roman"/>
                <w:sz w:val="18"/>
                <w:szCs w:val="18"/>
                <w:color w:val="auto"/>
                <w:w w:val="99"/>
              </w:rPr>
              <w:t>2037</w:t>
            </w: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60" w:type="dxa"/>
            <w:vAlign w:val="bottom"/>
          </w:tcPr>
          <w:p>
            <w:pPr>
              <w:jc w:val="right"/>
              <w:ind w:right="861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263,751</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Scientific Research and Experimental Development (“SR&amp;ED”) expenditures of approximately $70.7 million for Canadian federal and Québec purposes, which have not been deducted. These expenditures are available to reduce future taxable income and have an unlimited carryforward period. SR&amp;ED expenditures are subject to verification by the tax authorities and, accordingly, the amounts may vary.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non-refundable Canadian federal investment tax credits of approximately $11.7 million, which may be utilized to reduce Canadian federal income taxes payable. The Company has not recognized the tax benefits related to the non-refundable investment tax credits. The investment tax credits expire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3020" w:type="dxa"/>
            <w:vAlign w:val="bottom"/>
            <w:shd w:val="clear" w:color="auto" w:fill="CFF0FC"/>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2043</w:t>
            </w:r>
          </w:p>
        </w:tc>
        <w:tc>
          <w:tcPr>
            <w:tcW w:w="6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FF0FC"/>
          </w:tcPr>
          <w:p>
            <w:pPr>
              <w:spacing w:after="0"/>
              <w:rPr>
                <w:sz w:val="21"/>
                <w:szCs w:val="21"/>
                <w:color w:val="auto"/>
              </w:rPr>
            </w:pPr>
          </w:p>
        </w:tc>
      </w:tr>
      <w:tr>
        <w:trPr>
          <w:trHeight w:val="239"/>
        </w:trPr>
        <w:tc>
          <w:tcPr>
            <w:tcW w:w="302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2042</w:t>
            </w:r>
          </w:p>
        </w:tc>
        <w:tc>
          <w:tcPr>
            <w:tcW w:w="6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20"/>
                <w:szCs w:val="20"/>
                <w:color w:val="auto"/>
              </w:rPr>
            </w:pPr>
          </w:p>
        </w:tc>
      </w:tr>
      <w:tr>
        <w:trPr>
          <w:trHeight w:val="247"/>
        </w:trPr>
        <w:tc>
          <w:tcPr>
            <w:tcW w:w="3020" w:type="dxa"/>
            <w:vAlign w:val="bottom"/>
            <w:shd w:val="clear" w:color="auto" w:fill="CFF0FC"/>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2041</w:t>
            </w:r>
          </w:p>
        </w:tc>
        <w:tc>
          <w:tcPr>
            <w:tcW w:w="6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FF0FC"/>
          </w:tcPr>
          <w:p>
            <w:pPr>
              <w:spacing w:after="0"/>
              <w:rPr>
                <w:sz w:val="21"/>
                <w:szCs w:val="21"/>
                <w:color w:val="auto"/>
              </w:rPr>
            </w:pPr>
          </w:p>
        </w:tc>
      </w:tr>
      <w:tr>
        <w:trPr>
          <w:trHeight w:val="239"/>
        </w:trPr>
        <w:tc>
          <w:tcPr>
            <w:tcW w:w="302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2040</w:t>
            </w:r>
          </w:p>
        </w:tc>
        <w:tc>
          <w:tcPr>
            <w:tcW w:w="6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20"/>
                <w:szCs w:val="20"/>
                <w:color w:val="auto"/>
              </w:rPr>
            </w:pPr>
          </w:p>
        </w:tc>
      </w:tr>
      <w:tr>
        <w:trPr>
          <w:trHeight w:val="247"/>
        </w:trPr>
        <w:tc>
          <w:tcPr>
            <w:tcW w:w="3020" w:type="dxa"/>
            <w:vAlign w:val="bottom"/>
            <w:shd w:val="clear" w:color="auto" w:fill="CFF0FC"/>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2039</w:t>
            </w:r>
          </w:p>
        </w:tc>
        <w:tc>
          <w:tcPr>
            <w:tcW w:w="6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FF0FC"/>
          </w:tcPr>
          <w:p>
            <w:pPr>
              <w:spacing w:after="0"/>
              <w:rPr>
                <w:sz w:val="21"/>
                <w:szCs w:val="21"/>
                <w:color w:val="auto"/>
              </w:rPr>
            </w:pPr>
          </w:p>
        </w:tc>
      </w:tr>
      <w:tr>
        <w:trPr>
          <w:trHeight w:val="239"/>
        </w:trPr>
        <w:tc>
          <w:tcPr>
            <w:tcW w:w="302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2038</w:t>
            </w:r>
          </w:p>
        </w:tc>
        <w:tc>
          <w:tcPr>
            <w:tcW w:w="6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0"/>
                <w:szCs w:val="20"/>
                <w:color w:val="auto"/>
              </w:rPr>
            </w:pPr>
          </w:p>
        </w:tc>
      </w:tr>
      <w:tr>
        <w:trPr>
          <w:trHeight w:val="247"/>
        </w:trPr>
        <w:tc>
          <w:tcPr>
            <w:tcW w:w="3020" w:type="dxa"/>
            <w:vAlign w:val="bottom"/>
            <w:shd w:val="clear" w:color="auto" w:fill="CFF0FC"/>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2037</w:t>
            </w:r>
          </w:p>
        </w:tc>
        <w:tc>
          <w:tcPr>
            <w:tcW w:w="6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21"/>
                <w:szCs w:val="21"/>
                <w:color w:val="auto"/>
              </w:rPr>
            </w:pPr>
          </w:p>
        </w:tc>
      </w:tr>
      <w:tr>
        <w:trPr>
          <w:trHeight w:val="239"/>
        </w:trPr>
        <w:tc>
          <w:tcPr>
            <w:tcW w:w="302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w w:val="99"/>
              </w:rPr>
              <w:t>2036</w:t>
            </w:r>
          </w:p>
        </w:tc>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77"/>
        </w:trPr>
        <w:tc>
          <w:tcPr>
            <w:tcW w:w="3020" w:type="dxa"/>
            <w:vAlign w:val="bottom"/>
            <w:shd w:val="clear" w:color="auto" w:fill="CFF0FC"/>
          </w:tcPr>
          <w:p>
            <w:pPr>
              <w:jc w:val="right"/>
              <w:ind w:right="2370"/>
              <w:spacing w:after="0"/>
              <w:rPr>
                <w:sz w:val="20"/>
                <w:szCs w:val="20"/>
                <w:color w:val="auto"/>
              </w:rPr>
            </w:pPr>
            <w:r>
              <w:rPr>
                <w:rFonts w:ascii="Times New Roman" w:cs="Times New Roman" w:eastAsia="Times New Roman" w:hAnsi="Times New Roman"/>
                <w:sz w:val="18"/>
                <w:szCs w:val="18"/>
                <w:color w:val="auto"/>
              </w:rPr>
              <w:t>Total</w:t>
            </w:r>
          </w:p>
        </w:tc>
        <w:tc>
          <w:tcPr>
            <w:tcW w:w="6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100" w:type="dxa"/>
            <w:vAlign w:val="bottom"/>
            <w:shd w:val="clear" w:color="auto" w:fill="CFF0FC"/>
          </w:tcPr>
          <w:p>
            <w:pPr>
              <w:spacing w:after="0"/>
              <w:rPr>
                <w:sz w:val="24"/>
                <w:szCs w:val="24"/>
                <w:color w:val="auto"/>
              </w:rPr>
            </w:pPr>
          </w:p>
        </w:tc>
      </w:tr>
      <w:tr>
        <w:trPr>
          <w:trHeight w:val="849"/>
        </w:trPr>
        <w:tc>
          <w:tcPr>
            <w:tcW w:w="3020" w:type="dxa"/>
            <w:vAlign w:val="bottom"/>
            <w:tcBorders>
              <w:top w:val="single" w:sz="8" w:color="CFF0FC"/>
            </w:tcBorders>
          </w:tcPr>
          <w:p>
            <w:pPr>
              <w:spacing w:after="0"/>
              <w:rPr>
                <w:sz w:val="24"/>
                <w:szCs w:val="24"/>
                <w:color w:val="auto"/>
              </w:rPr>
            </w:pPr>
          </w:p>
        </w:tc>
        <w:tc>
          <w:tcPr>
            <w:tcW w:w="6240" w:type="dxa"/>
            <w:vAlign w:val="bottom"/>
            <w:tcBorders>
              <w:top w:val="single" w:sz="8" w:color="CFF0FC"/>
            </w:tcBorders>
          </w:tcPr>
          <w:p>
            <w:pPr>
              <w:jc w:val="right"/>
              <w:ind w:right="3410"/>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0"/>
        </w:trPr>
        <w:tc>
          <w:tcPr>
            <w:tcW w:w="302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deferred tax assets as of December 31, 2023 and 2022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research and development expenditures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federal investment tax credits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research and development tax credits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basis of property and equipment in excess of carrying values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(883 )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(1,429 )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 and other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costs capitalized</w:t>
            </w:r>
          </w:p>
        </w:tc>
        <w:tc>
          <w:tcPr>
            <w:tcW w:w="380" w:type="dxa"/>
            <w:vAlign w:val="bottom"/>
          </w:tcPr>
          <w:p>
            <w:pPr>
              <w:spacing w:after="0"/>
              <w:rPr>
                <w:sz w:val="20"/>
                <w:szCs w:val="20"/>
                <w:color w:val="auto"/>
              </w:rPr>
            </w:pPr>
          </w:p>
        </w:tc>
        <w:tc>
          <w:tcPr>
            <w:tcW w:w="14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111,553</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20"/>
                <w:szCs w:val="20"/>
                <w:color w:val="auto"/>
              </w:rPr>
            </w:pP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(111,553 )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(97,040 )</w:t>
            </w: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bearing upon the realizability of its deferred tax assets and has determined that it is more likely than not that the Company will not recognize the benefit of its net deferred tax assets, and as a result, a valuation allowance of $111.6 million and $97.0 million has been established at December 31, 2023 and December 31, 2022,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incurred net operating losses in Canada since inception and the Company’s U.S. subsidiary operated profitably in the United States since its inception. As of December 31, 2023, the Company had U.S. federal and state research and development tax credit carry forwards of $4.6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Canada and in the United States. In the normal course of business, the Company could be subject to examination by federal and provincial or state jurisdictions, where applicable. There are currently no pending tax examinations. The Company may be subject to tax examination for fiscal years 2017 to 2023 due to unexpired statute of limitation periods.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the Company’s tax liabilities involves dealing with uncertainties in the application of complex tax laws and regulations for both federal taxes and the provinces and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 information is available. As of December 31, 2023 and 2022, no uncertain tax positions have been recorded in the consolidated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consolidated statement of operations and comprehensive loss. As of December 31, 2023 and 2022, no accrued interest or penalties are included on the related tax liability line in the consolidated balance sheet.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shareholders of the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(93,796 )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(29,047 )</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number of common shares outstanding—basic and</w:t>
            </w:r>
          </w:p>
        </w:tc>
        <w:tc>
          <w:tcPr>
            <w:tcW w:w="180" w:type="dxa"/>
            <w:vAlign w:val="bottom"/>
          </w:tcPr>
          <w:p>
            <w:pPr>
              <w:spacing w:after="0"/>
              <w:rPr>
                <w:sz w:val="18"/>
                <w:szCs w:val="18"/>
                <w:color w:val="auto"/>
              </w:rPr>
            </w:pPr>
          </w:p>
        </w:tc>
        <w:tc>
          <w:tcPr>
            <w:tcW w:w="150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42,093,293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41,922,042</w:t>
            </w:r>
          </w:p>
        </w:tc>
        <w:tc>
          <w:tcPr>
            <w:tcW w:w="0" w:type="dxa"/>
            <w:vAlign w:val="bottom"/>
          </w:tcPr>
          <w:p>
            <w:pPr>
              <w:spacing w:after="0"/>
              <w:rPr>
                <w:sz w:val="1"/>
                <w:szCs w:val="1"/>
                <w:color w:val="auto"/>
              </w:rPr>
            </w:pPr>
          </w:p>
        </w:tc>
      </w:tr>
      <w:tr>
        <w:trPr>
          <w:trHeight w:val="207"/>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to purchase common shares, restricted share units, and shares issuable under the ESPP,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560" w:type="dxa"/>
            <w:vAlign w:val="bottom"/>
            <w:tcBorders>
              <w:bottom w:val="single" w:sz="8" w:color="auto"/>
            </w:tcBorders>
            <w:gridSpan w:val="3"/>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17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7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10,097,771</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8,032,902</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603,685</w:t>
            </w:r>
          </w:p>
        </w:tc>
        <w:tc>
          <w:tcPr>
            <w:tcW w:w="1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shares issuable under the ESPP</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55,327</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47,216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Government Assistance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research and development expenditures which are eligible for refundable investment tax credits. The refundable investment tax credits recorded are based on management’s estimates of amounts expected to be recovered and are subject to audit by the taxation authorities. These amounts have been recorded as a reduction of research and development expenditures in the amounts of $1.5 million, and $1.4 million for the years ended December 31,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commitments to settle contractual obligations at December 31, 2023, other than leases which are recognized as operating lease liabilities in the consolidated balance sheet.</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40" w:type="dxa"/>
            <w:vAlign w:val="bottom"/>
            <w:tcBorders>
              <w:top w:val="single" w:sz="8" w:color="auto"/>
            </w:tcBorders>
          </w:tcPr>
          <w:p>
            <w:pPr>
              <w:spacing w:after="0"/>
              <w:rPr>
                <w:sz w:val="14"/>
                <w:szCs w:val="14"/>
                <w:color w:val="auto"/>
              </w:rPr>
            </w:pPr>
          </w:p>
        </w:tc>
        <w:tc>
          <w:tcPr>
            <w:tcW w:w="59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FF0FC"/>
          </w:tcPr>
          <w:p>
            <w:pPr>
              <w:spacing w:after="0"/>
              <w:rPr>
                <w:sz w:val="21"/>
                <w:szCs w:val="21"/>
                <w:color w:val="auto"/>
              </w:rPr>
            </w:pPr>
          </w:p>
        </w:tc>
      </w:tr>
      <w:tr>
        <w:trPr>
          <w:trHeight w:val="23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24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r>
      <w:tr>
        <w:trPr>
          <w:trHeight w:val="23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24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r>
      <w:tr>
        <w:trPr>
          <w:trHeight w:val="23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Following years</w:t>
            </w:r>
          </w:p>
        </w:tc>
        <w:tc>
          <w:tcPr>
            <w:tcW w:w="5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r>
      <w:tr>
        <w:trPr>
          <w:trHeight w:val="27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shd w:val="clear" w:color="auto" w:fill="CFF0FC"/>
          </w:tcPr>
          <w:p>
            <w:pPr>
              <w:spacing w:after="0"/>
              <w:rPr>
                <w:sz w:val="24"/>
                <w:szCs w:val="24"/>
                <w:color w:val="auto"/>
              </w:rPr>
            </w:pPr>
          </w:p>
        </w:tc>
      </w:tr>
      <w:tr>
        <w:trPr>
          <w:trHeight w:val="849"/>
        </w:trPr>
        <w:tc>
          <w:tcPr>
            <w:tcW w:w="3340" w:type="dxa"/>
            <w:vAlign w:val="bottom"/>
            <w:tcBorders>
              <w:top w:val="single" w:sz="8" w:color="CFF0FC"/>
            </w:tcBorders>
          </w:tcPr>
          <w:p>
            <w:pPr>
              <w:spacing w:after="0"/>
              <w:rPr>
                <w:sz w:val="24"/>
                <w:szCs w:val="24"/>
                <w:color w:val="auto"/>
              </w:rPr>
            </w:pPr>
          </w:p>
        </w:tc>
        <w:tc>
          <w:tcPr>
            <w:tcW w:w="5920" w:type="dxa"/>
            <w:vAlign w:val="bottom"/>
            <w:tcBorders>
              <w:top w:val="single" w:sz="8" w:color="CFF0FC"/>
            </w:tcBorders>
          </w:tcPr>
          <w:p>
            <w:pPr>
              <w:jc w:val="right"/>
              <w:ind w:right="341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33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Research Agreements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Collaboration and research agreement obligations primarily relate to a strategic collaboration agreement that was entered into with the University of Texas M. D. Anderson Cancer Center (“MDACC”) in March 2020. The collaboration consists of preclinical studies and clinical trials designed by the Company and MDACC with the research to be completed by MDACC. The Company has agreed to commit $10.0 million in funding for various studies over a period of five years, of which $7.7 million was paid as of December 31, 2023.</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with the Broad Institute, Inc. (“Broad”), in July 2022, under which Broad will perform specialty screening services at the Company’s request over the course of a three-year term in exchange for payments of $0.8 million per year, beginning in July 2022, totaling $2.3 million in the aggregate, of which $1.5 million was paid as of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with Contract Research Organizations (“CROs”) and other third parties for preclinical studies and clinical trials, research and development supplies and other testing and manufacturing services. These contracts generally do not contain minimum purchase commitments and provide for termination on 30 to 90 days’ prior written notice, and therefore are cancellable contracts. These payments are not included in the table above as the amount and timing of such payments are not known as of December 31,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further entered into license agreements under which it is obligated to make milestone and royalty payments and incur annual maintenance fees. The future milestone or royalty payments under these agreements have not been included in the table above since the payment obligations are contingent upon future events, such as achieving certain clinical and commercial milestones or generating product sales. As of December 31, 2023, the Company is unable to estimate the timing or likelihood of achieving these clinical and commercial milestones or generating future product sales (see Note 8).</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these consolidated financial statements as at December 31,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Currency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the financial risk related to the fluctuation of foreign exchange rates and the degree of volatility of those rates. The foreign currency risk is limited to the portion of the Company’s business transactions denominated in currency other than U.S. dollars.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incurs a portion of its expenses in Canadian dollars, as well as other currencies to a lesser extent. A change in the currency exchange rates between the U.S. dollars relative to the Canadian dollar could have a significant effect on the Company’s consolidated results of operations, financial position, or cash flows. The Company does not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enter into arrangements to hedge its currency risk exposure, although it maintains expected Canadian dollar cash requirements in Canadian dollars to form a natural hedge.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currency risk through its cash, other current receivables, accounts payable, accrued expenses and other current liabilities, as well as right-of-use lease liabilities denominated in Canadian dollars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7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3,120</w:t>
            </w:r>
          </w:p>
        </w:tc>
        <w:tc>
          <w:tcPr>
            <w:tcW w:w="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1,904</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2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851</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(2,971 )</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(4,392 )</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financial position exposure</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(3,708 )</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(6,056 )</w:t>
            </w: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above net exposure at December 31, 2023, and assuming that all other variables remain constant, a 10% depreciation of the U.S. dollar against the Canadian dollar would result in an increase of $0.3 million in the Company’s net loss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Geographic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property and equipment, net by location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3,469</w:t>
            </w:r>
          </w:p>
        </w:tc>
        <w:tc>
          <w:tcPr>
            <w:tcW w:w="6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2,888</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1,340</w:t>
            </w:r>
          </w:p>
        </w:tc>
      </w:tr>
      <w:tr>
        <w:trPr>
          <w:trHeight w:val="27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4,215</w:t>
            </w:r>
          </w:p>
        </w:tc>
        <w:tc>
          <w:tcPr>
            <w:tcW w:w="6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4,228</w:t>
            </w:r>
          </w:p>
        </w:tc>
      </w:tr>
      <w:tr>
        <w:trPr>
          <w:trHeight w:val="417"/>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Company’s right-of-use assets by location were as follows:</w:t>
            </w:r>
          </w:p>
        </w:tc>
        <w:tc>
          <w:tcPr>
            <w:tcW w:w="10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391"/>
        </w:trPr>
        <w:tc>
          <w:tcPr>
            <w:tcW w:w="77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9"/>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2,376</w:t>
            </w:r>
          </w:p>
        </w:tc>
        <w:tc>
          <w:tcPr>
            <w:tcW w:w="6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3,578</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1,793</w:t>
            </w: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right-of-use assets, net</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3,326</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-1285240</wp:posOffset>
            </wp:positionV>
            <wp:extent cx="1111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-1268095</wp:posOffset>
            </wp:positionV>
            <wp:extent cx="1111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Canadian parent company recognized revenue under its collaboration agreements of $26.1 million (2022 - $15.2 million) with Bristol-Myers Squibb, whose headquarters are located in the United States; $14.5 million (2022 - $116.7 million) with Roche, whose headquarters are located in Switzerland; and $10.5 million (2022 - nil) with Ono, whose headquarters are located in Japan.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Debiopharm collaboration agreement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the Company announced that it had entered into a clinical study and collaboration agreement with Debiopharm, a privately-owned, Swiss-based biopharmaceutical company, with the aim to explore the synergy between lunresertib and Debio 0123, a potential best-in-class, brain-penetrant and highly selective WEE1 inhibitor. The Company and Debiopharm will collaborate on the design of the trial for the development of the combination, with the Company sponsoring the global study as a new arm in its ongoing MYTHIC trial, and will share all costs equally. The Company and Debiopharm will each supply their respective drugs, and each retain all commercial rights to their respective compounds, including as monotherapy or as combination therapies.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Roche Agreement</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2024, the Company received a $40 million milestone payment from Roche that was earned upon dosing of the first patient with camonsertib in Roche’s Phase 2 TAPISTRY trial in January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7, 2024, the Company received written notice from Roche of their election to terminate the Roche Agreement following a review of Roche’s pipeline and evolving external factors. The termination will become effective in May 2024, at which time the Company will regain global development and commercialization rights for camonsertib from Roche.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no evaluation of controls and procedures can provide absolute assurance that all control issues and misstatements due to error or fraud may occur and not be, if any, have been detected.</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 13a-15(e) and Rule 15d-15(e) under the Exchange Act) as of December 31, 2023. Based on the evaluation of our disclosure controls and procedures as of December 31, 2023, our Chief Executive Officer and Chief Financial Officer concluded that, as of such date, our disclosure controls and procedures were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as of December 31, 2023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the results of its assessment, our management believes that our internal control over financial reporting was effective as of December 31, 2023.</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attestation report on the Company’s internal control over financial reporting, which is included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13a-15(f) and 15d-15(f) of the Exchange Act that occurred during the last fiscal quarter of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Shareholders and the Board of Directors of </w:t>
      </w:r>
      <w:r>
        <w:rPr>
          <w:rFonts w:ascii="Times New Roman" w:cs="Times New Roman" w:eastAsia="Times New Roman" w:hAnsi="Times New Roman"/>
          <w:sz w:val="18"/>
          <w:szCs w:val="18"/>
          <w:b w:val="1"/>
          <w:bCs w:val="1"/>
          <w:color w:val="auto"/>
        </w:rPr>
        <w:t>Repare Therapeutics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We have audited </w:t>
      </w:r>
      <w:r>
        <w:rPr>
          <w:rFonts w:ascii="Times New Roman" w:cs="Times New Roman" w:eastAsia="Times New Roman" w:hAnsi="Times New Roman"/>
          <w:sz w:val="18"/>
          <w:szCs w:val="18"/>
          <w:b w:val="1"/>
          <w:bCs w:val="1"/>
          <w:color w:val="auto"/>
        </w:rPr>
        <w:t>Repare Therapeutics Inc.’s</w:t>
      </w:r>
      <w:r>
        <w:rPr>
          <w:rFonts w:ascii="Times New Roman" w:cs="Times New Roman" w:eastAsia="Times New Roman" w:hAnsi="Times New Roman"/>
          <w:sz w:val="18"/>
          <w:szCs w:val="18"/>
          <w:color w:val="auto"/>
        </w:rPr>
        <w:t xml:space="preserve"> internal control over financial reporting as of December 31, 2023, based on criteria established in Internal Control—Integrated Framework issued by the Committee of Sponsoring Organizations of the Treadway Commission (2013 framework)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COSO criteria). In our opinion, Repare Therapeutics Inc. (the Company) maintained, in all material respects, effective internal control over financial reporting as of December 31, 2023, based on the COSO criteria.</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and comprehensive loss, shareholders’ equity and cash flows for each of the two years in the period ended December 31, 2023, and the related notes and our report dated February 28, 2024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81" w:name="page182"/>
    <w:bookmarkEnd w:id="181"/>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Montréal,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82" w:name="page183"/>
    <w:bookmarkEnd w:id="18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our directors and officers (as defined in Rule 16a-1(f) under the Exchange Act) adopted or terminated the contracts, instructions or written plans for the purchase or sale of our securities set forth in the table below.</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400" w:type="dxa"/>
            <w:vAlign w:val="bottom"/>
            <w:tcBorders>
              <w:top w:val="single" w:sz="8" w:color="auto"/>
              <w:left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Type of Trading</w:t>
            </w:r>
          </w:p>
        </w:tc>
        <w:tc>
          <w:tcPr>
            <w:tcW w:w="1220" w:type="dxa"/>
            <w:vAlign w:val="bottom"/>
            <w:tcBorders>
              <w:top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45"/>
        </w:trPr>
        <w:tc>
          <w:tcPr>
            <w:tcW w:w="2400" w:type="dxa"/>
            <w:vAlign w:val="bottom"/>
            <w:tcBorders>
              <w:left w:val="single" w:sz="8" w:color="auto"/>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2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180"/>
        </w:trPr>
        <w:tc>
          <w:tcPr>
            <w:tcW w:w="240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6"/>
                <w:szCs w:val="16"/>
                <w:b w:val="1"/>
                <w:bCs w:val="1"/>
                <w:color w:val="auto"/>
              </w:rPr>
              <w:t>Name and Position</w:t>
            </w:r>
          </w:p>
        </w:tc>
        <w:tc>
          <w:tcPr>
            <w:tcW w:w="11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Action</w:t>
            </w:r>
          </w:p>
        </w:tc>
        <w:tc>
          <w:tcPr>
            <w:tcW w:w="15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Adoption/</w:t>
            </w:r>
          </w:p>
        </w:tc>
        <w:tc>
          <w:tcPr>
            <w:tcW w:w="10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Rule 10b5-</w:t>
            </w:r>
          </w:p>
        </w:tc>
        <w:tc>
          <w:tcPr>
            <w:tcW w:w="11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Non-</w:t>
            </w:r>
          </w:p>
        </w:tc>
        <w:tc>
          <w:tcPr>
            <w:tcW w:w="12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4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Total Common</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r>
      <w:tr>
        <w:trPr>
          <w:trHeight w:val="203"/>
        </w:trPr>
        <w:tc>
          <w:tcPr>
            <w:tcW w:w="24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Rule 10b5-</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to be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3"/>
        </w:trPr>
        <w:tc>
          <w:tcPr>
            <w:tcW w:w="24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to be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320" w:type="dxa"/>
            <w:vAlign w:val="bottom"/>
          </w:tcPr>
          <w:p>
            <w:pPr>
              <w:spacing w:after="0"/>
              <w:rPr>
                <w:sz w:val="17"/>
                <w:szCs w:val="17"/>
                <w:color w:val="auto"/>
              </w:rPr>
            </w:pPr>
          </w:p>
        </w:tc>
      </w:tr>
      <w:tr>
        <w:trPr>
          <w:trHeight w:val="225"/>
        </w:trPr>
        <w:tc>
          <w:tcPr>
            <w:tcW w:w="24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Sold</w:t>
            </w:r>
          </w:p>
        </w:tc>
        <w:tc>
          <w:tcPr>
            <w:tcW w:w="14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02"/>
        </w:trPr>
        <w:tc>
          <w:tcPr>
            <w:tcW w:w="24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Lloyd M. Segal, Chief Executive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22, 2023</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1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103,091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2025</w:t>
            </w:r>
          </w:p>
        </w:tc>
      </w:tr>
      <w:tr>
        <w:trPr>
          <w:trHeight w:val="223"/>
        </w:trPr>
        <w:tc>
          <w:tcPr>
            <w:tcW w:w="2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Officer</w:t>
            </w:r>
          </w:p>
        </w:tc>
        <w:tc>
          <w:tcPr>
            <w:tcW w:w="11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02"/>
        </w:trPr>
        <w:tc>
          <w:tcPr>
            <w:tcW w:w="24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Steve Forte, Chief Financial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22, 2023</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1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134,089</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2025</w:t>
            </w:r>
          </w:p>
        </w:tc>
      </w:tr>
      <w:tr>
        <w:trPr>
          <w:trHeight w:val="223"/>
        </w:trPr>
        <w:tc>
          <w:tcPr>
            <w:tcW w:w="2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Officer</w:t>
            </w:r>
          </w:p>
        </w:tc>
        <w:tc>
          <w:tcPr>
            <w:tcW w:w="11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02"/>
        </w:trPr>
        <w:tc>
          <w:tcPr>
            <w:tcW w:w="24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Maria Koehler, Chief Medical</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22, 2023</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1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143,064</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2025</w:t>
            </w:r>
          </w:p>
        </w:tc>
      </w:tr>
      <w:tr>
        <w:trPr>
          <w:trHeight w:val="223"/>
        </w:trPr>
        <w:tc>
          <w:tcPr>
            <w:tcW w:w="2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Officer</w:t>
            </w:r>
          </w:p>
        </w:tc>
        <w:tc>
          <w:tcPr>
            <w:tcW w:w="11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02"/>
        </w:trPr>
        <w:tc>
          <w:tcPr>
            <w:tcW w:w="24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Michael Zinda, Chief Scientific</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22, 2023</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1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91,719</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22, 2025</w:t>
            </w:r>
          </w:p>
        </w:tc>
      </w:tr>
      <w:tr>
        <w:trPr>
          <w:trHeight w:val="223"/>
        </w:trPr>
        <w:tc>
          <w:tcPr>
            <w:tcW w:w="2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Officer</w:t>
            </w:r>
          </w:p>
        </w:tc>
        <w:tc>
          <w:tcPr>
            <w:tcW w:w="11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22028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 Contract, instruction or written plan intended to satisfy the affirmative defense conditions of Rule 10b5-1(c) under the Exchange Act.</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“Non-Rule 10b5-1 trading arrangement” as defined in Item 408(c) of Regulation S-K under the Exchange Act.</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information set forth in the sections titled “Information about Our Board of Directors” and “Information about Our Executive Officers”, “Corporate Governance, “Delinquent Section 16(a) Reports”, and “Corporate Governance – Committees of the Board of Directors” in our definitive proxy statement to be filed with the SEC on Schedule 14A in connection with our 2024 Annual Meeting of Shareholders, or the Proxy Statement, which is expected to be filed no later than 120 days after December 31, 2023.</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the Repare Therapeutics Inc. Code of Business Conduct and Ethics that applies to all officers, directors and employees. This includes our principal executive officer, principal financial officer and principal accounting officer or controller or persons performing similar functions. The nominating and corporate governance committee is responsible for overseeing the Code of Business Conduct and Ethics and must approve any waivers of the Code of Ethics for our employees, executive officers and directors. The Code of Business Conduct and Ethics is available on our website at ir.reparerx.com. If we make any substantive amendments to the Code of Business Conduct and Ethics or grant any waiver from a provision of the Code of Business Conduct and Ethics to the principal executive officer, principal financial officer and principal accounting officer or controller or persons performing similar functions, we will promptly disclose the nature of the amendment or waiver on our website. Information contained on, or that can be accessed through, our website is not incorporated by reference into this Annual Report on Form 10-K, and you should not consider information on our website to be part of this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the items is incorporated by reference to the information set forth in the sections titled “Executive Compensation” and “Director Compensation”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information set forth in the sections titled “Securities Authorized for Issuance Under Equity Compensation Plans” and “Security Ownership of Certain Beneficial Owners and Management”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information set forth in the sections titled “Information Regarding the Board of Directors and Corporate Governance – Independence of the Board of Directors” and “Transactions with Related Persons”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information set forth in the section titled “Independent Registered Public Accounting Firm Fees and Services” in the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17" w:lineRule="exact"/>
        <w:rPr>
          <w:rFonts w:ascii="Times New Roman" w:cs="Times New Roman" w:eastAsia="Times New Roman" w:hAnsi="Times New Roman"/>
          <w:sz w:val="18"/>
          <w:szCs w:val="18"/>
          <w:color w:val="auto"/>
        </w:rPr>
      </w:pPr>
    </w:p>
    <w:p>
      <w:pPr>
        <w:ind w:lef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 information required to be set forth therein is not applicable or is shown in the financial statements or notes herein.</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listed in the following Exhibit Index of this Annual Report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00" w:type="dxa"/>
            <w:vAlign w:val="bottom"/>
            <w:gridSpan w:val="2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1"/>
                <w:szCs w:val="11"/>
                <w:color w:val="auto"/>
              </w:rPr>
            </w:pPr>
          </w:p>
        </w:tc>
        <w:tc>
          <w:tcPr>
            <w:tcW w:w="16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 w:type="dxa"/>
            <w:vAlign w:val="bottom"/>
          </w:tcPr>
          <w:p>
            <w:pPr>
              <w:spacing w:after="0"/>
              <w:rPr>
                <w:sz w:val="11"/>
                <w:szCs w:val="11"/>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2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Borders>
              <w:bottom w:val="single" w:sz="8" w:color="0563C1"/>
            </w:tcBorders>
            <w:gridSpan w:val="13"/>
          </w:tcPr>
          <w:p>
            <w:pPr>
              <w:spacing w:after="0"/>
              <w:rPr>
                <w:rFonts w:ascii="Times New Roman" w:cs="Times New Roman" w:eastAsia="Times New Roman" w:hAnsi="Times New Roman"/>
                <w:sz w:val="18"/>
                <w:szCs w:val="18"/>
                <w:color w:val="0563C1"/>
                <w:w w:val="99"/>
              </w:rPr>
            </w:pPr>
            <w:hyperlink r:id="rId412">
              <w:r>
                <w:rPr>
                  <w:rFonts w:ascii="Times New Roman" w:cs="Times New Roman" w:eastAsia="Times New Roman" w:hAnsi="Times New Roman"/>
                  <w:sz w:val="18"/>
                  <w:szCs w:val="18"/>
                  <w:color w:val="0563C1"/>
                  <w:w w:val="99"/>
                </w:rPr>
                <w:t>Articles of Continuance of Repare Therapeutics Inc.</w:t>
              </w:r>
            </w:hyperlink>
          </w:p>
        </w:tc>
        <w:tc>
          <w:tcPr>
            <w:tcW w:w="840" w:type="dxa"/>
            <w:vAlign w:val="bottom"/>
            <w:gridSpan w:val="1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001-39335</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23, 2020</w:t>
            </w:r>
          </w:p>
        </w:tc>
        <w:tc>
          <w:tcPr>
            <w:tcW w:w="0" w:type="dxa"/>
            <w:vAlign w:val="bottom"/>
          </w:tcPr>
          <w:p>
            <w:pPr>
              <w:spacing w:after="0"/>
              <w:rPr>
                <w:sz w:val="1"/>
                <w:szCs w:val="1"/>
                <w:color w:val="auto"/>
              </w:rPr>
            </w:pPr>
          </w:p>
        </w:tc>
      </w:tr>
      <w:tr>
        <w:trPr>
          <w:trHeight w:val="371"/>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563C1"/>
            </w:tcBorders>
            <w:gridSpan w:val="21"/>
          </w:tcPr>
          <w:p>
            <w:pPr>
              <w:spacing w:after="0"/>
              <w:rPr>
                <w:rFonts w:ascii="Times New Roman" w:cs="Times New Roman" w:eastAsia="Times New Roman" w:hAnsi="Times New Roman"/>
                <w:sz w:val="18"/>
                <w:szCs w:val="18"/>
                <w:color w:val="0563C1"/>
                <w:w w:val="99"/>
              </w:rPr>
            </w:pPr>
            <w:hyperlink r:id="rId413">
              <w:r>
                <w:rPr>
                  <w:rFonts w:ascii="Times New Roman" w:cs="Times New Roman" w:eastAsia="Times New Roman" w:hAnsi="Times New Roman"/>
                  <w:sz w:val="18"/>
                  <w:szCs w:val="18"/>
                  <w:color w:val="0563C1"/>
                  <w:w w:val="99"/>
                </w:rPr>
                <w:t>Amended and Restated Bylaws of Repare Therapeutics Inc.</w:t>
              </w:r>
            </w:hyperlink>
          </w:p>
        </w:tc>
        <w:tc>
          <w:tcPr>
            <w:tcW w:w="300" w:type="dxa"/>
            <w:vAlign w:val="bottom"/>
            <w:gridSpan w:val="6"/>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001-39335</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23, 2020</w:t>
            </w:r>
          </w:p>
        </w:tc>
        <w:tc>
          <w:tcPr>
            <w:tcW w:w="0" w:type="dxa"/>
            <w:vAlign w:val="bottom"/>
          </w:tcPr>
          <w:p>
            <w:pPr>
              <w:spacing w:after="0"/>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563C1"/>
            </w:tcBorders>
            <w:gridSpan w:val="14"/>
          </w:tcPr>
          <w:p>
            <w:pPr>
              <w:spacing w:after="0"/>
              <w:rPr>
                <w:rFonts w:ascii="Times New Roman" w:cs="Times New Roman" w:eastAsia="Times New Roman" w:hAnsi="Times New Roman"/>
                <w:sz w:val="18"/>
                <w:szCs w:val="18"/>
                <w:color w:val="0563C1"/>
                <w:w w:val="99"/>
              </w:rPr>
            </w:pPr>
            <w:hyperlink r:id="rId414">
              <w:r>
                <w:rPr>
                  <w:rFonts w:ascii="Times New Roman" w:cs="Times New Roman" w:eastAsia="Times New Roman" w:hAnsi="Times New Roman"/>
                  <w:sz w:val="18"/>
                  <w:szCs w:val="18"/>
                  <w:color w:val="0563C1"/>
                  <w:w w:val="99"/>
                </w:rPr>
                <w:t>Form of Common Share Certificate of the registrant.</w:t>
              </w:r>
            </w:hyperlink>
          </w:p>
        </w:tc>
        <w:tc>
          <w:tcPr>
            <w:tcW w:w="820" w:type="dxa"/>
            <w:vAlign w:val="bottom"/>
            <w:gridSpan w:val="13"/>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563C1"/>
            </w:tcBorders>
            <w:gridSpan w:val="20"/>
          </w:tcPr>
          <w:p>
            <w:pPr>
              <w:spacing w:after="0"/>
              <w:rPr>
                <w:rFonts w:ascii="Times New Roman" w:cs="Times New Roman" w:eastAsia="Times New Roman" w:hAnsi="Times New Roman"/>
                <w:sz w:val="18"/>
                <w:szCs w:val="18"/>
                <w:color w:val="0563C1"/>
              </w:rPr>
            </w:pPr>
            <w:hyperlink r:id="rId415">
              <w:r>
                <w:rPr>
                  <w:rFonts w:ascii="Times New Roman" w:cs="Times New Roman" w:eastAsia="Times New Roman" w:hAnsi="Times New Roman"/>
                  <w:sz w:val="18"/>
                  <w:szCs w:val="18"/>
                  <w:color w:val="0563C1"/>
                </w:rPr>
                <w:t>Amended and Restated Registration Rights Agreement, by</w:t>
              </w:r>
            </w:hyperlink>
          </w:p>
        </w:tc>
        <w:tc>
          <w:tcPr>
            <w:tcW w:w="32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29,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563C1"/>
            </w:tcBorders>
            <w:gridSpan w:val="25"/>
          </w:tcPr>
          <w:p>
            <w:pPr>
              <w:spacing w:after="0" w:line="196" w:lineRule="exact"/>
              <w:rPr>
                <w:rFonts w:ascii="Times New Roman" w:cs="Times New Roman" w:eastAsia="Times New Roman" w:hAnsi="Times New Roman"/>
                <w:sz w:val="18"/>
                <w:szCs w:val="18"/>
                <w:color w:val="0563C1"/>
                <w:w w:val="99"/>
              </w:rPr>
            </w:pPr>
            <w:hyperlink r:id="rId415">
              <w:r>
                <w:rPr>
                  <w:rFonts w:ascii="Times New Roman" w:cs="Times New Roman" w:eastAsia="Times New Roman" w:hAnsi="Times New Roman"/>
                  <w:sz w:val="18"/>
                  <w:szCs w:val="18"/>
                  <w:color w:val="0563C1"/>
                  <w:w w:val="99"/>
                </w:rPr>
                <w:t>and among the registrant and certain of its shareholders, dated</w:t>
              </w:r>
            </w:hyperlink>
          </w:p>
        </w:tc>
        <w:tc>
          <w:tcPr>
            <w:tcW w:w="1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Times New Roman" w:cs="Times New Roman" w:eastAsia="Times New Roman" w:hAnsi="Times New Roman"/>
                <w:sz w:val="18"/>
                <w:szCs w:val="18"/>
                <w:color w:val="0563C1"/>
              </w:rPr>
            </w:pPr>
            <w:hyperlink r:id="rId415">
              <w:r>
                <w:rPr>
                  <w:rFonts w:ascii="Times New Roman" w:cs="Times New Roman" w:eastAsia="Times New Roman" w:hAnsi="Times New Roman"/>
                  <w:sz w:val="18"/>
                  <w:szCs w:val="18"/>
                  <w:color w:val="0563C1"/>
                </w:rPr>
                <w:t>September 3, 2019.</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0563C1"/>
            </w:tcBorders>
            <w:gridSpan w:val="22"/>
          </w:tcPr>
          <w:p>
            <w:pPr>
              <w:spacing w:after="0"/>
              <w:rPr>
                <w:rFonts w:ascii="Times New Roman" w:cs="Times New Roman" w:eastAsia="Times New Roman" w:hAnsi="Times New Roman"/>
                <w:sz w:val="18"/>
                <w:szCs w:val="18"/>
                <w:color w:val="0563C1"/>
                <w:w w:val="99"/>
              </w:rPr>
            </w:pPr>
            <w:hyperlink r:id="rId416">
              <w:r>
                <w:rPr>
                  <w:rFonts w:ascii="Times New Roman" w:cs="Times New Roman" w:eastAsia="Times New Roman" w:hAnsi="Times New Roman"/>
                  <w:sz w:val="18"/>
                  <w:szCs w:val="18"/>
                  <w:color w:val="0563C1"/>
                  <w:w w:val="99"/>
                </w:rPr>
                <w:t>Warrant Agreement by and between the registrant and BMS</w:t>
              </w:r>
            </w:hyperlink>
          </w:p>
        </w:tc>
        <w:tc>
          <w:tcPr>
            <w:tcW w:w="260" w:type="dxa"/>
            <w:vAlign w:val="bottom"/>
            <w:gridSpan w:val="5"/>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29,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563C1"/>
            </w:tcBorders>
            <w:gridSpan w:val="25"/>
          </w:tcPr>
          <w:p>
            <w:pPr>
              <w:spacing w:after="0" w:line="196" w:lineRule="exact"/>
              <w:rPr>
                <w:rFonts w:ascii="Times New Roman" w:cs="Times New Roman" w:eastAsia="Times New Roman" w:hAnsi="Times New Roman"/>
                <w:sz w:val="18"/>
                <w:szCs w:val="18"/>
                <w:color w:val="0563C1"/>
              </w:rPr>
            </w:pPr>
            <w:hyperlink r:id="rId416">
              <w:r>
                <w:rPr>
                  <w:rFonts w:ascii="Times New Roman" w:cs="Times New Roman" w:eastAsia="Times New Roman" w:hAnsi="Times New Roman"/>
                  <w:sz w:val="18"/>
                  <w:szCs w:val="18"/>
                  <w:color w:val="0563C1"/>
                </w:rPr>
                <w:t>Strategic Portfolio Investments Holdings, Inc., dated May 26,</w:t>
              </w:r>
            </w:hyperlink>
          </w:p>
        </w:tc>
        <w:tc>
          <w:tcPr>
            <w:tcW w:w="1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40" w:type="dxa"/>
            <w:vAlign w:val="bottom"/>
            <w:gridSpan w:val="3"/>
          </w:tcPr>
          <w:p>
            <w:pPr>
              <w:ind w:left="120"/>
              <w:spacing w:after="0" w:line="196" w:lineRule="exact"/>
              <w:rPr>
                <w:rFonts w:ascii="Times New Roman" w:cs="Times New Roman" w:eastAsia="Times New Roman" w:hAnsi="Times New Roman"/>
                <w:sz w:val="18"/>
                <w:szCs w:val="18"/>
                <w:color w:val="0563C1"/>
                <w:w w:val="93"/>
              </w:rPr>
            </w:pPr>
            <w:hyperlink r:id="rId416">
              <w:r>
                <w:rPr>
                  <w:rFonts w:ascii="Times New Roman" w:cs="Times New Roman" w:eastAsia="Times New Roman" w:hAnsi="Times New Roman"/>
                  <w:sz w:val="18"/>
                  <w:szCs w:val="18"/>
                  <w:color w:val="0563C1"/>
                  <w:w w:val="93"/>
                </w:rPr>
                <w:t>2020.</w:t>
              </w:r>
            </w:hyperlink>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27"/>
          </w:tcPr>
          <w:p>
            <w:pPr>
              <w:spacing w:after="0"/>
              <w:rPr>
                <w:rFonts w:ascii="Times New Roman" w:cs="Times New Roman" w:eastAsia="Times New Roman" w:hAnsi="Times New Roman"/>
                <w:sz w:val="18"/>
                <w:szCs w:val="18"/>
                <w:color w:val="0563C1"/>
              </w:rPr>
            </w:pPr>
            <w:hyperlink r:id="rId417">
              <w:r>
                <w:rPr>
                  <w:rFonts w:ascii="Times New Roman" w:cs="Times New Roman" w:eastAsia="Times New Roman" w:hAnsi="Times New Roman"/>
                  <w:sz w:val="18"/>
                  <w:szCs w:val="18"/>
                  <w:color w:val="0563C1"/>
                </w:rPr>
                <w:t>Description of Registrant’s Securities.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001-39335</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bottom w:val="single" w:sz="8" w:color="0563C1"/>
            </w:tcBorders>
            <w:gridSpan w:val="17"/>
          </w:tcPr>
          <w:p>
            <w:pPr>
              <w:spacing w:after="0"/>
              <w:rPr>
                <w:rFonts w:ascii="Times New Roman" w:cs="Times New Roman" w:eastAsia="Times New Roman" w:hAnsi="Times New Roman"/>
                <w:sz w:val="18"/>
                <w:szCs w:val="18"/>
                <w:color w:val="0563C1"/>
              </w:rPr>
            </w:pPr>
            <w:hyperlink r:id="rId418">
              <w:r>
                <w:rPr>
                  <w:rFonts w:ascii="Times New Roman" w:cs="Times New Roman" w:eastAsia="Times New Roman" w:hAnsi="Times New Roman"/>
                  <w:sz w:val="18"/>
                  <w:szCs w:val="18"/>
                  <w:color w:val="0563C1"/>
                </w:rPr>
                <w:t>Repare Therapeutics Inc. Amended and Restated Option</w:t>
              </w:r>
            </w:hyperlink>
          </w:p>
        </w:tc>
        <w:tc>
          <w:tcPr>
            <w:tcW w:w="500" w:type="dxa"/>
            <w:vAlign w:val="bottom"/>
            <w:gridSpan w:val="10"/>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29,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563C1"/>
            </w:tcBorders>
          </w:tcPr>
          <w:p>
            <w:pPr>
              <w:spacing w:after="0" w:line="196" w:lineRule="exact"/>
              <w:rPr>
                <w:rFonts w:ascii="Times New Roman" w:cs="Times New Roman" w:eastAsia="Times New Roman" w:hAnsi="Times New Roman"/>
                <w:sz w:val="18"/>
                <w:szCs w:val="18"/>
                <w:color w:val="0563C1"/>
                <w:w w:val="98"/>
              </w:rPr>
            </w:pPr>
            <w:hyperlink r:id="rId418">
              <w:r>
                <w:rPr>
                  <w:rFonts w:ascii="Times New Roman" w:cs="Times New Roman" w:eastAsia="Times New Roman" w:hAnsi="Times New Roman"/>
                  <w:sz w:val="18"/>
                  <w:szCs w:val="18"/>
                  <w:color w:val="0563C1"/>
                  <w:w w:val="98"/>
                </w:rPr>
                <w:t>Plan.</w:t>
              </w:r>
            </w:hyperlink>
          </w:p>
        </w:tc>
        <w:tc>
          <w:tcPr>
            <w:tcW w:w="4200" w:type="dxa"/>
            <w:vAlign w:val="bottom"/>
            <w:gridSpan w:val="26"/>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563C1"/>
            </w:tcBorders>
            <w:gridSpan w:val="19"/>
          </w:tcPr>
          <w:p>
            <w:pPr>
              <w:spacing w:after="0"/>
              <w:rPr>
                <w:rFonts w:ascii="Times New Roman" w:cs="Times New Roman" w:eastAsia="Times New Roman" w:hAnsi="Times New Roman"/>
                <w:sz w:val="18"/>
                <w:szCs w:val="18"/>
                <w:color w:val="0563C1"/>
              </w:rPr>
            </w:pPr>
            <w:hyperlink r:id="rId419">
              <w:r>
                <w:rPr>
                  <w:rFonts w:ascii="Times New Roman" w:cs="Times New Roman" w:eastAsia="Times New Roman" w:hAnsi="Times New Roman"/>
                  <w:sz w:val="18"/>
                  <w:szCs w:val="18"/>
                  <w:color w:val="0563C1"/>
                </w:rPr>
                <w:t>Form of Option Agreement under the Repare Therapeutics</w:t>
              </w:r>
            </w:hyperlink>
          </w:p>
        </w:tc>
        <w:tc>
          <w:tcPr>
            <w:tcW w:w="340" w:type="dxa"/>
            <w:vAlign w:val="bottom"/>
            <w:gridSpan w:val="8"/>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29,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563C1"/>
            </w:tcBorders>
            <w:gridSpan w:val="10"/>
          </w:tcPr>
          <w:p>
            <w:pPr>
              <w:spacing w:after="0" w:line="196" w:lineRule="exact"/>
              <w:rPr>
                <w:rFonts w:ascii="Times New Roman" w:cs="Times New Roman" w:eastAsia="Times New Roman" w:hAnsi="Times New Roman"/>
                <w:sz w:val="18"/>
                <w:szCs w:val="18"/>
                <w:color w:val="0563C1"/>
                <w:w w:val="99"/>
              </w:rPr>
            </w:pPr>
            <w:hyperlink r:id="rId419">
              <w:r>
                <w:rPr>
                  <w:rFonts w:ascii="Times New Roman" w:cs="Times New Roman" w:eastAsia="Times New Roman" w:hAnsi="Times New Roman"/>
                  <w:sz w:val="18"/>
                  <w:szCs w:val="18"/>
                  <w:color w:val="0563C1"/>
                  <w:w w:val="99"/>
                </w:rPr>
                <w:t>Inc. Amended and Restated Option Plan.</w:t>
              </w:r>
            </w:hyperlink>
          </w:p>
        </w:tc>
        <w:tc>
          <w:tcPr>
            <w:tcW w:w="1660" w:type="dxa"/>
            <w:vAlign w:val="bottom"/>
            <w:gridSpan w:val="17"/>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27"/>
          </w:tcPr>
          <w:p>
            <w:pPr>
              <w:spacing w:after="0"/>
              <w:rPr>
                <w:rFonts w:ascii="Times New Roman" w:cs="Times New Roman" w:eastAsia="Times New Roman" w:hAnsi="Times New Roman"/>
                <w:sz w:val="18"/>
                <w:szCs w:val="18"/>
                <w:color w:val="0563C1"/>
              </w:rPr>
            </w:pPr>
            <w:hyperlink r:id="rId420">
              <w:r>
                <w:rPr>
                  <w:rFonts w:ascii="Times New Roman" w:cs="Times New Roman" w:eastAsia="Times New Roman" w:hAnsi="Times New Roman"/>
                  <w:sz w:val="18"/>
                  <w:szCs w:val="18"/>
                  <w:color w:val="0563C1"/>
                </w:rPr>
                <w:t>Form of 2020 Equity Incentive Plan.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563C1"/>
            </w:tcBorders>
            <w:gridSpan w:val="16"/>
          </w:tcPr>
          <w:p>
            <w:pPr>
              <w:spacing w:after="0"/>
              <w:rPr>
                <w:rFonts w:ascii="Times New Roman" w:cs="Times New Roman" w:eastAsia="Times New Roman" w:hAnsi="Times New Roman"/>
                <w:sz w:val="18"/>
                <w:szCs w:val="18"/>
                <w:color w:val="0563C1"/>
              </w:rPr>
            </w:pPr>
            <w:hyperlink r:id="rId421">
              <w:r>
                <w:rPr>
                  <w:rFonts w:ascii="Times New Roman" w:cs="Times New Roman" w:eastAsia="Times New Roman" w:hAnsi="Times New Roman"/>
                  <w:sz w:val="18"/>
                  <w:szCs w:val="18"/>
                  <w:color w:val="0563C1"/>
                </w:rPr>
                <w:t>Form of Share Option Grant Notice and Share Option</w:t>
              </w:r>
            </w:hyperlink>
          </w:p>
        </w:tc>
        <w:tc>
          <w:tcPr>
            <w:tcW w:w="700" w:type="dxa"/>
            <w:vAlign w:val="bottom"/>
            <w:gridSpan w:val="11"/>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Times New Roman" w:cs="Times New Roman" w:eastAsia="Times New Roman" w:hAnsi="Times New Roman"/>
                <w:sz w:val="18"/>
                <w:szCs w:val="18"/>
                <w:color w:val="0563C1"/>
              </w:rPr>
            </w:pPr>
            <w:hyperlink r:id="rId421">
              <w:r>
                <w:rPr>
                  <w:rFonts w:ascii="Times New Roman" w:cs="Times New Roman" w:eastAsia="Times New Roman" w:hAnsi="Times New Roman"/>
                  <w:sz w:val="18"/>
                  <w:szCs w:val="18"/>
                  <w:color w:val="0563C1"/>
                </w:rPr>
                <w:t>Agreement under the 2020 Equity Incentive Plan.</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180" w:type="dxa"/>
            <w:vAlign w:val="bottom"/>
            <w:gridSpan w:val="4"/>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563C1"/>
            </w:tcBorders>
            <w:gridSpan w:val="20"/>
          </w:tcPr>
          <w:p>
            <w:pPr>
              <w:spacing w:after="0"/>
              <w:rPr>
                <w:rFonts w:ascii="Times New Roman" w:cs="Times New Roman" w:eastAsia="Times New Roman" w:hAnsi="Times New Roman"/>
                <w:sz w:val="18"/>
                <w:szCs w:val="18"/>
                <w:color w:val="0563C1"/>
              </w:rPr>
            </w:pPr>
            <w:hyperlink r:id="rId422">
              <w:r>
                <w:rPr>
                  <w:rFonts w:ascii="Times New Roman" w:cs="Times New Roman" w:eastAsia="Times New Roman" w:hAnsi="Times New Roman"/>
                  <w:sz w:val="18"/>
                  <w:szCs w:val="18"/>
                  <w:color w:val="0563C1"/>
                </w:rPr>
                <w:t>Form of Restricted Share Unit Grant Notice and Restricted</w:t>
              </w:r>
            </w:hyperlink>
          </w:p>
        </w:tc>
        <w:tc>
          <w:tcPr>
            <w:tcW w:w="32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563C1"/>
            </w:tcBorders>
            <w:gridSpan w:val="15"/>
          </w:tcPr>
          <w:p>
            <w:pPr>
              <w:spacing w:after="0" w:line="196" w:lineRule="exact"/>
              <w:rPr>
                <w:rFonts w:ascii="Times New Roman" w:cs="Times New Roman" w:eastAsia="Times New Roman" w:hAnsi="Times New Roman"/>
                <w:sz w:val="18"/>
                <w:szCs w:val="18"/>
                <w:color w:val="0563C1"/>
                <w:w w:val="99"/>
              </w:rPr>
            </w:pPr>
            <w:hyperlink r:id="rId422">
              <w:r>
                <w:rPr>
                  <w:rFonts w:ascii="Times New Roman" w:cs="Times New Roman" w:eastAsia="Times New Roman" w:hAnsi="Times New Roman"/>
                  <w:sz w:val="18"/>
                  <w:szCs w:val="18"/>
                  <w:color w:val="0563C1"/>
                  <w:w w:val="99"/>
                </w:rPr>
                <w:t>Share Unit Award Agreement under the 2020 Equity</w:t>
              </w:r>
            </w:hyperlink>
          </w:p>
        </w:tc>
        <w:tc>
          <w:tcPr>
            <w:tcW w:w="780" w:type="dxa"/>
            <w:vAlign w:val="bottom"/>
            <w:gridSpan w:val="1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Times New Roman" w:cs="Times New Roman" w:eastAsia="Times New Roman" w:hAnsi="Times New Roman"/>
                <w:sz w:val="18"/>
                <w:szCs w:val="18"/>
                <w:color w:val="0563C1"/>
              </w:rPr>
            </w:pPr>
            <w:hyperlink r:id="rId422">
              <w:r>
                <w:rPr>
                  <w:rFonts w:ascii="Times New Roman" w:cs="Times New Roman" w:eastAsia="Times New Roman" w:hAnsi="Times New Roman"/>
                  <w:sz w:val="18"/>
                  <w:szCs w:val="18"/>
                  <w:color w:val="0563C1"/>
                </w:rPr>
                <w:t>Incentive Plan.</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563C1"/>
            </w:tcBorders>
            <w:gridSpan w:val="11"/>
          </w:tcPr>
          <w:p>
            <w:pPr>
              <w:spacing w:after="0"/>
              <w:rPr>
                <w:rFonts w:ascii="Times New Roman" w:cs="Times New Roman" w:eastAsia="Times New Roman" w:hAnsi="Times New Roman"/>
                <w:sz w:val="18"/>
                <w:szCs w:val="18"/>
                <w:color w:val="0563C1"/>
                <w:w w:val="99"/>
              </w:rPr>
            </w:pPr>
            <w:hyperlink r:id="rId423">
              <w:r>
                <w:rPr>
                  <w:rFonts w:ascii="Times New Roman" w:cs="Times New Roman" w:eastAsia="Times New Roman" w:hAnsi="Times New Roman"/>
                  <w:sz w:val="18"/>
                  <w:szCs w:val="18"/>
                  <w:color w:val="0563C1"/>
                  <w:w w:val="99"/>
                </w:rPr>
                <w:t>Form of 2020 Employee Share Purchase Plan.</w:t>
              </w:r>
            </w:hyperlink>
          </w:p>
        </w:tc>
        <w:tc>
          <w:tcPr>
            <w:tcW w:w="1280" w:type="dxa"/>
            <w:vAlign w:val="bottom"/>
            <w:gridSpan w:val="16"/>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563C1"/>
            </w:tcBorders>
            <w:gridSpan w:val="24"/>
          </w:tcPr>
          <w:p>
            <w:pPr>
              <w:spacing w:after="0"/>
              <w:rPr>
                <w:rFonts w:ascii="Times New Roman" w:cs="Times New Roman" w:eastAsia="Times New Roman" w:hAnsi="Times New Roman"/>
                <w:sz w:val="18"/>
                <w:szCs w:val="18"/>
                <w:color w:val="0563C1"/>
              </w:rPr>
            </w:pPr>
            <w:hyperlink r:id="rId424">
              <w:r>
                <w:rPr>
                  <w:rFonts w:ascii="Times New Roman" w:cs="Times New Roman" w:eastAsia="Times New Roman" w:hAnsi="Times New Roman"/>
                  <w:sz w:val="18"/>
                  <w:szCs w:val="18"/>
                  <w:color w:val="0563C1"/>
                </w:rPr>
                <w:t>Form of Indemnity Agreement by and between the registrant</w:t>
              </w:r>
            </w:hyperlink>
          </w:p>
        </w:tc>
        <w:tc>
          <w:tcPr>
            <w:tcW w:w="180" w:type="dxa"/>
            <w:vAlign w:val="bottom"/>
            <w:gridSpan w:val="3"/>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563C1"/>
            </w:tcBorders>
            <w:gridSpan w:val="6"/>
          </w:tcPr>
          <w:p>
            <w:pPr>
              <w:spacing w:after="0" w:line="196" w:lineRule="exact"/>
              <w:rPr>
                <w:rFonts w:ascii="Times New Roman" w:cs="Times New Roman" w:eastAsia="Times New Roman" w:hAnsi="Times New Roman"/>
                <w:sz w:val="18"/>
                <w:szCs w:val="18"/>
                <w:color w:val="0563C1"/>
                <w:w w:val="98"/>
              </w:rPr>
            </w:pPr>
            <w:hyperlink r:id="rId424">
              <w:r>
                <w:rPr>
                  <w:rFonts w:ascii="Times New Roman" w:cs="Times New Roman" w:eastAsia="Times New Roman" w:hAnsi="Times New Roman"/>
                  <w:sz w:val="18"/>
                  <w:szCs w:val="18"/>
                  <w:color w:val="0563C1"/>
                  <w:w w:val="98"/>
                </w:rPr>
                <w:t>and its directors and officers.</w:t>
              </w:r>
            </w:hyperlink>
          </w:p>
        </w:tc>
        <w:tc>
          <w:tcPr>
            <w:tcW w:w="2520" w:type="dxa"/>
            <w:vAlign w:val="bottom"/>
            <w:gridSpan w:val="21"/>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563C1"/>
            </w:tcBorders>
            <w:gridSpan w:val="25"/>
          </w:tcPr>
          <w:p>
            <w:pPr>
              <w:spacing w:after="0"/>
              <w:rPr>
                <w:rFonts w:ascii="Times New Roman" w:cs="Times New Roman" w:eastAsia="Times New Roman" w:hAnsi="Times New Roman"/>
                <w:sz w:val="18"/>
                <w:szCs w:val="18"/>
                <w:color w:val="0563C1"/>
              </w:rPr>
            </w:pPr>
            <w:hyperlink r:id="rId425">
              <w:r>
                <w:rPr>
                  <w:rFonts w:ascii="Times New Roman" w:cs="Times New Roman" w:eastAsia="Times New Roman" w:hAnsi="Times New Roman"/>
                  <w:sz w:val="18"/>
                  <w:szCs w:val="18"/>
                  <w:color w:val="0563C1"/>
                </w:rPr>
                <w:t>Employment Agreement between the registrant and Lloyd M.</w:t>
              </w:r>
            </w:hyperlink>
          </w:p>
        </w:tc>
        <w:tc>
          <w:tcPr>
            <w:tcW w:w="140" w:type="dxa"/>
            <w:vAlign w:val="bottom"/>
            <w:gridSpan w:val="2"/>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Times New Roman" w:cs="Times New Roman" w:eastAsia="Times New Roman" w:hAnsi="Times New Roman"/>
                <w:sz w:val="18"/>
                <w:szCs w:val="18"/>
                <w:color w:val="0563C1"/>
              </w:rPr>
            </w:pPr>
            <w:hyperlink r:id="rId425">
              <w:r>
                <w:rPr>
                  <w:rFonts w:ascii="Times New Roman" w:cs="Times New Roman" w:eastAsia="Times New Roman" w:hAnsi="Times New Roman"/>
                  <w:sz w:val="18"/>
                  <w:szCs w:val="18"/>
                  <w:color w:val="0563C1"/>
                </w:rPr>
                <w:t>Segal, dated June 12, 2020.</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0563C1"/>
            </w:tcBorders>
            <w:gridSpan w:val="23"/>
          </w:tcPr>
          <w:p>
            <w:pPr>
              <w:spacing w:after="0"/>
              <w:rPr>
                <w:rFonts w:ascii="Times New Roman" w:cs="Times New Roman" w:eastAsia="Times New Roman" w:hAnsi="Times New Roman"/>
                <w:sz w:val="18"/>
                <w:szCs w:val="18"/>
                <w:color w:val="0563C1"/>
              </w:rPr>
            </w:pPr>
            <w:hyperlink r:id="rId426">
              <w:r>
                <w:rPr>
                  <w:rFonts w:ascii="Times New Roman" w:cs="Times New Roman" w:eastAsia="Times New Roman" w:hAnsi="Times New Roman"/>
                  <w:sz w:val="18"/>
                  <w:szCs w:val="18"/>
                  <w:color w:val="0563C1"/>
                </w:rPr>
                <w:t>Employment Agreement between the registrant and Michael</w:t>
              </w:r>
            </w:hyperlink>
          </w:p>
        </w:tc>
        <w:tc>
          <w:tcPr>
            <w:tcW w:w="22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27"/>
          </w:tcPr>
          <w:p>
            <w:pPr>
              <w:spacing w:after="0" w:line="196" w:lineRule="exact"/>
              <w:rPr>
                <w:rFonts w:ascii="Times New Roman" w:cs="Times New Roman" w:eastAsia="Times New Roman" w:hAnsi="Times New Roman"/>
                <w:sz w:val="18"/>
                <w:szCs w:val="18"/>
                <w:color w:val="0563C1"/>
              </w:rPr>
            </w:pPr>
            <w:hyperlink r:id="rId426">
              <w:r>
                <w:rPr>
                  <w:rFonts w:ascii="Times New Roman" w:cs="Times New Roman" w:eastAsia="Times New Roman" w:hAnsi="Times New Roman"/>
                  <w:sz w:val="18"/>
                  <w:szCs w:val="18"/>
                  <w:color w:val="0563C1"/>
                </w:rPr>
                <w:t>Zinda, dated June 12, 2020.</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5"/>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563C1"/>
            </w:tcBorders>
            <w:gridSpan w:val="18"/>
          </w:tcPr>
          <w:p>
            <w:pPr>
              <w:spacing w:after="0"/>
              <w:rPr>
                <w:rFonts w:ascii="Times New Roman" w:cs="Times New Roman" w:eastAsia="Times New Roman" w:hAnsi="Times New Roman"/>
                <w:sz w:val="18"/>
                <w:szCs w:val="18"/>
                <w:color w:val="0563C1"/>
              </w:rPr>
            </w:pPr>
            <w:hyperlink r:id="rId427">
              <w:r>
                <w:rPr>
                  <w:rFonts w:ascii="Times New Roman" w:cs="Times New Roman" w:eastAsia="Times New Roman" w:hAnsi="Times New Roman"/>
                  <w:sz w:val="18"/>
                  <w:szCs w:val="18"/>
                  <w:color w:val="0563C1"/>
                </w:rPr>
                <w:t>Employment Agreement between the registrant and Maria</w:t>
              </w:r>
            </w:hyperlink>
          </w:p>
        </w:tc>
        <w:tc>
          <w:tcPr>
            <w:tcW w:w="380" w:type="dxa"/>
            <w:vAlign w:val="bottom"/>
            <w:gridSpan w:val="9"/>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333-238822</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563C1"/>
            </w:tcBorders>
            <w:gridSpan w:val="7"/>
          </w:tcPr>
          <w:p>
            <w:pPr>
              <w:spacing w:after="0" w:line="196" w:lineRule="exact"/>
              <w:rPr>
                <w:rFonts w:ascii="Times New Roman" w:cs="Times New Roman" w:eastAsia="Times New Roman" w:hAnsi="Times New Roman"/>
                <w:sz w:val="18"/>
                <w:szCs w:val="18"/>
                <w:color w:val="0563C1"/>
                <w:w w:val="98"/>
              </w:rPr>
            </w:pPr>
            <w:hyperlink r:id="rId427">
              <w:r>
                <w:rPr>
                  <w:rFonts w:ascii="Times New Roman" w:cs="Times New Roman" w:eastAsia="Times New Roman" w:hAnsi="Times New Roman"/>
                  <w:sz w:val="18"/>
                  <w:szCs w:val="18"/>
                  <w:color w:val="0563C1"/>
                  <w:w w:val="98"/>
                </w:rPr>
                <w:t>Koehler, dated June 12, 2020.</w:t>
              </w:r>
            </w:hyperlink>
          </w:p>
        </w:tc>
        <w:tc>
          <w:tcPr>
            <w:tcW w:w="2460" w:type="dxa"/>
            <w:vAlign w:val="bottom"/>
            <w:gridSpan w:val="20"/>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1040" w:type="dxa"/>
            <w:vAlign w:val="bottom"/>
          </w:tcPr>
          <w:p>
            <w:pPr>
              <w:spacing w:after="0"/>
              <w:rPr>
                <w:sz w:val="24"/>
                <w:szCs w:val="24"/>
                <w:color w:val="auto"/>
              </w:rPr>
            </w:pPr>
          </w:p>
        </w:tc>
        <w:tc>
          <w:tcPr>
            <w:tcW w:w="4740" w:type="dxa"/>
            <w:vAlign w:val="bottom"/>
            <w:gridSpan w:val="29"/>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220" w:type="dxa"/>
            <w:vAlign w:val="bottom"/>
            <w:tcBorders>
              <w:bottom w:val="single" w:sz="8" w:color="0563C1"/>
            </w:tcBorders>
            <w:gridSpan w:val="11"/>
          </w:tcPr>
          <w:p>
            <w:pPr>
              <w:spacing w:after="0"/>
              <w:rPr>
                <w:rFonts w:ascii="Times New Roman" w:cs="Times New Roman" w:eastAsia="Times New Roman" w:hAnsi="Times New Roman"/>
                <w:sz w:val="18"/>
                <w:szCs w:val="18"/>
                <w:color w:val="0563C1"/>
              </w:rPr>
            </w:pPr>
            <w:hyperlink r:id="rId430">
              <w:r>
                <w:rPr>
                  <w:rFonts w:ascii="Times New Roman" w:cs="Times New Roman" w:eastAsia="Times New Roman" w:hAnsi="Times New Roman"/>
                  <w:sz w:val="18"/>
                  <w:szCs w:val="18"/>
                  <w:color w:val="0563C1"/>
                </w:rPr>
                <w:t>Employment Agreement between the registrant and Steve</w:t>
              </w:r>
            </w:hyperlink>
          </w:p>
        </w:tc>
        <w:tc>
          <w:tcPr>
            <w:tcW w:w="26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0">
              <w:r>
                <w:rPr>
                  <w:rFonts w:ascii="Times New Roman" w:cs="Times New Roman" w:eastAsia="Times New Roman" w:hAnsi="Times New Roman"/>
                  <w:sz w:val="18"/>
                  <w:szCs w:val="18"/>
                  <w:color w:val="0563C1"/>
                </w:rPr>
                <w:t>Forte, dated June 12, 2020.</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780" w:type="dxa"/>
            <w:vAlign w:val="bottom"/>
            <w:tcBorders>
              <w:bottom w:val="single" w:sz="8" w:color="0563C1"/>
            </w:tcBorders>
            <w:gridSpan w:val="8"/>
          </w:tcPr>
          <w:p>
            <w:pPr>
              <w:spacing w:after="0"/>
              <w:rPr>
                <w:rFonts w:ascii="Times New Roman" w:cs="Times New Roman" w:eastAsia="Times New Roman" w:hAnsi="Times New Roman"/>
                <w:sz w:val="18"/>
                <w:szCs w:val="18"/>
                <w:color w:val="0563C1"/>
              </w:rPr>
            </w:pPr>
            <w:hyperlink r:id="rId431">
              <w:r>
                <w:rPr>
                  <w:rFonts w:ascii="Times New Roman" w:cs="Times New Roman" w:eastAsia="Times New Roman" w:hAnsi="Times New Roman"/>
                  <w:sz w:val="18"/>
                  <w:szCs w:val="18"/>
                  <w:color w:val="0563C1"/>
                </w:rPr>
                <w:t>Lease Agreement by and between the registrant and</w:t>
              </w:r>
            </w:hyperlink>
          </w:p>
        </w:tc>
        <w:tc>
          <w:tcPr>
            <w:tcW w:w="70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563C1"/>
            </w:tcBorders>
            <w:gridSpan w:val="17"/>
          </w:tcPr>
          <w:p>
            <w:pPr>
              <w:spacing w:after="0" w:line="196" w:lineRule="exact"/>
              <w:rPr>
                <w:rFonts w:ascii="Times New Roman" w:cs="Times New Roman" w:eastAsia="Times New Roman" w:hAnsi="Times New Roman"/>
                <w:sz w:val="18"/>
                <w:szCs w:val="18"/>
                <w:color w:val="0563C1"/>
              </w:rPr>
            </w:pPr>
            <w:hyperlink r:id="rId431">
              <w:r>
                <w:rPr>
                  <w:rFonts w:ascii="Times New Roman" w:cs="Times New Roman" w:eastAsia="Times New Roman" w:hAnsi="Times New Roman"/>
                  <w:sz w:val="18"/>
                  <w:szCs w:val="18"/>
                  <w:color w:val="0563C1"/>
                </w:rPr>
                <w:t>NEOMED Institute, dated November 26, 2019, as amended</w:t>
              </w:r>
            </w:hyperlink>
          </w:p>
        </w:tc>
        <w:tc>
          <w:tcPr>
            <w:tcW w:w="10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1">
              <w:r>
                <w:rPr>
                  <w:rFonts w:ascii="Times New Roman" w:cs="Times New Roman" w:eastAsia="Times New Roman" w:hAnsi="Times New Roman"/>
                  <w:sz w:val="18"/>
                  <w:szCs w:val="18"/>
                  <w:color w:val="0563C1"/>
                </w:rPr>
                <w:t>June 5, 2020.</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340" w:type="dxa"/>
            <w:vAlign w:val="bottom"/>
            <w:tcBorders>
              <w:bottom w:val="single" w:sz="8" w:color="0563C1"/>
            </w:tcBorders>
            <w:gridSpan w:val="15"/>
          </w:tcPr>
          <w:p>
            <w:pPr>
              <w:spacing w:after="0"/>
              <w:rPr>
                <w:rFonts w:ascii="Times New Roman" w:cs="Times New Roman" w:eastAsia="Times New Roman" w:hAnsi="Times New Roman"/>
                <w:sz w:val="18"/>
                <w:szCs w:val="18"/>
                <w:color w:val="0563C1"/>
              </w:rPr>
            </w:pPr>
            <w:hyperlink r:id="rId432">
              <w:r>
                <w:rPr>
                  <w:rFonts w:ascii="Times New Roman" w:cs="Times New Roman" w:eastAsia="Times New Roman" w:hAnsi="Times New Roman"/>
                  <w:sz w:val="18"/>
                  <w:szCs w:val="18"/>
                  <w:color w:val="0563C1"/>
                </w:rPr>
                <w:t>Amended and Restated License Agreement by and between</w:t>
              </w:r>
            </w:hyperlink>
          </w:p>
        </w:tc>
        <w:tc>
          <w:tcPr>
            <w:tcW w:w="14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2">
              <w:r>
                <w:rPr>
                  <w:rFonts w:ascii="Times New Roman" w:cs="Times New Roman" w:eastAsia="Times New Roman" w:hAnsi="Times New Roman"/>
                  <w:sz w:val="18"/>
                  <w:szCs w:val="18"/>
                  <w:color w:val="0563C1"/>
                </w:rPr>
                <w:t>the registrant and New York University, dated July 9, 2018.</w:t>
              </w:r>
            </w:hyperlink>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240" w:type="dxa"/>
            <w:vAlign w:val="bottom"/>
            <w:tcBorders>
              <w:top w:val="single" w:sz="8" w:color="0563C1"/>
              <w:bottom w:val="single" w:sz="8" w:color="0563C1"/>
            </w:tcBorders>
            <w:gridSpan w:val="12"/>
          </w:tcPr>
          <w:p>
            <w:pPr>
              <w:spacing w:after="0"/>
              <w:rPr>
                <w:rFonts w:ascii="Times New Roman" w:cs="Times New Roman" w:eastAsia="Times New Roman" w:hAnsi="Times New Roman"/>
                <w:sz w:val="18"/>
                <w:szCs w:val="18"/>
                <w:color w:val="0563C1"/>
              </w:rPr>
            </w:pPr>
            <w:hyperlink r:id="rId433">
              <w:r>
                <w:rPr>
                  <w:rFonts w:ascii="Times New Roman" w:cs="Times New Roman" w:eastAsia="Times New Roman" w:hAnsi="Times New Roman"/>
                  <w:sz w:val="18"/>
                  <w:szCs w:val="18"/>
                  <w:color w:val="0563C1"/>
                </w:rPr>
                <w:t>Collaboration and License Agreement by and between the</w:t>
              </w:r>
            </w:hyperlink>
          </w:p>
        </w:tc>
        <w:tc>
          <w:tcPr>
            <w:tcW w:w="40" w:type="dxa"/>
            <w:vAlign w:val="bottom"/>
            <w:tcBorders>
              <w:top w:val="single" w:sz="8" w:color="0563C1"/>
            </w:tcBorders>
          </w:tcPr>
          <w:p>
            <w:pPr>
              <w:spacing w:after="0"/>
              <w:rPr>
                <w:sz w:val="24"/>
                <w:szCs w:val="24"/>
                <w:color w:val="auto"/>
              </w:rPr>
            </w:pPr>
          </w:p>
        </w:tc>
        <w:tc>
          <w:tcPr>
            <w:tcW w:w="2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00" w:type="dxa"/>
            <w:vAlign w:val="bottom"/>
            <w:tcBorders>
              <w:bottom w:val="single" w:sz="8" w:color="0563C1"/>
            </w:tcBorders>
            <w:gridSpan w:val="18"/>
          </w:tcPr>
          <w:p>
            <w:pPr>
              <w:spacing w:after="0" w:line="196" w:lineRule="exact"/>
              <w:rPr>
                <w:rFonts w:ascii="Times New Roman" w:cs="Times New Roman" w:eastAsia="Times New Roman" w:hAnsi="Times New Roman"/>
                <w:sz w:val="18"/>
                <w:szCs w:val="18"/>
                <w:color w:val="0563C1"/>
              </w:rPr>
            </w:pPr>
            <w:hyperlink r:id="rId433">
              <w:r>
                <w:rPr>
                  <w:rFonts w:ascii="Times New Roman" w:cs="Times New Roman" w:eastAsia="Times New Roman" w:hAnsi="Times New Roman"/>
                  <w:sz w:val="18"/>
                  <w:szCs w:val="18"/>
                  <w:color w:val="0563C1"/>
                </w:rPr>
                <w:t>registrant, Repare Therapeutics USA Inc. and Bristol-Myers</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3">
              <w:r>
                <w:rPr>
                  <w:rFonts w:ascii="Times New Roman" w:cs="Times New Roman" w:eastAsia="Times New Roman" w:hAnsi="Times New Roman"/>
                  <w:sz w:val="18"/>
                  <w:szCs w:val="18"/>
                  <w:color w:val="0563C1"/>
                </w:rPr>
                <w:t>Squibb Company, dated May 26, 2020.</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1420" w:type="dxa"/>
            <w:vAlign w:val="bottom"/>
            <w:gridSpan w:val="2"/>
            <w:shd w:val="clear" w:color="auto" w:fill="0563C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480" w:type="dxa"/>
            <w:vAlign w:val="bottom"/>
            <w:tcBorders>
              <w:bottom w:val="single" w:sz="8" w:color="0563C1"/>
            </w:tcBorders>
            <w:gridSpan w:val="21"/>
          </w:tcPr>
          <w:p>
            <w:pPr>
              <w:spacing w:after="0"/>
              <w:rPr>
                <w:rFonts w:ascii="Times New Roman" w:cs="Times New Roman" w:eastAsia="Times New Roman" w:hAnsi="Times New Roman"/>
                <w:sz w:val="18"/>
                <w:szCs w:val="18"/>
                <w:color w:val="0563C1"/>
                <w:w w:val="99"/>
              </w:rPr>
            </w:pPr>
            <w:hyperlink r:id="rId434">
              <w:r>
                <w:rPr>
                  <w:rFonts w:ascii="Times New Roman" w:cs="Times New Roman" w:eastAsia="Times New Roman" w:hAnsi="Times New Roman"/>
                  <w:sz w:val="18"/>
                  <w:szCs w:val="18"/>
                  <w:color w:val="0563C1"/>
                  <w:w w:val="99"/>
                </w:rPr>
                <w:t>First Amendment to Collaboration and License Agreement by</w:t>
              </w:r>
            </w:hyperlink>
          </w:p>
        </w:tc>
      </w:tr>
      <w:tr>
        <w:trPr>
          <w:trHeight w:val="196"/>
        </w:trPr>
        <w:tc>
          <w:tcPr>
            <w:tcW w:w="1140" w:type="dxa"/>
            <w:vAlign w:val="bottom"/>
          </w:tcPr>
          <w:p>
            <w:pPr>
              <w:spacing w:after="0"/>
              <w:rPr>
                <w:sz w:val="17"/>
                <w:szCs w:val="17"/>
                <w:color w:val="auto"/>
              </w:rPr>
            </w:pPr>
          </w:p>
        </w:tc>
        <w:tc>
          <w:tcPr>
            <w:tcW w:w="4240" w:type="dxa"/>
            <w:vAlign w:val="bottom"/>
            <w:tcBorders>
              <w:bottom w:val="single" w:sz="8" w:color="0563C1"/>
            </w:tcBorders>
            <w:gridSpan w:val="12"/>
          </w:tcPr>
          <w:p>
            <w:pPr>
              <w:spacing w:after="0" w:line="196" w:lineRule="exact"/>
              <w:rPr>
                <w:rFonts w:ascii="Times New Roman" w:cs="Times New Roman" w:eastAsia="Times New Roman" w:hAnsi="Times New Roman"/>
                <w:sz w:val="18"/>
                <w:szCs w:val="18"/>
                <w:color w:val="0563C1"/>
              </w:rPr>
            </w:pPr>
            <w:hyperlink r:id="rId434">
              <w:r>
                <w:rPr>
                  <w:rFonts w:ascii="Times New Roman" w:cs="Times New Roman" w:eastAsia="Times New Roman" w:hAnsi="Times New Roman"/>
                  <w:sz w:val="18"/>
                  <w:szCs w:val="18"/>
                  <w:color w:val="0563C1"/>
                </w:rPr>
                <w:t>and between the registrant, Repare Therapeutics USA Inc.</w:t>
              </w:r>
            </w:hyperlink>
          </w:p>
        </w:tc>
        <w:tc>
          <w:tcPr>
            <w:tcW w:w="24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563C1"/>
            </w:tcBorders>
            <w:gridSpan w:val="10"/>
          </w:tcPr>
          <w:p>
            <w:pPr>
              <w:spacing w:after="0" w:line="196" w:lineRule="exact"/>
              <w:rPr>
                <w:rFonts w:ascii="Times New Roman" w:cs="Times New Roman" w:eastAsia="Times New Roman" w:hAnsi="Times New Roman"/>
                <w:sz w:val="18"/>
                <w:szCs w:val="18"/>
                <w:color w:val="0563C1"/>
                <w:w w:val="99"/>
              </w:rPr>
            </w:pPr>
            <w:hyperlink r:id="rId434">
              <w:r>
                <w:rPr>
                  <w:rFonts w:ascii="Times New Roman" w:cs="Times New Roman" w:eastAsia="Times New Roman" w:hAnsi="Times New Roman"/>
                  <w:sz w:val="18"/>
                  <w:szCs w:val="18"/>
                  <w:color w:val="0563C1"/>
                  <w:w w:val="99"/>
                </w:rPr>
                <w:t>and Bristol-Myers Squibb Company, dated July 22, 2020.</w:t>
              </w:r>
            </w:hyperlink>
          </w:p>
        </w:tc>
        <w:tc>
          <w:tcPr>
            <w:tcW w:w="320" w:type="dxa"/>
            <w:vAlign w:val="bottom"/>
            <w:gridSpan w:val="11"/>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480" w:type="dxa"/>
            <w:vAlign w:val="bottom"/>
            <w:tcBorders>
              <w:bottom w:val="single" w:sz="8" w:color="0563C1"/>
            </w:tcBorders>
            <w:gridSpan w:val="21"/>
          </w:tcPr>
          <w:p>
            <w:pPr>
              <w:spacing w:after="0"/>
              <w:rPr>
                <w:rFonts w:ascii="Times New Roman" w:cs="Times New Roman" w:eastAsia="Times New Roman" w:hAnsi="Times New Roman"/>
                <w:sz w:val="18"/>
                <w:szCs w:val="18"/>
                <w:color w:val="0563C1"/>
              </w:rPr>
            </w:pPr>
            <w:hyperlink r:id="rId435">
              <w:r>
                <w:rPr>
                  <w:rFonts w:ascii="Times New Roman" w:cs="Times New Roman" w:eastAsia="Times New Roman" w:hAnsi="Times New Roman"/>
                  <w:sz w:val="18"/>
                  <w:szCs w:val="18"/>
                  <w:color w:val="0563C1"/>
                </w:rPr>
                <w:t>Second Amendment to Collaboration and License Agreement</w:t>
              </w:r>
            </w:hyperlink>
          </w:p>
        </w:tc>
      </w:tr>
      <w:tr>
        <w:trPr>
          <w:trHeight w:val="196"/>
        </w:trPr>
        <w:tc>
          <w:tcPr>
            <w:tcW w:w="1140" w:type="dxa"/>
            <w:vAlign w:val="bottom"/>
          </w:tcPr>
          <w:p>
            <w:pPr>
              <w:spacing w:after="0"/>
              <w:rPr>
                <w:sz w:val="17"/>
                <w:szCs w:val="17"/>
                <w:color w:val="auto"/>
              </w:rPr>
            </w:pPr>
          </w:p>
        </w:tc>
        <w:tc>
          <w:tcPr>
            <w:tcW w:w="4480" w:type="dxa"/>
            <w:vAlign w:val="bottom"/>
            <w:tcBorders>
              <w:bottom w:val="single" w:sz="8" w:color="0563C1"/>
            </w:tcBorders>
            <w:gridSpan w:val="21"/>
          </w:tcPr>
          <w:p>
            <w:pPr>
              <w:spacing w:after="0" w:line="196" w:lineRule="exact"/>
              <w:rPr>
                <w:rFonts w:ascii="Times New Roman" w:cs="Times New Roman" w:eastAsia="Times New Roman" w:hAnsi="Times New Roman"/>
                <w:sz w:val="18"/>
                <w:szCs w:val="18"/>
                <w:color w:val="0563C1"/>
              </w:rPr>
            </w:pPr>
            <w:hyperlink r:id="rId435">
              <w:r>
                <w:rPr>
                  <w:rFonts w:ascii="Times New Roman" w:cs="Times New Roman" w:eastAsia="Times New Roman" w:hAnsi="Times New Roman"/>
                  <w:sz w:val="18"/>
                  <w:szCs w:val="18"/>
                  <w:color w:val="0563C1"/>
                </w:rPr>
                <w:t>by and between the registrant, Repare Therapeutics USA Inc.</w:t>
              </w:r>
            </w:hyperlink>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5">
              <w:r>
                <w:rPr>
                  <w:rFonts w:ascii="Times New Roman" w:cs="Times New Roman" w:eastAsia="Times New Roman" w:hAnsi="Times New Roman"/>
                  <w:sz w:val="18"/>
                  <w:szCs w:val="18"/>
                  <w:color w:val="0563C1"/>
                </w:rPr>
                <w:t>and Bristol-Myers Squibb Company, dated September 24,</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563C1"/>
              <w:bottom w:val="single" w:sz="8" w:color="0563C1"/>
            </w:tcBorders>
          </w:tcPr>
          <w:p>
            <w:pPr>
              <w:spacing w:after="0" w:line="196" w:lineRule="exact"/>
              <w:rPr>
                <w:rFonts w:ascii="Times New Roman" w:cs="Times New Roman" w:eastAsia="Times New Roman" w:hAnsi="Times New Roman"/>
                <w:sz w:val="18"/>
                <w:szCs w:val="18"/>
                <w:color w:val="0563C1"/>
                <w:w w:val="98"/>
              </w:rPr>
            </w:pPr>
            <w:hyperlink r:id="rId435">
              <w:r>
                <w:rPr>
                  <w:rFonts w:ascii="Times New Roman" w:cs="Times New Roman" w:eastAsia="Times New Roman" w:hAnsi="Times New Roman"/>
                  <w:sz w:val="18"/>
                  <w:szCs w:val="18"/>
                  <w:color w:val="0563C1"/>
                  <w:w w:val="98"/>
                </w:rPr>
                <w:t>2020.</w:t>
              </w:r>
            </w:hyperlink>
          </w:p>
        </w:tc>
        <w:tc>
          <w:tcPr>
            <w:tcW w:w="26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560" w:type="dxa"/>
            <w:vAlign w:val="bottom"/>
            <w:tcBorders>
              <w:top w:val="single" w:sz="8" w:color="0563C1"/>
            </w:tcBorders>
          </w:tcPr>
          <w:p>
            <w:pPr>
              <w:spacing w:after="0"/>
              <w:rPr>
                <w:sz w:val="17"/>
                <w:szCs w:val="17"/>
                <w:color w:val="auto"/>
              </w:rPr>
            </w:pPr>
          </w:p>
        </w:tc>
        <w:tc>
          <w:tcPr>
            <w:tcW w:w="860" w:type="dxa"/>
            <w:vAlign w:val="bottom"/>
            <w:tcBorders>
              <w:top w:val="single" w:sz="8" w:color="0563C1"/>
            </w:tcBorders>
          </w:tcPr>
          <w:p>
            <w:pPr>
              <w:spacing w:after="0"/>
              <w:rPr>
                <w:sz w:val="17"/>
                <w:szCs w:val="17"/>
                <w:color w:val="auto"/>
              </w:rPr>
            </w:pPr>
          </w:p>
        </w:tc>
        <w:tc>
          <w:tcPr>
            <w:tcW w:w="54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460" w:type="dxa"/>
            <w:vAlign w:val="bottom"/>
            <w:tcBorders>
              <w:bottom w:val="single" w:sz="8" w:color="0563C1"/>
            </w:tcBorders>
            <w:gridSpan w:val="20"/>
          </w:tcPr>
          <w:p>
            <w:pPr>
              <w:spacing w:after="0"/>
              <w:rPr>
                <w:rFonts w:ascii="Times New Roman" w:cs="Times New Roman" w:eastAsia="Times New Roman" w:hAnsi="Times New Roman"/>
                <w:sz w:val="18"/>
                <w:szCs w:val="18"/>
                <w:color w:val="0563C1"/>
              </w:rPr>
            </w:pPr>
            <w:hyperlink r:id="rId436">
              <w:r>
                <w:rPr>
                  <w:rFonts w:ascii="Times New Roman" w:cs="Times New Roman" w:eastAsia="Times New Roman" w:hAnsi="Times New Roman"/>
                  <w:sz w:val="18"/>
                  <w:szCs w:val="18"/>
                  <w:color w:val="0563C1"/>
                </w:rPr>
                <w:t>Second Amendment to Lease Agreement by and between the</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6">
              <w:r>
                <w:rPr>
                  <w:rFonts w:ascii="Times New Roman" w:cs="Times New Roman" w:eastAsia="Times New Roman" w:hAnsi="Times New Roman"/>
                  <w:sz w:val="18"/>
                  <w:szCs w:val="18"/>
                  <w:color w:val="0563C1"/>
                </w:rPr>
                <w:t>registrant, the registrant and NEOMED Institute, dated June</w:t>
              </w:r>
            </w:hyperlink>
          </w:p>
        </w:tc>
      </w:tr>
      <w:tr>
        <w:trPr>
          <w:trHeight w:val="196"/>
        </w:trPr>
        <w:tc>
          <w:tcPr>
            <w:tcW w:w="1140" w:type="dxa"/>
            <w:vAlign w:val="bottom"/>
          </w:tcPr>
          <w:p>
            <w:pPr>
              <w:spacing w:after="0"/>
              <w:rPr>
                <w:sz w:val="17"/>
                <w:szCs w:val="17"/>
                <w:color w:val="auto"/>
              </w:rPr>
            </w:pPr>
          </w:p>
        </w:tc>
        <w:tc>
          <w:tcPr>
            <w:tcW w:w="680" w:type="dxa"/>
            <w:vAlign w:val="bottom"/>
            <w:tcBorders>
              <w:top w:val="single" w:sz="8" w:color="0563C1"/>
              <w:bottom w:val="single" w:sz="8" w:color="0563C1"/>
            </w:tcBorders>
            <w:gridSpan w:val="2"/>
          </w:tcPr>
          <w:p>
            <w:pPr>
              <w:spacing w:after="0" w:line="196" w:lineRule="exact"/>
              <w:rPr>
                <w:rFonts w:ascii="Times New Roman" w:cs="Times New Roman" w:eastAsia="Times New Roman" w:hAnsi="Times New Roman"/>
                <w:sz w:val="18"/>
                <w:szCs w:val="18"/>
                <w:color w:val="0563C1"/>
                <w:w w:val="97"/>
              </w:rPr>
            </w:pPr>
            <w:hyperlink r:id="rId436">
              <w:r>
                <w:rPr>
                  <w:rFonts w:ascii="Times New Roman" w:cs="Times New Roman" w:eastAsia="Times New Roman" w:hAnsi="Times New Roman"/>
                  <w:sz w:val="18"/>
                  <w:szCs w:val="18"/>
                  <w:color w:val="0563C1"/>
                  <w:w w:val="97"/>
                </w:rPr>
                <w:t>11, 2020.</w:t>
              </w:r>
            </w:hyperlink>
          </w:p>
        </w:tc>
        <w:tc>
          <w:tcPr>
            <w:tcW w:w="28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560" w:type="dxa"/>
            <w:vAlign w:val="bottom"/>
            <w:tcBorders>
              <w:top w:val="single" w:sz="8" w:color="0563C1"/>
            </w:tcBorders>
          </w:tcPr>
          <w:p>
            <w:pPr>
              <w:spacing w:after="0"/>
              <w:rPr>
                <w:sz w:val="17"/>
                <w:szCs w:val="17"/>
                <w:color w:val="auto"/>
              </w:rPr>
            </w:pPr>
          </w:p>
        </w:tc>
        <w:tc>
          <w:tcPr>
            <w:tcW w:w="860" w:type="dxa"/>
            <w:vAlign w:val="bottom"/>
            <w:tcBorders>
              <w:top w:val="single" w:sz="8" w:color="0563C1"/>
            </w:tcBorders>
          </w:tcPr>
          <w:p>
            <w:pPr>
              <w:spacing w:after="0"/>
              <w:rPr>
                <w:sz w:val="17"/>
                <w:szCs w:val="17"/>
                <w:color w:val="auto"/>
              </w:rPr>
            </w:pPr>
          </w:p>
        </w:tc>
        <w:tc>
          <w:tcPr>
            <w:tcW w:w="54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380" w:type="dxa"/>
            <w:vAlign w:val="bottom"/>
            <w:tcBorders>
              <w:bottom w:val="single" w:sz="8" w:color="0563C1"/>
            </w:tcBorders>
            <w:gridSpan w:val="17"/>
          </w:tcPr>
          <w:p>
            <w:pPr>
              <w:spacing w:after="0"/>
              <w:rPr>
                <w:rFonts w:ascii="Times New Roman" w:cs="Times New Roman" w:eastAsia="Times New Roman" w:hAnsi="Times New Roman"/>
                <w:sz w:val="18"/>
                <w:szCs w:val="18"/>
                <w:color w:val="0563C1"/>
              </w:rPr>
            </w:pPr>
            <w:hyperlink r:id="rId437">
              <w:r>
                <w:rPr>
                  <w:rFonts w:ascii="Times New Roman" w:cs="Times New Roman" w:eastAsia="Times New Roman" w:hAnsi="Times New Roman"/>
                  <w:sz w:val="18"/>
                  <w:szCs w:val="18"/>
                  <w:color w:val="0563C1"/>
                </w:rPr>
                <w:t>Third Amendment to Collaboration and License Agreement</w:t>
              </w:r>
            </w:hyperlink>
          </w:p>
        </w:tc>
        <w:tc>
          <w:tcPr>
            <w:tcW w:w="1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tcBorders>
              <w:bottom w:val="single" w:sz="8" w:color="0563C1"/>
            </w:tcBorders>
            <w:gridSpan w:val="21"/>
          </w:tcPr>
          <w:p>
            <w:pPr>
              <w:spacing w:after="0" w:line="196" w:lineRule="exact"/>
              <w:rPr>
                <w:rFonts w:ascii="Times New Roman" w:cs="Times New Roman" w:eastAsia="Times New Roman" w:hAnsi="Times New Roman"/>
                <w:sz w:val="18"/>
                <w:szCs w:val="18"/>
                <w:color w:val="0563C1"/>
              </w:rPr>
            </w:pPr>
            <w:hyperlink r:id="rId437">
              <w:r>
                <w:rPr>
                  <w:rFonts w:ascii="Times New Roman" w:cs="Times New Roman" w:eastAsia="Times New Roman" w:hAnsi="Times New Roman"/>
                  <w:sz w:val="18"/>
                  <w:szCs w:val="18"/>
                  <w:color w:val="0563C1"/>
                </w:rPr>
                <w:t>by and between the registrant, Repare Therapeutics USA Inc.</w:t>
              </w:r>
            </w:hyperlink>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7">
              <w:r>
                <w:rPr>
                  <w:rFonts w:ascii="Times New Roman" w:cs="Times New Roman" w:eastAsia="Times New Roman" w:hAnsi="Times New Roman"/>
                  <w:sz w:val="18"/>
                  <w:szCs w:val="18"/>
                  <w:color w:val="0563C1"/>
                </w:rPr>
                <w:t>and Bristol-Myers Squibb Company, dated November 20,</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563C1"/>
              <w:bottom w:val="single" w:sz="8" w:color="0563C1"/>
            </w:tcBorders>
          </w:tcPr>
          <w:p>
            <w:pPr>
              <w:spacing w:after="0" w:line="196" w:lineRule="exact"/>
              <w:rPr>
                <w:rFonts w:ascii="Times New Roman" w:cs="Times New Roman" w:eastAsia="Times New Roman" w:hAnsi="Times New Roman"/>
                <w:sz w:val="18"/>
                <w:szCs w:val="18"/>
                <w:color w:val="0563C1"/>
                <w:w w:val="98"/>
              </w:rPr>
            </w:pPr>
            <w:hyperlink r:id="rId437">
              <w:r>
                <w:rPr>
                  <w:rFonts w:ascii="Times New Roman" w:cs="Times New Roman" w:eastAsia="Times New Roman" w:hAnsi="Times New Roman"/>
                  <w:sz w:val="18"/>
                  <w:szCs w:val="18"/>
                  <w:color w:val="0563C1"/>
                  <w:w w:val="98"/>
                </w:rPr>
                <w:t>2020.</w:t>
              </w:r>
            </w:hyperlink>
          </w:p>
        </w:tc>
        <w:tc>
          <w:tcPr>
            <w:tcW w:w="260" w:type="dxa"/>
            <w:vAlign w:val="bottom"/>
            <w:tcBorders>
              <w:top w:val="single" w:sz="8" w:color="0563C1"/>
            </w:tcBorders>
          </w:tcPr>
          <w:p>
            <w:pPr>
              <w:spacing w:after="0"/>
              <w:rPr>
                <w:sz w:val="17"/>
                <w:szCs w:val="17"/>
                <w:color w:val="auto"/>
              </w:rPr>
            </w:pPr>
          </w:p>
        </w:tc>
        <w:tc>
          <w:tcPr>
            <w:tcW w:w="280" w:type="dxa"/>
            <w:vAlign w:val="bottom"/>
            <w:tcBorders>
              <w:top w:val="single" w:sz="8" w:color="0563C1"/>
            </w:tcBorders>
          </w:tcPr>
          <w:p>
            <w:pPr>
              <w:spacing w:after="0"/>
              <w:rPr>
                <w:sz w:val="17"/>
                <w:szCs w:val="17"/>
                <w:color w:val="auto"/>
              </w:rPr>
            </w:pPr>
          </w:p>
        </w:tc>
        <w:tc>
          <w:tcPr>
            <w:tcW w:w="440" w:type="dxa"/>
            <w:vAlign w:val="bottom"/>
            <w:tcBorders>
              <w:top w:val="single" w:sz="8" w:color="0563C1"/>
            </w:tcBorders>
          </w:tcPr>
          <w:p>
            <w:pPr>
              <w:spacing w:after="0"/>
              <w:rPr>
                <w:sz w:val="17"/>
                <w:szCs w:val="17"/>
                <w:color w:val="auto"/>
              </w:rPr>
            </w:pPr>
          </w:p>
        </w:tc>
        <w:tc>
          <w:tcPr>
            <w:tcW w:w="560" w:type="dxa"/>
            <w:vAlign w:val="bottom"/>
            <w:tcBorders>
              <w:top w:val="single" w:sz="8" w:color="0563C1"/>
            </w:tcBorders>
          </w:tcPr>
          <w:p>
            <w:pPr>
              <w:spacing w:after="0"/>
              <w:rPr>
                <w:sz w:val="17"/>
                <w:szCs w:val="17"/>
                <w:color w:val="auto"/>
              </w:rPr>
            </w:pPr>
          </w:p>
        </w:tc>
        <w:tc>
          <w:tcPr>
            <w:tcW w:w="860" w:type="dxa"/>
            <w:vAlign w:val="bottom"/>
            <w:tcBorders>
              <w:top w:val="single" w:sz="8" w:color="0563C1"/>
            </w:tcBorders>
          </w:tcPr>
          <w:p>
            <w:pPr>
              <w:spacing w:after="0"/>
              <w:rPr>
                <w:sz w:val="17"/>
                <w:szCs w:val="17"/>
                <w:color w:val="auto"/>
              </w:rPr>
            </w:pPr>
          </w:p>
        </w:tc>
        <w:tc>
          <w:tcPr>
            <w:tcW w:w="54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780" w:type="dxa"/>
            <w:vAlign w:val="bottom"/>
            <w:tcBorders>
              <w:bottom w:val="single" w:sz="8" w:color="0563C1"/>
            </w:tcBorders>
            <w:gridSpan w:val="8"/>
          </w:tcPr>
          <w:p>
            <w:pPr>
              <w:spacing w:after="0"/>
              <w:rPr>
                <w:rFonts w:ascii="Times New Roman" w:cs="Times New Roman" w:eastAsia="Times New Roman" w:hAnsi="Times New Roman"/>
                <w:sz w:val="18"/>
                <w:szCs w:val="18"/>
                <w:color w:val="0563C1"/>
              </w:rPr>
            </w:pPr>
            <w:hyperlink r:id="rId438">
              <w:r>
                <w:rPr>
                  <w:rFonts w:ascii="Times New Roman" w:cs="Times New Roman" w:eastAsia="Times New Roman" w:hAnsi="Times New Roman"/>
                  <w:sz w:val="18"/>
                  <w:szCs w:val="18"/>
                  <w:color w:val="0563C1"/>
                </w:rPr>
                <w:t>Addendum to Lease Agreement by and between the</w:t>
              </w:r>
            </w:hyperlink>
          </w:p>
        </w:tc>
        <w:tc>
          <w:tcPr>
            <w:tcW w:w="70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563C1"/>
            </w:tcBorders>
            <w:gridSpan w:val="19"/>
          </w:tcPr>
          <w:p>
            <w:pPr>
              <w:spacing w:after="0" w:line="196" w:lineRule="exact"/>
              <w:rPr>
                <w:rFonts w:ascii="Times New Roman" w:cs="Times New Roman" w:eastAsia="Times New Roman" w:hAnsi="Times New Roman"/>
                <w:sz w:val="18"/>
                <w:szCs w:val="18"/>
                <w:color w:val="0563C1"/>
              </w:rPr>
            </w:pPr>
            <w:hyperlink r:id="rId438">
              <w:r>
                <w:rPr>
                  <w:rFonts w:ascii="Times New Roman" w:cs="Times New Roman" w:eastAsia="Times New Roman" w:hAnsi="Times New Roman"/>
                  <w:sz w:val="18"/>
                  <w:szCs w:val="18"/>
                  <w:color w:val="0563C1"/>
                </w:rPr>
                <w:t>registrant, Repare Therapeutics Inc. and NEOMED Institute,</w:t>
              </w:r>
            </w:hyperlink>
          </w:p>
        </w:tc>
        <w:tc>
          <w:tcPr>
            <w:tcW w:w="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8">
              <w:r>
                <w:rPr>
                  <w:rFonts w:ascii="Times New Roman" w:cs="Times New Roman" w:eastAsia="Times New Roman" w:hAnsi="Times New Roman"/>
                  <w:sz w:val="18"/>
                  <w:szCs w:val="18"/>
                  <w:color w:val="0563C1"/>
                </w:rPr>
                <w:t>dated June 1, 2021.</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563C1"/>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320" w:type="dxa"/>
            <w:vAlign w:val="bottom"/>
            <w:tcBorders>
              <w:bottom w:val="single" w:sz="8" w:color="0563C1"/>
            </w:tcBorders>
            <w:gridSpan w:val="14"/>
          </w:tcPr>
          <w:p>
            <w:pPr>
              <w:spacing w:after="0"/>
              <w:rPr>
                <w:rFonts w:ascii="Times New Roman" w:cs="Times New Roman" w:eastAsia="Times New Roman" w:hAnsi="Times New Roman"/>
                <w:sz w:val="18"/>
                <w:szCs w:val="18"/>
                <w:color w:val="0563C1"/>
              </w:rPr>
            </w:pPr>
            <w:hyperlink r:id="rId439">
              <w:r>
                <w:rPr>
                  <w:rFonts w:ascii="Times New Roman" w:cs="Times New Roman" w:eastAsia="Times New Roman" w:hAnsi="Times New Roman"/>
                  <w:sz w:val="18"/>
                  <w:szCs w:val="18"/>
                  <w:color w:val="0563C1"/>
                </w:rPr>
                <w:t>Third Amendment to Lease Agreement by and between the</w:t>
              </w:r>
            </w:hyperlink>
          </w:p>
        </w:tc>
        <w:tc>
          <w:tcPr>
            <w:tcW w:w="1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563C1"/>
            </w:tcBorders>
            <w:gridSpan w:val="19"/>
          </w:tcPr>
          <w:p>
            <w:pPr>
              <w:spacing w:after="0" w:line="196" w:lineRule="exact"/>
              <w:rPr>
                <w:rFonts w:ascii="Times New Roman" w:cs="Times New Roman" w:eastAsia="Times New Roman" w:hAnsi="Times New Roman"/>
                <w:sz w:val="18"/>
                <w:szCs w:val="18"/>
                <w:color w:val="0563C1"/>
              </w:rPr>
            </w:pPr>
            <w:hyperlink r:id="rId439">
              <w:r>
                <w:rPr>
                  <w:rFonts w:ascii="Times New Roman" w:cs="Times New Roman" w:eastAsia="Times New Roman" w:hAnsi="Times New Roman"/>
                  <w:sz w:val="18"/>
                  <w:szCs w:val="18"/>
                  <w:color w:val="0563C1"/>
                </w:rPr>
                <w:t>registrant, Repare Therapeutics Inc. and NEOMED Institute,</w:t>
              </w:r>
            </w:hyperlink>
          </w:p>
        </w:tc>
        <w:tc>
          <w:tcPr>
            <w:tcW w:w="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39">
              <w:r>
                <w:rPr>
                  <w:rFonts w:ascii="Times New Roman" w:cs="Times New Roman" w:eastAsia="Times New Roman" w:hAnsi="Times New Roman"/>
                  <w:sz w:val="18"/>
                  <w:szCs w:val="18"/>
                  <w:color w:val="0563C1"/>
                </w:rPr>
                <w:t>dated June 1, 2021.</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4"/>
            <w:shd w:val="clear" w:color="auto" w:fill="0563C1"/>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400" w:type="dxa"/>
            <w:vAlign w:val="bottom"/>
            <w:tcBorders>
              <w:bottom w:val="single" w:sz="8" w:color="0563C1"/>
            </w:tcBorders>
            <w:gridSpan w:val="18"/>
          </w:tcPr>
          <w:p>
            <w:pPr>
              <w:spacing w:after="0"/>
              <w:rPr>
                <w:rFonts w:ascii="Times New Roman" w:cs="Times New Roman" w:eastAsia="Times New Roman" w:hAnsi="Times New Roman"/>
                <w:sz w:val="18"/>
                <w:szCs w:val="18"/>
                <w:color w:val="0563C1"/>
              </w:rPr>
            </w:pPr>
            <w:hyperlink r:id="rId440">
              <w:r>
                <w:rPr>
                  <w:rFonts w:ascii="Times New Roman" w:cs="Times New Roman" w:eastAsia="Times New Roman" w:hAnsi="Times New Roman"/>
                  <w:sz w:val="18"/>
                  <w:szCs w:val="18"/>
                  <w:color w:val="0563C1"/>
                </w:rPr>
                <w:t>Fourth Amendment to Lease Agreement by and between the</w:t>
              </w:r>
            </w:hyperlink>
          </w:p>
        </w:tc>
        <w:tc>
          <w:tcPr>
            <w:tcW w:w="8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563C1"/>
            </w:tcBorders>
            <w:gridSpan w:val="16"/>
          </w:tcPr>
          <w:p>
            <w:pPr>
              <w:spacing w:after="0" w:line="196" w:lineRule="exact"/>
              <w:rPr>
                <w:rFonts w:ascii="Times New Roman" w:cs="Times New Roman" w:eastAsia="Times New Roman" w:hAnsi="Times New Roman"/>
                <w:sz w:val="18"/>
                <w:szCs w:val="18"/>
                <w:color w:val="0563C1"/>
              </w:rPr>
            </w:pPr>
            <w:hyperlink r:id="rId440">
              <w:r>
                <w:rPr>
                  <w:rFonts w:ascii="Times New Roman" w:cs="Times New Roman" w:eastAsia="Times New Roman" w:hAnsi="Times New Roman"/>
                  <w:sz w:val="18"/>
                  <w:szCs w:val="18"/>
                  <w:color w:val="0563C1"/>
                </w:rPr>
                <w:t>registrant, Repare Therapeutics Inc. and The Manufacturers</w:t>
              </w:r>
            </w:hyperlink>
          </w:p>
        </w:tc>
        <w:tc>
          <w:tcPr>
            <w:tcW w:w="1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1"/>
          </w:tcPr>
          <w:p>
            <w:pPr>
              <w:spacing w:after="0" w:line="196" w:lineRule="exact"/>
              <w:rPr>
                <w:rFonts w:ascii="Times New Roman" w:cs="Times New Roman" w:eastAsia="Times New Roman" w:hAnsi="Times New Roman"/>
                <w:sz w:val="18"/>
                <w:szCs w:val="18"/>
                <w:color w:val="0563C1"/>
              </w:rPr>
            </w:pPr>
            <w:hyperlink r:id="rId440">
              <w:r>
                <w:rPr>
                  <w:rFonts w:ascii="Times New Roman" w:cs="Times New Roman" w:eastAsia="Times New Roman" w:hAnsi="Times New Roman"/>
                  <w:sz w:val="18"/>
                  <w:szCs w:val="18"/>
                  <w:color w:val="0563C1"/>
                </w:rPr>
                <w:t>Life Insurance Company, dated June 22, 2021.</w:t>
              </w:r>
            </w:hyperlink>
          </w:p>
        </w:tc>
      </w:tr>
      <w:tr>
        <w:trPr>
          <w:trHeight w:val="20"/>
        </w:trPr>
        <w:tc>
          <w:tcPr>
            <w:tcW w:w="1140" w:type="dxa"/>
            <w:vAlign w:val="bottom"/>
          </w:tcPr>
          <w:p>
            <w:pPr>
              <w:spacing w:after="0" w:line="20" w:lineRule="exact"/>
              <w:rPr>
                <w:sz w:val="1"/>
                <w:szCs w:val="1"/>
                <w:color w:val="auto"/>
              </w:rPr>
            </w:pPr>
          </w:p>
        </w:tc>
        <w:tc>
          <w:tcPr>
            <w:tcW w:w="3360" w:type="dxa"/>
            <w:vAlign w:val="bottom"/>
            <w:gridSpan w:val="7"/>
            <w:shd w:val="clear" w:color="auto" w:fill="0563C1"/>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080" w:type="dxa"/>
            <w:vAlign w:val="bottom"/>
            <w:tcBorders>
              <w:bottom w:val="single" w:sz="8" w:color="0563C1"/>
            </w:tcBorders>
            <w:gridSpan w:val="9"/>
          </w:tcPr>
          <w:p>
            <w:pPr>
              <w:spacing w:after="0"/>
              <w:rPr>
                <w:rFonts w:ascii="Times New Roman" w:cs="Times New Roman" w:eastAsia="Times New Roman" w:hAnsi="Times New Roman"/>
                <w:sz w:val="18"/>
                <w:szCs w:val="18"/>
                <w:color w:val="0563C1"/>
              </w:rPr>
            </w:pPr>
            <w:hyperlink r:id="rId441">
              <w:r>
                <w:rPr>
                  <w:rFonts w:ascii="Times New Roman" w:cs="Times New Roman" w:eastAsia="Times New Roman" w:hAnsi="Times New Roman"/>
                  <w:sz w:val="18"/>
                  <w:szCs w:val="18"/>
                  <w:color w:val="0563C1"/>
                </w:rPr>
                <w:t>Lease Agreement by and between the registrant, Repare</w:t>
              </w:r>
            </w:hyperlink>
          </w:p>
        </w:tc>
        <w:tc>
          <w:tcPr>
            <w:tcW w:w="40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563C1"/>
            </w:tcBorders>
            <w:gridSpan w:val="17"/>
          </w:tcPr>
          <w:p>
            <w:pPr>
              <w:spacing w:after="0" w:line="196" w:lineRule="exact"/>
              <w:rPr>
                <w:rFonts w:ascii="Times New Roman" w:cs="Times New Roman" w:eastAsia="Times New Roman" w:hAnsi="Times New Roman"/>
                <w:sz w:val="18"/>
                <w:szCs w:val="18"/>
                <w:color w:val="0563C1"/>
              </w:rPr>
            </w:pPr>
            <w:hyperlink r:id="rId441">
              <w:r>
                <w:rPr>
                  <w:rFonts w:ascii="Times New Roman" w:cs="Times New Roman" w:eastAsia="Times New Roman" w:hAnsi="Times New Roman"/>
                  <w:sz w:val="18"/>
                  <w:szCs w:val="18"/>
                  <w:color w:val="0563C1"/>
                </w:rPr>
                <w:t>Therapeutics Inc. and RREEF America REIT II Corp. PPP ,</w:t>
              </w:r>
            </w:hyperlink>
          </w:p>
        </w:tc>
        <w:tc>
          <w:tcPr>
            <w:tcW w:w="100" w:type="dxa"/>
            <w:vAlign w:val="bottom"/>
            <w:gridSpan w:val="4"/>
          </w:tcPr>
          <w:p>
            <w:pPr>
              <w:spacing w:after="0"/>
              <w:rPr>
                <w:sz w:val="17"/>
                <w:szCs w:val="17"/>
                <w:color w:val="auto"/>
              </w:rPr>
            </w:pPr>
          </w:p>
        </w:tc>
      </w:tr>
    </w:tbl>
    <w:p>
      <w:pPr>
        <w:spacing w:after="0" w:line="9" w:lineRule="exact"/>
        <w:rPr>
          <w:sz w:val="20"/>
          <w:szCs w:val="20"/>
          <w:color w:val="auto"/>
        </w:rPr>
      </w:pPr>
    </w:p>
    <w:p>
      <w:pPr>
        <w:ind w:left="1140"/>
        <w:spacing w:after="0"/>
        <w:rPr>
          <w:rFonts w:ascii="Times New Roman" w:cs="Times New Roman" w:eastAsia="Times New Roman" w:hAnsi="Times New Roman"/>
          <w:sz w:val="18"/>
          <w:szCs w:val="18"/>
          <w:u w:val="single" w:color="auto"/>
          <w:color w:val="0563C1"/>
        </w:rPr>
      </w:pPr>
      <w:hyperlink r:id="rId441">
        <w:r>
          <w:rPr>
            <w:rFonts w:ascii="Times New Roman" w:cs="Times New Roman" w:eastAsia="Times New Roman" w:hAnsi="Times New Roman"/>
            <w:sz w:val="18"/>
            <w:szCs w:val="18"/>
            <w:u w:val="single" w:color="auto"/>
            <w:color w:val="0563C1"/>
          </w:rPr>
          <w:t>dated July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-7620</wp:posOffset>
            </wp:positionV>
            <wp:extent cx="9232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92329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9"/>
                <w:szCs w:val="19"/>
                <w:color w:val="auto"/>
                <w:w w:val="98"/>
              </w:rPr>
              <w:t>10.11</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March 1. 2022</w:t>
            </w:r>
          </w:p>
        </w:tc>
      </w:tr>
      <w:tr>
        <w:trPr>
          <w:trHeight w:val="606"/>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S-1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333-238822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10.14</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June 15, 2020</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S-1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333-238822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10.16</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May 29, 2020</w:t>
            </w:r>
          </w:p>
        </w:tc>
      </w:tr>
      <w:tr>
        <w:trPr>
          <w:trHeight w:val="608"/>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S-1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333-238822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10.17</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May 29, 2020</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August 13, 2020</w:t>
            </w:r>
          </w:p>
        </w:tc>
      </w:tr>
      <w:tr>
        <w:trPr>
          <w:trHeight w:val="805"/>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333-238822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November 12,</w:t>
            </w:r>
          </w:p>
        </w:tc>
      </w:tr>
      <w:tr>
        <w:trPr>
          <w:trHeight w:val="234"/>
        </w:trPr>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805"/>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333-238822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November 12,</w:t>
            </w:r>
          </w:p>
        </w:tc>
      </w:tr>
      <w:tr>
        <w:trPr>
          <w:trHeight w:val="234"/>
        </w:trPr>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607"/>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10.20</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March 4, 2021</w:t>
            </w:r>
          </w:p>
        </w:tc>
      </w:tr>
      <w:tr>
        <w:trPr>
          <w:trHeight w:val="1040"/>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August 12, 2021</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August 12, 2021</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August 12, 2021</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10.4</w:t>
            </w:r>
          </w:p>
        </w:tc>
        <w:tc>
          <w:tcPr>
            <w:tcW w:w="14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August 12, 2021</w:t>
            </w:r>
          </w:p>
        </w:tc>
      </w:tr>
    </w:tbl>
    <w:p>
      <w:pPr>
        <w:sectPr>
          <w:pgSz w:w="11900" w:h="16838" w:orient="portrait"/>
          <w:cols w:equalWidth="0" w:num="2">
            <w:col w:w="5740" w:space="340"/>
            <w:col w:w="5000"/>
          </w:cols>
          <w:pgMar w:left="340" w:top="1418" w:right="47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280" w:type="dxa"/>
            <w:vAlign w:val="bottom"/>
            <w:tcBorders>
              <w:bottom w:val="single" w:sz="8" w:color="0563C1"/>
            </w:tcBorders>
            <w:gridSpan w:val="16"/>
          </w:tcPr>
          <w:p>
            <w:pPr>
              <w:spacing w:after="0"/>
              <w:rPr>
                <w:rFonts w:ascii="Times New Roman" w:cs="Times New Roman" w:eastAsia="Times New Roman" w:hAnsi="Times New Roman"/>
                <w:sz w:val="18"/>
                <w:szCs w:val="18"/>
                <w:color w:val="0563C1"/>
              </w:rPr>
            </w:pPr>
            <w:hyperlink r:id="rId444">
              <w:r>
                <w:rPr>
                  <w:rFonts w:ascii="Times New Roman" w:cs="Times New Roman" w:eastAsia="Times New Roman" w:hAnsi="Times New Roman"/>
                  <w:sz w:val="18"/>
                  <w:szCs w:val="18"/>
                  <w:color w:val="0563C1"/>
                </w:rPr>
                <w:t>Fifth Amendment to Lease Agreement by and between the</w:t>
              </w:r>
            </w:hyperlink>
          </w:p>
        </w:tc>
        <w:tc>
          <w:tcPr>
            <w:tcW w:w="20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563C1"/>
            </w:tcBorders>
            <w:gridSpan w:val="20"/>
          </w:tcPr>
          <w:p>
            <w:pPr>
              <w:spacing w:after="0" w:line="196" w:lineRule="exact"/>
              <w:rPr>
                <w:rFonts w:ascii="Times New Roman" w:cs="Times New Roman" w:eastAsia="Times New Roman" w:hAnsi="Times New Roman"/>
                <w:sz w:val="18"/>
                <w:szCs w:val="18"/>
                <w:color w:val="0563C1"/>
              </w:rPr>
            </w:pPr>
            <w:hyperlink r:id="rId444">
              <w:r>
                <w:rPr>
                  <w:rFonts w:ascii="Times New Roman" w:cs="Times New Roman" w:eastAsia="Times New Roman" w:hAnsi="Times New Roman"/>
                  <w:sz w:val="18"/>
                  <w:szCs w:val="18"/>
                  <w:color w:val="0563C1"/>
                </w:rPr>
                <w:t>registrant, Repare Therapeutics Inc. and The Manufacturers</w:t>
              </w:r>
            </w:hyperlink>
          </w:p>
        </w:tc>
        <w:tc>
          <w:tcPr>
            <w:tcW w:w="12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563C1"/>
              </w:rPr>
            </w:pPr>
            <w:hyperlink r:id="rId444">
              <w:r>
                <w:rPr>
                  <w:rFonts w:ascii="Times New Roman" w:cs="Times New Roman" w:eastAsia="Times New Roman" w:hAnsi="Times New Roman"/>
                  <w:sz w:val="18"/>
                  <w:szCs w:val="18"/>
                  <w:color w:val="0563C1"/>
                </w:rPr>
                <w:t>Life Insurance Company, dated January 17, 2022.</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6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440" w:type="dxa"/>
            <w:vAlign w:val="bottom"/>
            <w:tcBorders>
              <w:bottom w:val="single" w:sz="8" w:color="0563C1"/>
            </w:tcBorders>
            <w:gridSpan w:val="24"/>
          </w:tcPr>
          <w:p>
            <w:pPr>
              <w:spacing w:after="0"/>
              <w:rPr>
                <w:rFonts w:ascii="Times New Roman" w:cs="Times New Roman" w:eastAsia="Times New Roman" w:hAnsi="Times New Roman"/>
                <w:sz w:val="18"/>
                <w:szCs w:val="18"/>
                <w:color w:val="0563C1"/>
              </w:rPr>
            </w:pPr>
            <w:hyperlink r:id="rId445">
              <w:r>
                <w:rPr>
                  <w:rFonts w:ascii="Times New Roman" w:cs="Times New Roman" w:eastAsia="Times New Roman" w:hAnsi="Times New Roman"/>
                  <w:sz w:val="18"/>
                  <w:szCs w:val="18"/>
                  <w:color w:val="0563C1"/>
                </w:rPr>
                <w:t>Commencement Date Memorandum to the Lease Agreement</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563C1"/>
            </w:tcBorders>
            <w:gridSpan w:val="21"/>
          </w:tcPr>
          <w:p>
            <w:pPr>
              <w:spacing w:after="0" w:line="196" w:lineRule="exact"/>
              <w:rPr>
                <w:rFonts w:ascii="Times New Roman" w:cs="Times New Roman" w:eastAsia="Times New Roman" w:hAnsi="Times New Roman"/>
                <w:sz w:val="18"/>
                <w:szCs w:val="18"/>
                <w:color w:val="0563C1"/>
              </w:rPr>
            </w:pPr>
            <w:hyperlink r:id="rId445">
              <w:r>
                <w:rPr>
                  <w:rFonts w:ascii="Times New Roman" w:cs="Times New Roman" w:eastAsia="Times New Roman" w:hAnsi="Times New Roman"/>
                  <w:sz w:val="18"/>
                  <w:szCs w:val="18"/>
                  <w:color w:val="0563C1"/>
                </w:rPr>
                <w:t>by and between the registrant, Repare Therapeutics Inc. and</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563C1"/>
              </w:rPr>
            </w:pPr>
            <w:hyperlink r:id="rId445">
              <w:r>
                <w:rPr>
                  <w:rFonts w:ascii="Times New Roman" w:cs="Times New Roman" w:eastAsia="Times New Roman" w:hAnsi="Times New Roman"/>
                  <w:sz w:val="18"/>
                  <w:szCs w:val="18"/>
                  <w:color w:val="0563C1"/>
                </w:rPr>
                <w:t>RREF America REIT II Corp. PPP, dated February 25, 2022.</w:t>
              </w:r>
            </w:hyperlink>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240" w:type="dxa"/>
            <w:vAlign w:val="bottom"/>
            <w:tcBorders>
              <w:top w:val="single" w:sz="8" w:color="0563C1"/>
              <w:bottom w:val="single" w:sz="8" w:color="0563C1"/>
            </w:tcBorders>
            <w:gridSpan w:val="15"/>
          </w:tcPr>
          <w:p>
            <w:pPr>
              <w:spacing w:after="0"/>
              <w:rPr>
                <w:rFonts w:ascii="Times New Roman" w:cs="Times New Roman" w:eastAsia="Times New Roman" w:hAnsi="Times New Roman"/>
                <w:sz w:val="18"/>
                <w:szCs w:val="18"/>
                <w:color w:val="0563C1"/>
              </w:rPr>
            </w:pPr>
            <w:hyperlink r:id="rId446">
              <w:r>
                <w:rPr>
                  <w:rFonts w:ascii="Times New Roman" w:cs="Times New Roman" w:eastAsia="Times New Roman" w:hAnsi="Times New Roman"/>
                  <w:sz w:val="18"/>
                  <w:szCs w:val="18"/>
                  <w:color w:val="0563C1"/>
                </w:rPr>
                <w:t>Collaboration and License Agreement by and between the</w:t>
              </w:r>
            </w:hyperlink>
          </w:p>
        </w:tc>
        <w:tc>
          <w:tcPr>
            <w:tcW w:w="160" w:type="dxa"/>
            <w:vAlign w:val="bottom"/>
            <w:tcBorders>
              <w:top w:val="single" w:sz="8" w:color="0563C1"/>
            </w:tcBorders>
            <w:gridSpan w:val="7"/>
          </w:tcPr>
          <w:p>
            <w:pPr>
              <w:spacing w:after="0"/>
              <w:rPr>
                <w:sz w:val="24"/>
                <w:szCs w:val="24"/>
                <w:color w:val="auto"/>
              </w:rPr>
            </w:pPr>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tcBorders>
              <w:bottom w:val="single" w:sz="8" w:color="0563C1"/>
            </w:tcBorders>
            <w:gridSpan w:val="26"/>
          </w:tcPr>
          <w:p>
            <w:pPr>
              <w:spacing w:after="0" w:line="196" w:lineRule="exact"/>
              <w:rPr>
                <w:rFonts w:ascii="Times New Roman" w:cs="Times New Roman" w:eastAsia="Times New Roman" w:hAnsi="Times New Roman"/>
                <w:sz w:val="18"/>
                <w:szCs w:val="18"/>
                <w:color w:val="0563C1"/>
              </w:rPr>
            </w:pPr>
            <w:hyperlink r:id="rId446">
              <w:r>
                <w:rPr>
                  <w:rFonts w:ascii="Times New Roman" w:cs="Times New Roman" w:eastAsia="Times New Roman" w:hAnsi="Times New Roman"/>
                  <w:sz w:val="18"/>
                  <w:szCs w:val="18"/>
                  <w:color w:val="0563C1"/>
                </w:rPr>
                <w:t>registrant, Repare Therapeutics Inc. and Hoffmann-La Roche</w:t>
              </w:r>
            </w:hyperlink>
          </w:p>
        </w:tc>
      </w:tr>
      <w:tr>
        <w:trPr>
          <w:trHeight w:val="196"/>
        </w:trPr>
        <w:tc>
          <w:tcPr>
            <w:tcW w:w="1140" w:type="dxa"/>
            <w:vAlign w:val="bottom"/>
          </w:tcPr>
          <w:p>
            <w:pPr>
              <w:spacing w:after="0"/>
              <w:rPr>
                <w:sz w:val="17"/>
                <w:szCs w:val="17"/>
                <w:color w:val="auto"/>
              </w:rPr>
            </w:pPr>
          </w:p>
        </w:tc>
        <w:tc>
          <w:tcPr>
            <w:tcW w:w="4040" w:type="dxa"/>
            <w:vAlign w:val="bottom"/>
            <w:tcBorders>
              <w:bottom w:val="single" w:sz="8" w:color="0563C1"/>
            </w:tcBorders>
            <w:gridSpan w:val="9"/>
          </w:tcPr>
          <w:p>
            <w:pPr>
              <w:spacing w:after="0" w:line="196" w:lineRule="exact"/>
              <w:rPr>
                <w:rFonts w:ascii="Times New Roman" w:cs="Times New Roman" w:eastAsia="Times New Roman" w:hAnsi="Times New Roman"/>
                <w:sz w:val="18"/>
                <w:szCs w:val="18"/>
                <w:color w:val="0563C1"/>
                <w:w w:val="99"/>
              </w:rPr>
            </w:pPr>
            <w:hyperlink r:id="rId446">
              <w:r>
                <w:rPr>
                  <w:rFonts w:ascii="Times New Roman" w:cs="Times New Roman" w:eastAsia="Times New Roman" w:hAnsi="Times New Roman"/>
                  <w:sz w:val="18"/>
                  <w:szCs w:val="18"/>
                  <w:color w:val="0563C1"/>
                  <w:w w:val="99"/>
                </w:rPr>
                <w:t>Inc. and F. Hoffmann-La Roche Ltd. dated June 1,2022.</w:t>
              </w:r>
            </w:hyperlink>
          </w:p>
        </w:tc>
        <w:tc>
          <w:tcPr>
            <w:tcW w:w="440" w:type="dxa"/>
            <w:vAlign w:val="bottom"/>
            <w:gridSpan w:val="17"/>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440" w:type="dxa"/>
            <w:vAlign w:val="bottom"/>
            <w:tcBorders>
              <w:bottom w:val="single" w:sz="8" w:color="0563C1"/>
            </w:tcBorders>
            <w:gridSpan w:val="24"/>
          </w:tcPr>
          <w:p>
            <w:pPr>
              <w:spacing w:after="0"/>
              <w:rPr>
                <w:rFonts w:ascii="Times New Roman" w:cs="Times New Roman" w:eastAsia="Times New Roman" w:hAnsi="Times New Roman"/>
                <w:sz w:val="18"/>
                <w:szCs w:val="18"/>
                <w:color w:val="0563C1"/>
              </w:rPr>
            </w:pPr>
            <w:hyperlink r:id="rId447">
              <w:r>
                <w:rPr>
                  <w:rFonts w:ascii="Times New Roman" w:cs="Times New Roman" w:eastAsia="Times New Roman" w:hAnsi="Times New Roman"/>
                  <w:sz w:val="18"/>
                  <w:szCs w:val="18"/>
                  <w:color w:val="0563C1"/>
                </w:rPr>
                <w:t>Common Shares Sales Agreement, dated August 4, 2022, by</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60" w:type="dxa"/>
            <w:vAlign w:val="bottom"/>
            <w:tcBorders>
              <w:bottom w:val="single" w:sz="8" w:color="0563C1"/>
            </w:tcBorders>
            <w:gridSpan w:val="10"/>
          </w:tcPr>
          <w:p>
            <w:pPr>
              <w:spacing w:after="0" w:line="196" w:lineRule="exact"/>
              <w:rPr>
                <w:rFonts w:ascii="Times New Roman" w:cs="Times New Roman" w:eastAsia="Times New Roman" w:hAnsi="Times New Roman"/>
                <w:sz w:val="18"/>
                <w:szCs w:val="18"/>
                <w:color w:val="0563C1"/>
              </w:rPr>
            </w:pPr>
            <w:hyperlink r:id="rId447">
              <w:r>
                <w:rPr>
                  <w:rFonts w:ascii="Times New Roman" w:cs="Times New Roman" w:eastAsia="Times New Roman" w:hAnsi="Times New Roman"/>
                  <w:sz w:val="18"/>
                  <w:szCs w:val="18"/>
                  <w:color w:val="0563C1"/>
                </w:rPr>
                <w:t>and between and between Repare Therapeutics Inc. and</w:t>
              </w:r>
            </w:hyperlink>
          </w:p>
        </w:tc>
        <w:tc>
          <w:tcPr>
            <w:tcW w:w="42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040" w:type="dxa"/>
            <w:vAlign w:val="bottom"/>
            <w:tcBorders>
              <w:bottom w:val="single" w:sz="8" w:color="0563C1"/>
            </w:tcBorders>
            <w:gridSpan w:val="6"/>
          </w:tcPr>
          <w:p>
            <w:pPr>
              <w:spacing w:after="0" w:line="196" w:lineRule="exact"/>
              <w:rPr>
                <w:rFonts w:ascii="Times New Roman" w:cs="Times New Roman" w:eastAsia="Times New Roman" w:hAnsi="Times New Roman"/>
                <w:sz w:val="18"/>
                <w:szCs w:val="18"/>
                <w:color w:val="0563C1"/>
                <w:w w:val="99"/>
              </w:rPr>
            </w:pPr>
            <w:hyperlink r:id="rId447">
              <w:r>
                <w:rPr>
                  <w:rFonts w:ascii="Times New Roman" w:cs="Times New Roman" w:eastAsia="Times New Roman" w:hAnsi="Times New Roman"/>
                  <w:sz w:val="18"/>
                  <w:szCs w:val="18"/>
                  <w:color w:val="0563C1"/>
                  <w:w w:val="99"/>
                </w:rPr>
                <w:t>Cowen and Company, LLC.</w:t>
              </w:r>
            </w:hyperlink>
          </w:p>
        </w:tc>
        <w:tc>
          <w:tcPr>
            <w:tcW w:w="2440" w:type="dxa"/>
            <w:vAlign w:val="bottom"/>
            <w:gridSpan w:val="20"/>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4480" w:type="dxa"/>
            <w:vAlign w:val="bottom"/>
            <w:tcBorders>
              <w:bottom w:val="single" w:sz="8" w:color="0563C1"/>
            </w:tcBorders>
            <w:gridSpan w:val="26"/>
          </w:tcPr>
          <w:p>
            <w:pPr>
              <w:spacing w:after="0"/>
              <w:rPr>
                <w:rFonts w:ascii="Times New Roman" w:cs="Times New Roman" w:eastAsia="Times New Roman" w:hAnsi="Times New Roman"/>
                <w:sz w:val="18"/>
                <w:szCs w:val="18"/>
                <w:color w:val="0563C1"/>
                <w:w w:val="99"/>
              </w:rPr>
            </w:pPr>
            <w:hyperlink r:id="rId448">
              <w:r>
                <w:rPr>
                  <w:rFonts w:ascii="Times New Roman" w:cs="Times New Roman" w:eastAsia="Times New Roman" w:hAnsi="Times New Roman"/>
                  <w:sz w:val="18"/>
                  <w:szCs w:val="18"/>
                  <w:color w:val="0563C1"/>
                  <w:w w:val="99"/>
                </w:rPr>
                <w:t>First Amendment to Collaboration and License Agreement by</w:t>
              </w:r>
            </w:hyperlink>
          </w:p>
        </w:tc>
      </w:tr>
      <w:tr>
        <w:trPr>
          <w:trHeight w:val="196"/>
        </w:trPr>
        <w:tc>
          <w:tcPr>
            <w:tcW w:w="1140" w:type="dxa"/>
            <w:vAlign w:val="bottom"/>
          </w:tcPr>
          <w:p>
            <w:pPr>
              <w:spacing w:after="0"/>
              <w:rPr>
                <w:sz w:val="17"/>
                <w:szCs w:val="17"/>
                <w:color w:val="auto"/>
              </w:rPr>
            </w:pPr>
          </w:p>
        </w:tc>
        <w:tc>
          <w:tcPr>
            <w:tcW w:w="4140" w:type="dxa"/>
            <w:vAlign w:val="bottom"/>
            <w:tcBorders>
              <w:bottom w:val="single" w:sz="8" w:color="0563C1"/>
            </w:tcBorders>
            <w:gridSpan w:val="13"/>
          </w:tcPr>
          <w:p>
            <w:pPr>
              <w:spacing w:after="0" w:line="196" w:lineRule="exact"/>
              <w:rPr>
                <w:rFonts w:ascii="Times New Roman" w:cs="Times New Roman" w:eastAsia="Times New Roman" w:hAnsi="Times New Roman"/>
                <w:sz w:val="18"/>
                <w:szCs w:val="18"/>
                <w:color w:val="0563C1"/>
              </w:rPr>
            </w:pPr>
            <w:hyperlink r:id="rId448">
              <w:r>
                <w:rPr>
                  <w:rFonts w:ascii="Times New Roman" w:cs="Times New Roman" w:eastAsia="Times New Roman" w:hAnsi="Times New Roman"/>
                  <w:sz w:val="18"/>
                  <w:szCs w:val="18"/>
                  <w:color w:val="0563C1"/>
                </w:rPr>
                <w:t>and between the registrant, Repare Therapeutics Inc. and</w:t>
              </w:r>
            </w:hyperlink>
          </w:p>
        </w:tc>
        <w:tc>
          <w:tcPr>
            <w:tcW w:w="3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20" w:type="dxa"/>
            <w:vAlign w:val="bottom"/>
            <w:tcBorders>
              <w:bottom w:val="single" w:sz="8" w:color="0563C1"/>
            </w:tcBorders>
            <w:gridSpan w:val="14"/>
          </w:tcPr>
          <w:p>
            <w:pPr>
              <w:spacing w:after="0" w:line="196" w:lineRule="exact"/>
              <w:rPr>
                <w:rFonts w:ascii="Times New Roman" w:cs="Times New Roman" w:eastAsia="Times New Roman" w:hAnsi="Times New Roman"/>
                <w:sz w:val="18"/>
                <w:szCs w:val="18"/>
                <w:color w:val="0563C1"/>
              </w:rPr>
            </w:pPr>
            <w:hyperlink r:id="rId448">
              <w:r>
                <w:rPr>
                  <w:rFonts w:ascii="Times New Roman" w:cs="Times New Roman" w:eastAsia="Times New Roman" w:hAnsi="Times New Roman"/>
                  <w:sz w:val="18"/>
                  <w:szCs w:val="18"/>
                  <w:color w:val="0563C1"/>
                </w:rPr>
                <w:t>Hoffmann-La Roche Inc. and F. Hoffmann-La Roche Ltd.</w:t>
              </w:r>
            </w:hyperlink>
          </w:p>
        </w:tc>
        <w:tc>
          <w:tcPr>
            <w:tcW w:w="26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60" w:type="dxa"/>
            <w:vAlign w:val="bottom"/>
            <w:tcBorders>
              <w:bottom w:val="single" w:sz="8" w:color="0563C1"/>
            </w:tcBorders>
            <w:gridSpan w:val="4"/>
          </w:tcPr>
          <w:p>
            <w:pPr>
              <w:spacing w:after="0" w:line="196" w:lineRule="exact"/>
              <w:rPr>
                <w:rFonts w:ascii="Times New Roman" w:cs="Times New Roman" w:eastAsia="Times New Roman" w:hAnsi="Times New Roman"/>
                <w:sz w:val="18"/>
                <w:szCs w:val="18"/>
                <w:color w:val="0563C1"/>
                <w:w w:val="99"/>
              </w:rPr>
            </w:pPr>
            <w:hyperlink r:id="rId448">
              <w:r>
                <w:rPr>
                  <w:rFonts w:ascii="Times New Roman" w:cs="Times New Roman" w:eastAsia="Times New Roman" w:hAnsi="Times New Roman"/>
                  <w:sz w:val="18"/>
                  <w:szCs w:val="18"/>
                  <w:color w:val="0563C1"/>
                  <w:w w:val="99"/>
                </w:rPr>
                <w:t>dated October 7, 2022.</w:t>
              </w:r>
            </w:hyperlink>
          </w:p>
        </w:tc>
        <w:tc>
          <w:tcPr>
            <w:tcW w:w="2820" w:type="dxa"/>
            <w:vAlign w:val="bottom"/>
            <w:gridSpan w:val="22"/>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4480" w:type="dxa"/>
            <w:vAlign w:val="bottom"/>
            <w:tcBorders>
              <w:bottom w:val="single" w:sz="8" w:color="0563C1"/>
            </w:tcBorders>
            <w:gridSpan w:val="26"/>
          </w:tcPr>
          <w:p>
            <w:pPr>
              <w:spacing w:after="0"/>
              <w:rPr>
                <w:rFonts w:ascii="Times New Roman" w:cs="Times New Roman" w:eastAsia="Times New Roman" w:hAnsi="Times New Roman"/>
                <w:sz w:val="18"/>
                <w:szCs w:val="18"/>
                <w:color w:val="0563C1"/>
              </w:rPr>
            </w:pPr>
            <w:hyperlink r:id="rId449">
              <w:r>
                <w:rPr>
                  <w:rFonts w:ascii="Times New Roman" w:cs="Times New Roman" w:eastAsia="Times New Roman" w:hAnsi="Times New Roman"/>
                  <w:sz w:val="18"/>
                  <w:szCs w:val="18"/>
                  <w:color w:val="0563C1"/>
                </w:rPr>
                <w:t>Second Amendment to Collaboration and License Agreement</w:t>
              </w:r>
            </w:hyperlink>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563C1"/>
            </w:tcBorders>
            <w:gridSpan w:val="21"/>
          </w:tcPr>
          <w:p>
            <w:pPr>
              <w:spacing w:after="0" w:line="196" w:lineRule="exact"/>
              <w:rPr>
                <w:rFonts w:ascii="Times New Roman" w:cs="Times New Roman" w:eastAsia="Times New Roman" w:hAnsi="Times New Roman"/>
                <w:sz w:val="18"/>
                <w:szCs w:val="18"/>
                <w:color w:val="0563C1"/>
              </w:rPr>
            </w:pPr>
            <w:hyperlink r:id="rId449">
              <w:r>
                <w:rPr>
                  <w:rFonts w:ascii="Times New Roman" w:cs="Times New Roman" w:eastAsia="Times New Roman" w:hAnsi="Times New Roman"/>
                  <w:sz w:val="18"/>
                  <w:szCs w:val="18"/>
                  <w:color w:val="0563C1"/>
                </w:rPr>
                <w:t>by and between the registrant, Repare Therapeutics Inc. and</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20" w:type="dxa"/>
            <w:vAlign w:val="bottom"/>
            <w:tcBorders>
              <w:bottom w:val="single" w:sz="8" w:color="0563C1"/>
            </w:tcBorders>
            <w:gridSpan w:val="14"/>
          </w:tcPr>
          <w:p>
            <w:pPr>
              <w:spacing w:after="0" w:line="196" w:lineRule="exact"/>
              <w:rPr>
                <w:rFonts w:ascii="Times New Roman" w:cs="Times New Roman" w:eastAsia="Times New Roman" w:hAnsi="Times New Roman"/>
                <w:sz w:val="18"/>
                <w:szCs w:val="18"/>
                <w:color w:val="0563C1"/>
              </w:rPr>
            </w:pPr>
            <w:hyperlink r:id="rId449">
              <w:r>
                <w:rPr>
                  <w:rFonts w:ascii="Times New Roman" w:cs="Times New Roman" w:eastAsia="Times New Roman" w:hAnsi="Times New Roman"/>
                  <w:sz w:val="18"/>
                  <w:szCs w:val="18"/>
                  <w:color w:val="0563C1"/>
                </w:rPr>
                <w:t>Hoffmann-La Roche Inc. and F. Hoffmann-La Roche Ltd.</w:t>
              </w:r>
            </w:hyperlink>
          </w:p>
        </w:tc>
        <w:tc>
          <w:tcPr>
            <w:tcW w:w="26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60" w:type="dxa"/>
            <w:vAlign w:val="bottom"/>
            <w:tcBorders>
              <w:bottom w:val="single" w:sz="8" w:color="0563C1"/>
            </w:tcBorders>
            <w:gridSpan w:val="4"/>
          </w:tcPr>
          <w:p>
            <w:pPr>
              <w:spacing w:after="0" w:line="196" w:lineRule="exact"/>
              <w:rPr>
                <w:rFonts w:ascii="Times New Roman" w:cs="Times New Roman" w:eastAsia="Times New Roman" w:hAnsi="Times New Roman"/>
                <w:sz w:val="18"/>
                <w:szCs w:val="18"/>
                <w:color w:val="0563C1"/>
                <w:w w:val="99"/>
              </w:rPr>
            </w:pPr>
            <w:hyperlink r:id="rId449">
              <w:r>
                <w:rPr>
                  <w:rFonts w:ascii="Times New Roman" w:cs="Times New Roman" w:eastAsia="Times New Roman" w:hAnsi="Times New Roman"/>
                  <w:sz w:val="18"/>
                  <w:szCs w:val="18"/>
                  <w:color w:val="0563C1"/>
                  <w:w w:val="99"/>
                </w:rPr>
                <w:t>dated October 7, 2022.</w:t>
              </w:r>
            </w:hyperlink>
          </w:p>
        </w:tc>
        <w:tc>
          <w:tcPr>
            <w:tcW w:w="2820" w:type="dxa"/>
            <w:vAlign w:val="bottom"/>
            <w:gridSpan w:val="22"/>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4340" w:type="dxa"/>
            <w:vAlign w:val="bottom"/>
            <w:tcBorders>
              <w:bottom w:val="single" w:sz="8" w:color="0563C1"/>
            </w:tcBorders>
            <w:gridSpan w:val="19"/>
          </w:tcPr>
          <w:p>
            <w:pPr>
              <w:spacing w:after="0"/>
              <w:rPr>
                <w:rFonts w:ascii="Times New Roman" w:cs="Times New Roman" w:eastAsia="Times New Roman" w:hAnsi="Times New Roman"/>
                <w:sz w:val="18"/>
                <w:szCs w:val="18"/>
                <w:color w:val="0563C1"/>
              </w:rPr>
            </w:pPr>
            <w:hyperlink r:id="rId450">
              <w:r>
                <w:rPr>
                  <w:rFonts w:ascii="Times New Roman" w:cs="Times New Roman" w:eastAsia="Times New Roman" w:hAnsi="Times New Roman"/>
                  <w:sz w:val="18"/>
                  <w:szCs w:val="18"/>
                  <w:color w:val="0563C1"/>
                </w:rPr>
                <w:t>Lease Amending Agreement by and between the registrant,</w:t>
              </w:r>
            </w:hyperlink>
          </w:p>
        </w:tc>
        <w:tc>
          <w:tcPr>
            <w:tcW w:w="14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100" w:type="dxa"/>
            <w:vAlign w:val="bottom"/>
            <w:tcBorders>
              <w:bottom w:val="single" w:sz="8" w:color="0563C1"/>
            </w:tcBorders>
            <w:gridSpan w:val="12"/>
          </w:tcPr>
          <w:p>
            <w:pPr>
              <w:spacing w:after="0" w:line="196" w:lineRule="exact"/>
              <w:rPr>
                <w:rFonts w:ascii="Times New Roman" w:cs="Times New Roman" w:eastAsia="Times New Roman" w:hAnsi="Times New Roman"/>
                <w:sz w:val="18"/>
                <w:szCs w:val="18"/>
                <w:color w:val="0563C1"/>
              </w:rPr>
            </w:pPr>
            <w:hyperlink r:id="rId450">
              <w:r>
                <w:rPr>
                  <w:rFonts w:ascii="Times New Roman" w:cs="Times New Roman" w:eastAsia="Times New Roman" w:hAnsi="Times New Roman"/>
                  <w:sz w:val="18"/>
                  <w:szCs w:val="18"/>
                  <w:color w:val="0563C1"/>
                </w:rPr>
                <w:t>Repare Therapeutics Inc. and NEOMED Institute, dated</w:t>
              </w:r>
            </w:hyperlink>
          </w:p>
        </w:tc>
        <w:tc>
          <w:tcPr>
            <w:tcW w:w="38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563C1"/>
              </w:rPr>
            </w:pPr>
            <w:hyperlink r:id="rId450">
              <w:r>
                <w:rPr>
                  <w:rFonts w:ascii="Times New Roman" w:cs="Times New Roman" w:eastAsia="Times New Roman" w:hAnsi="Times New Roman"/>
                  <w:sz w:val="18"/>
                  <w:szCs w:val="18"/>
                  <w:color w:val="0563C1"/>
                </w:rPr>
                <w:t>October 27, 2022.</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080" w:type="dxa"/>
            <w:vAlign w:val="bottom"/>
            <w:tcBorders>
              <w:bottom w:val="single" w:sz="8" w:color="0563C1"/>
            </w:tcBorders>
            <w:gridSpan w:val="11"/>
          </w:tcPr>
          <w:p>
            <w:pPr>
              <w:spacing w:after="0"/>
              <w:rPr>
                <w:rFonts w:ascii="Times New Roman" w:cs="Times New Roman" w:eastAsia="Times New Roman" w:hAnsi="Times New Roman"/>
                <w:sz w:val="18"/>
                <w:szCs w:val="18"/>
                <w:color w:val="0563C1"/>
              </w:rPr>
            </w:pPr>
            <w:hyperlink r:id="rId451">
              <w:r>
                <w:rPr>
                  <w:rFonts w:ascii="Times New Roman" w:cs="Times New Roman" w:eastAsia="Times New Roman" w:hAnsi="Times New Roman"/>
                  <w:sz w:val="18"/>
                  <w:szCs w:val="18"/>
                  <w:color w:val="0563C1"/>
                </w:rPr>
                <w:t>Lease Agreement by and between the registrant, Repare</w:t>
              </w:r>
            </w:hyperlink>
          </w:p>
        </w:tc>
        <w:tc>
          <w:tcPr>
            <w:tcW w:w="40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563C1"/>
              </w:rPr>
            </w:pPr>
            <w:hyperlink r:id="rId451">
              <w:r>
                <w:rPr>
                  <w:rFonts w:ascii="Times New Roman" w:cs="Times New Roman" w:eastAsia="Times New Roman" w:hAnsi="Times New Roman"/>
                  <w:sz w:val="18"/>
                  <w:szCs w:val="18"/>
                  <w:color w:val="0563C1"/>
                </w:rPr>
                <w:t>Therapeutics Inc. and NEOMED Institute, dated January 1,</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563C1"/>
              <w:bottom w:val="single" w:sz="8" w:color="0563C1"/>
            </w:tcBorders>
          </w:tcPr>
          <w:p>
            <w:pPr>
              <w:spacing w:after="0" w:line="196" w:lineRule="exact"/>
              <w:rPr>
                <w:rFonts w:ascii="Times New Roman" w:cs="Times New Roman" w:eastAsia="Times New Roman" w:hAnsi="Times New Roman"/>
                <w:sz w:val="18"/>
                <w:szCs w:val="18"/>
                <w:color w:val="0563C1"/>
                <w:w w:val="98"/>
              </w:rPr>
            </w:pPr>
            <w:hyperlink r:id="rId451">
              <w:r>
                <w:rPr>
                  <w:rFonts w:ascii="Times New Roman" w:cs="Times New Roman" w:eastAsia="Times New Roman" w:hAnsi="Times New Roman"/>
                  <w:sz w:val="18"/>
                  <w:szCs w:val="18"/>
                  <w:color w:val="0563C1"/>
                  <w:w w:val="98"/>
                </w:rPr>
                <w:t>2023.</w:t>
              </w:r>
            </w:hyperlink>
          </w:p>
        </w:tc>
        <w:tc>
          <w:tcPr>
            <w:tcW w:w="88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146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4100" w:type="dxa"/>
            <w:vAlign w:val="bottom"/>
            <w:tcBorders>
              <w:bottom w:val="single" w:sz="8" w:color="0563C1"/>
            </w:tcBorders>
            <w:gridSpan w:val="12"/>
          </w:tcPr>
          <w:p>
            <w:pPr>
              <w:spacing w:after="0"/>
              <w:rPr>
                <w:rFonts w:ascii="Times New Roman" w:cs="Times New Roman" w:eastAsia="Times New Roman" w:hAnsi="Times New Roman"/>
                <w:sz w:val="18"/>
                <w:szCs w:val="18"/>
                <w:color w:val="0563C1"/>
              </w:rPr>
            </w:pPr>
            <w:hyperlink r:id="rId452">
              <w:r>
                <w:rPr>
                  <w:rFonts w:ascii="Times New Roman" w:cs="Times New Roman" w:eastAsia="Times New Roman" w:hAnsi="Times New Roman"/>
                  <w:sz w:val="18"/>
                  <w:szCs w:val="18"/>
                  <w:color w:val="0563C1"/>
                </w:rPr>
                <w:t>Lease Amendment Agreement No.1 by and between the</w:t>
              </w:r>
            </w:hyperlink>
          </w:p>
        </w:tc>
        <w:tc>
          <w:tcPr>
            <w:tcW w:w="38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40" w:type="dxa"/>
            <w:vAlign w:val="bottom"/>
            <w:tcBorders>
              <w:bottom w:val="single" w:sz="8" w:color="0563C1"/>
            </w:tcBorders>
            <w:gridSpan w:val="19"/>
          </w:tcPr>
          <w:p>
            <w:pPr>
              <w:spacing w:after="0" w:line="196" w:lineRule="exact"/>
              <w:rPr>
                <w:rFonts w:ascii="Times New Roman" w:cs="Times New Roman" w:eastAsia="Times New Roman" w:hAnsi="Times New Roman"/>
                <w:sz w:val="18"/>
                <w:szCs w:val="18"/>
                <w:color w:val="0563C1"/>
              </w:rPr>
            </w:pPr>
            <w:hyperlink r:id="rId452">
              <w:r>
                <w:rPr>
                  <w:rFonts w:ascii="Times New Roman" w:cs="Times New Roman" w:eastAsia="Times New Roman" w:hAnsi="Times New Roman"/>
                  <w:sz w:val="18"/>
                  <w:szCs w:val="18"/>
                  <w:color w:val="0563C1"/>
                </w:rPr>
                <w:t>registrant Repare Therapeutics Inc. and NEOMED Institute</w:t>
              </w:r>
            </w:hyperlink>
          </w:p>
        </w:tc>
        <w:tc>
          <w:tcPr>
            <w:tcW w:w="14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563C1"/>
              </w:rPr>
            </w:pPr>
            <w:hyperlink r:id="rId452">
              <w:r>
                <w:rPr>
                  <w:rFonts w:ascii="Times New Roman" w:cs="Times New Roman" w:eastAsia="Times New Roman" w:hAnsi="Times New Roman"/>
                  <w:sz w:val="18"/>
                  <w:szCs w:val="18"/>
                  <w:color w:val="0563C1"/>
                </w:rPr>
                <w:t>dated April 1, 2023</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3"/>
            <w:shd w:val="clear" w:color="auto" w:fill="0563C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4440" w:type="dxa"/>
            <w:vAlign w:val="bottom"/>
            <w:tcBorders>
              <w:bottom w:val="single" w:sz="8" w:color="0563C1"/>
            </w:tcBorders>
            <w:gridSpan w:val="24"/>
          </w:tcPr>
          <w:p>
            <w:pPr>
              <w:spacing w:after="0"/>
              <w:rPr>
                <w:rFonts w:ascii="Times New Roman" w:cs="Times New Roman" w:eastAsia="Times New Roman" w:hAnsi="Times New Roman"/>
                <w:sz w:val="18"/>
                <w:szCs w:val="18"/>
                <w:color w:val="0563C1"/>
              </w:rPr>
            </w:pPr>
            <w:hyperlink r:id="rId453">
              <w:r>
                <w:rPr>
                  <w:rFonts w:ascii="Times New Roman" w:cs="Times New Roman" w:eastAsia="Times New Roman" w:hAnsi="Times New Roman"/>
                  <w:sz w:val="18"/>
                  <w:szCs w:val="18"/>
                  <w:color w:val="0563C1"/>
                </w:rPr>
                <w:t>Fourth Amendment to Collaboration and License Agreement</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20" w:type="dxa"/>
            <w:vAlign w:val="bottom"/>
            <w:tcBorders>
              <w:bottom w:val="single" w:sz="8" w:color="0563C1"/>
            </w:tcBorders>
            <w:gridSpan w:val="23"/>
          </w:tcPr>
          <w:p>
            <w:pPr>
              <w:spacing w:after="0" w:line="196" w:lineRule="exact"/>
              <w:rPr>
                <w:rFonts w:ascii="Times New Roman" w:cs="Times New Roman" w:eastAsia="Times New Roman" w:hAnsi="Times New Roman"/>
                <w:sz w:val="18"/>
                <w:szCs w:val="18"/>
                <w:color w:val="0563C1"/>
              </w:rPr>
            </w:pPr>
            <w:hyperlink r:id="rId453">
              <w:r>
                <w:rPr>
                  <w:rFonts w:ascii="Times New Roman" w:cs="Times New Roman" w:eastAsia="Times New Roman" w:hAnsi="Times New Roman"/>
                  <w:sz w:val="18"/>
                  <w:szCs w:val="18"/>
                  <w:color w:val="0563C1"/>
                </w:rPr>
                <w:t>by and between the registrant and Repare Therapeutics USA</w:t>
              </w:r>
            </w:hyperlink>
          </w:p>
        </w:tc>
        <w:tc>
          <w:tcPr>
            <w:tcW w:w="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60" w:type="dxa"/>
            <w:vAlign w:val="bottom"/>
            <w:tcBorders>
              <w:bottom w:val="single" w:sz="8" w:color="0563C1"/>
            </w:tcBorders>
            <w:gridSpan w:val="25"/>
          </w:tcPr>
          <w:p>
            <w:pPr>
              <w:spacing w:after="0" w:line="196" w:lineRule="exact"/>
              <w:rPr>
                <w:rFonts w:ascii="Times New Roman" w:cs="Times New Roman" w:eastAsia="Times New Roman" w:hAnsi="Times New Roman"/>
                <w:sz w:val="18"/>
                <w:szCs w:val="18"/>
                <w:color w:val="0563C1"/>
                <w:w w:val="99"/>
              </w:rPr>
            </w:pPr>
            <w:hyperlink r:id="rId453">
              <w:r>
                <w:rPr>
                  <w:rFonts w:ascii="Times New Roman" w:cs="Times New Roman" w:eastAsia="Times New Roman" w:hAnsi="Times New Roman"/>
                  <w:sz w:val="18"/>
                  <w:szCs w:val="18"/>
                  <w:color w:val="0563C1"/>
                  <w:w w:val="99"/>
                </w:rPr>
                <w:t>Inc. and Bristol-Myers Squibb Company, dated May 12, 2023</w:t>
              </w:r>
            </w:hyperlink>
          </w:p>
        </w:tc>
        <w:tc>
          <w:tcPr>
            <w:tcW w:w="20" w:type="dxa"/>
            <w:vAlign w:val="bottom"/>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4300" w:type="dxa"/>
            <w:vAlign w:val="bottom"/>
            <w:tcBorders>
              <w:bottom w:val="single" w:sz="8" w:color="0563C1"/>
            </w:tcBorders>
            <w:gridSpan w:val="17"/>
          </w:tcPr>
          <w:p>
            <w:pPr>
              <w:spacing w:after="0"/>
              <w:rPr>
                <w:rFonts w:ascii="Times New Roman" w:cs="Times New Roman" w:eastAsia="Times New Roman" w:hAnsi="Times New Roman"/>
                <w:sz w:val="18"/>
                <w:szCs w:val="18"/>
                <w:color w:val="0563C1"/>
                <w:w w:val="99"/>
              </w:rPr>
            </w:pPr>
            <w:hyperlink r:id="rId454">
              <w:r>
                <w:rPr>
                  <w:rFonts w:ascii="Times New Roman" w:cs="Times New Roman" w:eastAsia="Times New Roman" w:hAnsi="Times New Roman"/>
                  <w:sz w:val="18"/>
                  <w:szCs w:val="18"/>
                  <w:color w:val="0563C1"/>
                  <w:w w:val="99"/>
                </w:rPr>
                <w:t>Form of Amendment to Executive Employment Agreement</w:t>
              </w:r>
            </w:hyperlink>
          </w:p>
        </w:tc>
        <w:tc>
          <w:tcPr>
            <w:tcW w:w="180" w:type="dxa"/>
            <w:vAlign w:val="bottom"/>
            <w:gridSpan w:val="9"/>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563C1"/>
            </w:tcBorders>
            <w:gridSpan w:val="7"/>
          </w:tcPr>
          <w:p>
            <w:pPr>
              <w:spacing w:after="0"/>
              <w:rPr>
                <w:rFonts w:ascii="Times New Roman" w:cs="Times New Roman" w:eastAsia="Times New Roman" w:hAnsi="Times New Roman"/>
                <w:sz w:val="18"/>
                <w:szCs w:val="18"/>
                <w:color w:val="0563C1"/>
                <w:w w:val="99"/>
              </w:rPr>
            </w:pPr>
            <w:hyperlink r:id="rId455">
              <w:r>
                <w:rPr>
                  <w:rFonts w:ascii="Times New Roman" w:cs="Times New Roman" w:eastAsia="Times New Roman" w:hAnsi="Times New Roman"/>
                  <w:sz w:val="18"/>
                  <w:szCs w:val="18"/>
                  <w:color w:val="0563C1"/>
                  <w:w w:val="99"/>
                </w:rPr>
                <w:t>Subsidiaries of the registrant.</w:t>
              </w:r>
            </w:hyperlink>
          </w:p>
        </w:tc>
        <w:tc>
          <w:tcPr>
            <w:tcW w:w="2360" w:type="dxa"/>
            <w:vAlign w:val="bottom"/>
            <w:gridSpan w:val="19"/>
          </w:tcPr>
          <w:p>
            <w:pPr>
              <w:spacing w:after="0"/>
              <w:rPr>
                <w:sz w:val="24"/>
                <w:szCs w:val="24"/>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563C1"/>
            </w:tcBorders>
            <w:gridSpan w:val="18"/>
          </w:tcPr>
          <w:p>
            <w:pPr>
              <w:spacing w:after="0"/>
              <w:rPr>
                <w:sz w:val="20"/>
                <w:szCs w:val="20"/>
                <w:color w:val="auto"/>
              </w:rPr>
            </w:pPr>
            <w:r>
              <w:rPr>
                <w:rFonts w:ascii="Times New Roman" w:cs="Times New Roman" w:eastAsia="Times New Roman" w:hAnsi="Times New Roman"/>
                <w:sz w:val="18"/>
                <w:szCs w:val="18"/>
                <w:color w:val="0563C1"/>
                <w:w w:val="99"/>
              </w:rPr>
              <w:t>Consent of Ernst &amp; Young LLP, an Independent Registered</w:t>
            </w:r>
          </w:p>
        </w:tc>
        <w:tc>
          <w:tcPr>
            <w:tcW w:w="16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563C1"/>
              </w:rPr>
              <w:t>Public Accounting Firm</w:t>
            </w: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10.27</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March 1. 2022</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10.28</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March 1. 2022</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August 4, 2022</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10.2</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August 4, 2022</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November 9, 2022</w:t>
            </w:r>
          </w:p>
        </w:tc>
      </w:tr>
      <w:tr>
        <w:trPr>
          <w:trHeight w:val="1040"/>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10.2</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November 9, 2022</w:t>
            </w:r>
          </w:p>
        </w:tc>
      </w:tr>
      <w:tr>
        <w:trPr>
          <w:trHeight w:val="1039"/>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10.31</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10.32</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February 28, 2023</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May 9, 2023</w:t>
            </w:r>
          </w:p>
        </w:tc>
      </w:tr>
      <w:tr>
        <w:trPr>
          <w:trHeight w:val="824"/>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August 9, 2023</w:t>
            </w:r>
          </w:p>
        </w:tc>
      </w:tr>
      <w:tr>
        <w:trPr>
          <w:trHeight w:val="823"/>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001-39335</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10.2</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August 9, 2023</w:t>
            </w:r>
          </w:p>
        </w:tc>
      </w:tr>
      <w:tr>
        <w:trPr>
          <w:trHeight w:val="391"/>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5"/>
              </w:rPr>
              <w:t>S-1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333-238822</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21.1</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May 29, 2020</w:t>
            </w:r>
          </w:p>
        </w:tc>
      </w:tr>
    </w:tbl>
    <w:p>
      <w:pPr>
        <w:sectPr>
          <w:pgSz w:w="11900" w:h="16838" w:orient="portrait"/>
          <w:cols w:equalWidth="0" w:num="2">
            <w:col w:w="5740" w:space="340"/>
            <w:col w:w="5080"/>
          </w:cols>
          <w:pgMar w:left="340" w:top="1418" w:right="399" w:bottom="1440" w:gutter="0" w:footer="0" w:header="0"/>
        </w:sectPr>
      </w:pPr>
    </w:p>
    <w:bookmarkStart w:id="188" w:name="page189"/>
    <w:bookmarkEnd w:id="18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48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rPr>
              <w:t>Power of Attorney (incorporated by reference to the signature</w:t>
            </w:r>
          </w:p>
        </w:tc>
      </w:tr>
      <w:tr>
        <w:trPr>
          <w:trHeight w:val="196"/>
        </w:trPr>
        <w:tc>
          <w:tcPr>
            <w:tcW w:w="1140" w:type="dxa"/>
            <w:vAlign w:val="bottom"/>
          </w:tcPr>
          <w:p>
            <w:pPr>
              <w:spacing w:after="0"/>
              <w:rPr>
                <w:sz w:val="17"/>
                <w:szCs w:val="17"/>
                <w:color w:val="auto"/>
              </w:rPr>
            </w:pPr>
          </w:p>
        </w:tc>
        <w:tc>
          <w:tcPr>
            <w:tcW w:w="3140" w:type="dxa"/>
            <w:vAlign w:val="bottom"/>
            <w:tcBorders>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9"/>
              </w:rPr>
              <w:t>page of this Annual Report on Form 10-K).</w:t>
            </w:r>
          </w:p>
        </w:tc>
        <w:tc>
          <w:tcPr>
            <w:tcW w:w="1340" w:type="dxa"/>
            <w:vAlign w:val="bottom"/>
            <w:gridSpan w:val="6"/>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rPr>
              <w:t>Certification of Principal Executive Officer Pursuant to Rules</w:t>
            </w:r>
          </w:p>
        </w:tc>
      </w:tr>
      <w:tr>
        <w:trPr>
          <w:trHeight w:val="196"/>
        </w:trPr>
        <w:tc>
          <w:tcPr>
            <w:tcW w:w="1140" w:type="dxa"/>
            <w:vAlign w:val="bottom"/>
          </w:tcPr>
          <w:p>
            <w:pPr>
              <w:spacing w:after="0"/>
              <w:rPr>
                <w:sz w:val="17"/>
                <w:szCs w:val="17"/>
                <w:color w:val="auto"/>
              </w:rPr>
            </w:pPr>
          </w:p>
        </w:tc>
        <w:tc>
          <w:tcPr>
            <w:tcW w:w="434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13a-14(a) and 15d-14(a) under the Securities Exchange Act</w:t>
            </w:r>
          </w:p>
        </w:tc>
        <w:tc>
          <w:tcPr>
            <w:tcW w:w="14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563C1"/>
              </w:rPr>
              <w:t>of 1934, as Adopted Pursuant to Section 302 of the Sarbanes-</w:t>
            </w:r>
          </w:p>
        </w:tc>
      </w:tr>
      <w:tr>
        <w:trPr>
          <w:trHeight w:val="196"/>
        </w:trPr>
        <w:tc>
          <w:tcPr>
            <w:tcW w:w="1140" w:type="dxa"/>
            <w:vAlign w:val="bottom"/>
          </w:tcPr>
          <w:p>
            <w:pPr>
              <w:spacing w:after="0"/>
              <w:rPr>
                <w:sz w:val="17"/>
                <w:szCs w:val="17"/>
                <w:color w:val="auto"/>
              </w:rPr>
            </w:pPr>
          </w:p>
        </w:tc>
        <w:tc>
          <w:tcPr>
            <w:tcW w:w="1400" w:type="dxa"/>
            <w:vAlign w:val="bottom"/>
            <w:tcBorders>
              <w:top w:val="single" w:sz="8" w:color="0563C1"/>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9"/>
              </w:rPr>
              <w:t>Oxley Act of 2002.</w:t>
            </w:r>
          </w:p>
        </w:tc>
        <w:tc>
          <w:tcPr>
            <w:tcW w:w="3040" w:type="dxa"/>
            <w:vAlign w:val="bottom"/>
            <w:tcBorders>
              <w:top w:val="single" w:sz="8" w:color="0563C1"/>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6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Rules</w:t>
            </w: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34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13a-14(a) and 15d-14(a) under the Securities Exchange Act</w:t>
            </w:r>
          </w:p>
        </w:tc>
        <w:tc>
          <w:tcPr>
            <w:tcW w:w="14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563C1"/>
              </w:rPr>
              <w:t>of 1934, as Adopted Pursuant to Section 302 of the Sarbanes-</w:t>
            </w:r>
          </w:p>
        </w:tc>
      </w:tr>
      <w:tr>
        <w:trPr>
          <w:trHeight w:val="196"/>
        </w:trPr>
        <w:tc>
          <w:tcPr>
            <w:tcW w:w="1140" w:type="dxa"/>
            <w:vAlign w:val="bottom"/>
          </w:tcPr>
          <w:p>
            <w:pPr>
              <w:spacing w:after="0"/>
              <w:rPr>
                <w:sz w:val="17"/>
                <w:szCs w:val="17"/>
                <w:color w:val="auto"/>
              </w:rPr>
            </w:pPr>
          </w:p>
        </w:tc>
        <w:tc>
          <w:tcPr>
            <w:tcW w:w="1400" w:type="dxa"/>
            <w:vAlign w:val="bottom"/>
            <w:tcBorders>
              <w:top w:val="single" w:sz="8" w:color="0563C1"/>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9"/>
              </w:rPr>
              <w:t>Oxley Act of 2002.</w:t>
            </w:r>
          </w:p>
        </w:tc>
        <w:tc>
          <w:tcPr>
            <w:tcW w:w="3040" w:type="dxa"/>
            <w:vAlign w:val="bottom"/>
            <w:tcBorders>
              <w:top w:val="single" w:sz="8" w:color="0563C1"/>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8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rPr>
              <w:t>Certification Pursuant to 18 U.S.C. Section 1350, as Adopted</w:t>
            </w:r>
          </w:p>
        </w:tc>
      </w:tr>
      <w:tr>
        <w:trPr>
          <w:trHeight w:val="196"/>
        </w:trPr>
        <w:tc>
          <w:tcPr>
            <w:tcW w:w="1140" w:type="dxa"/>
            <w:vAlign w:val="bottom"/>
          </w:tcPr>
          <w:p>
            <w:pPr>
              <w:spacing w:after="0"/>
              <w:rPr>
                <w:sz w:val="17"/>
                <w:szCs w:val="17"/>
                <w:color w:val="auto"/>
              </w:rPr>
            </w:pPr>
          </w:p>
        </w:tc>
        <w:tc>
          <w:tcPr>
            <w:tcW w:w="4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906 of the Sarbanes-Oxley Act of 2002.</w:t>
            </w: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402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rPr>
              <w:t>Incentive Compensation Recoupment Policy of Repare</w:t>
            </w:r>
          </w:p>
        </w:tc>
        <w:tc>
          <w:tcPr>
            <w:tcW w:w="300" w:type="dxa"/>
            <w:vAlign w:val="bottom"/>
            <w:tcBorders>
              <w:top w:val="single" w:sz="8" w:color="0563C1"/>
            </w:tcBorders>
          </w:tcPr>
          <w:p>
            <w:pPr>
              <w:spacing w:after="0"/>
              <w:rPr>
                <w:sz w:val="24"/>
                <w:szCs w:val="24"/>
                <w:color w:val="auto"/>
              </w:rPr>
            </w:pPr>
          </w:p>
        </w:tc>
        <w:tc>
          <w:tcPr>
            <w:tcW w:w="16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6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9"/>
              </w:rPr>
              <w:t>Therapeutics Inc.</w:t>
            </w:r>
          </w:p>
        </w:tc>
        <w:tc>
          <w:tcPr>
            <w:tcW w:w="3220" w:type="dxa"/>
            <w:vAlign w:val="bottom"/>
            <w:gridSpan w:val="8"/>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r>
      <w:tr>
        <w:trPr>
          <w:trHeight w:val="234"/>
        </w:trPr>
        <w:tc>
          <w:tcPr>
            <w:tcW w:w="1140" w:type="dxa"/>
            <w:vAlign w:val="bottom"/>
          </w:tcPr>
          <w:p>
            <w:pPr>
              <w:spacing w:after="0"/>
              <w:rPr>
                <w:sz w:val="20"/>
                <w:szCs w:val="20"/>
                <w:color w:val="auto"/>
              </w:rPr>
            </w:pPr>
          </w:p>
        </w:tc>
        <w:tc>
          <w:tcPr>
            <w:tcW w:w="4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Documents</w:t>
            </w:r>
          </w:p>
        </w:tc>
      </w:tr>
    </w:tbl>
    <w:p>
      <w:pPr>
        <w:spacing w:after="0" w:line="157" w:lineRule="exact"/>
        <w:rPr>
          <w:sz w:val="20"/>
          <w:szCs w:val="20"/>
          <w:color w:val="auto"/>
        </w:rPr>
      </w:pPr>
    </w:p>
    <w:p>
      <w:pPr>
        <w:ind w:left="1160" w:right="5800" w:hanging="1139"/>
        <w:spacing w:after="0" w:line="282" w:lineRule="auto"/>
        <w:tabs>
          <w:tab w:leader="none" w:pos="11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Cover Page Interactive Data File (formatted as inline XBRL and contained in Exhibit 101)</w:t>
      </w:r>
    </w:p>
    <w:p>
      <w:pPr>
        <w:spacing w:after="0" w:line="10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(indicated by asterisks) have been omitted because they are not material and would likely cause competitive harm to Repare Therapeutics Inc. if publicly disclosed.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and exhibits to this exhibit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-1252855</wp:posOffset>
            </wp:positionV>
            <wp:extent cx="19030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2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REPARE THERAPEUTICS INC.</w:t>
            </w:r>
          </w:p>
        </w:tc>
      </w:tr>
      <w:tr>
        <w:trPr>
          <w:trHeight w:val="47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72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Lloyd M. Segal</w:t>
            </w:r>
          </w:p>
        </w:tc>
      </w:tr>
      <w:tr>
        <w:trPr>
          <w:trHeight w:val="205"/>
        </w:trPr>
        <w:tc>
          <w:tcPr>
            <w:tcW w:w="40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48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Lloyd M. Segal</w:t>
            </w:r>
          </w:p>
        </w:tc>
      </w:tr>
      <w:tr>
        <w:trPr>
          <w:trHeight w:val="234"/>
        </w:trPr>
        <w:tc>
          <w:tcPr>
            <w:tcW w:w="4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57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Lloyd Segal and Steve Forte,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89" w:lineRule="exact"/>
        <w:rPr>
          <w:sz w:val="20"/>
          <w:szCs w:val="20"/>
          <w:color w:val="auto"/>
        </w:rPr>
      </w:pPr>
    </w:p>
    <w:p>
      <w:pPr>
        <w:jc w:val="both"/>
        <w:ind w:firstLine="5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69" w:lineRule="exact"/>
        <w:rPr>
          <w:sz w:val="20"/>
          <w:szCs w:val="20"/>
          <w:color w:val="auto"/>
        </w:rPr>
      </w:pPr>
    </w:p>
    <w:p>
      <w:pPr>
        <w:ind w:left="1860"/>
        <w:spacing w:after="0"/>
        <w:tabs>
          <w:tab w:leader="none" w:pos="6380" w:val="left"/>
          <w:tab w:leader="none" w:pos="99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6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360" w:type="dxa"/>
            <w:vAlign w:val="bottom"/>
          </w:tcPr>
          <w:p>
            <w:pPr>
              <w:spacing w:after="0"/>
              <w:rPr>
                <w:sz w:val="18"/>
                <w:szCs w:val="18"/>
                <w:color w:val="auto"/>
              </w:rPr>
            </w:pPr>
          </w:p>
        </w:tc>
      </w:tr>
      <w:tr>
        <w:trPr>
          <w:trHeight w:val="25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Lloyd M. Segal</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Lloyd M. Segal</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04"/>
        </w:trPr>
        <w:tc>
          <w:tcPr>
            <w:tcW w:w="4060" w:type="dxa"/>
            <w:vAlign w:val="bottom"/>
          </w:tcPr>
          <w:p>
            <w:pPr>
              <w:spacing w:after="0"/>
              <w:rPr>
                <w:sz w:val="24"/>
                <w:szCs w:val="24"/>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360" w:type="dxa"/>
            <w:vAlign w:val="bottom"/>
          </w:tcPr>
          <w:p>
            <w:pPr>
              <w:spacing w:after="0"/>
              <w:rPr>
                <w:sz w:val="24"/>
                <w:szCs w:val="24"/>
                <w:color w:val="auto"/>
              </w:rPr>
            </w:pPr>
          </w:p>
        </w:tc>
      </w:tr>
      <w:tr>
        <w:trPr>
          <w:trHeight w:val="250"/>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 Forte</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Steve Forte</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Civik</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Thomas Civik</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Bonita, M.D.</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Bonita, M.D.</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Todd Foley</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Todd Foley</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Samarth Kulkarni, Ph.D.</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Samarth Kulkarni, Ph.D.</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M. Molineaux, Ph.D.</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Susan M. Molineaux, Ph.D.</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Briggs Morrison, M.D.</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Briggs Morrison, M.D.</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Ann D. Rhoads</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 D. Rhoads</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 A. Schafer</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28, 2024</w:t>
            </w:r>
          </w:p>
        </w:tc>
      </w:tr>
      <w:tr>
        <w:trPr>
          <w:trHeight w:val="182"/>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Carol A. Schafer</w:t>
            </w:r>
          </w:p>
        </w:tc>
        <w:tc>
          <w:tcPr>
            <w:tcW w:w="48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851"/>
        </w:trPr>
        <w:tc>
          <w:tcPr>
            <w:tcW w:w="4060" w:type="dxa"/>
            <w:vAlign w:val="bottom"/>
          </w:tcPr>
          <w:p>
            <w:pPr>
              <w:spacing w:after="0"/>
              <w:rPr>
                <w:sz w:val="24"/>
                <w:szCs w:val="24"/>
                <w:color w:val="auto"/>
              </w:rPr>
            </w:pPr>
          </w:p>
        </w:tc>
        <w:tc>
          <w:tcPr>
            <w:tcW w:w="4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188</w:t>
            </w:r>
          </w:p>
        </w:tc>
        <w:tc>
          <w:tcPr>
            <w:tcW w:w="2360" w:type="dxa"/>
            <w:vAlign w:val="bottom"/>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333-272269) pertaining to the New Hire Inducement Stock Option Grant of Repare Therapeutics Inc., the Registration Statements (Form S-8 Nos. 333-270170, 333-239400, 333-255048 and 333-263469) pertaining to the 2020 Equity Incentive Plan and the 2020 Employee Share Purchase Plan of Repare Therapeutics Inc. and in the Registration Statement (Form S-3 No. 333-257668) of Repare Therapeutics Inc. of our reports dated February 28, 2024, with respect to the consolidated financial statements of Repare Therapeutics Inc. and the effectiveness of internal control over financial reporting of Repare Therapeutics Inc. included in this Annual Report (Form 10-K) for the year ended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Montreal,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Lloyd M. Segal, certify that:</w:t>
      </w:r>
    </w:p>
    <w:p>
      <w:pPr>
        <w:spacing w:after="0" w:line="225"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Repare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2024</w:t>
            </w:r>
          </w:p>
        </w:tc>
        <w:tc>
          <w:tcPr>
            <w:tcW w:w="30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Lloyd M. Segal</w:t>
            </w:r>
          </w:p>
        </w:tc>
      </w:tr>
      <w:tr>
        <w:trPr>
          <w:trHeight w:val="205"/>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9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Lloyd M. Segal</w:t>
            </w:r>
          </w:p>
        </w:tc>
      </w:tr>
      <w:tr>
        <w:trPr>
          <w:trHeight w:val="214"/>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1640"/>
        </w:trPr>
        <w:tc>
          <w:tcPr>
            <w:tcW w:w="43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2022475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Forte, certify that:</w:t>
      </w:r>
    </w:p>
    <w:p>
      <w:pPr>
        <w:spacing w:after="0" w:line="27"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Repare Therapeutics Inc.;</w:t>
      </w:r>
    </w:p>
    <w:p>
      <w:pPr>
        <w:spacing w:after="0" w:line="206"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2024</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 Forte</w:t>
            </w:r>
          </w:p>
        </w:tc>
      </w:tr>
      <w:tr>
        <w:trPr>
          <w:trHeight w:val="205"/>
        </w:trPr>
        <w:tc>
          <w:tcPr>
            <w:tcW w:w="3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8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Steve Forte</w:t>
            </w:r>
          </w:p>
        </w:tc>
      </w:tr>
      <w:tr>
        <w:trPr>
          <w:trHeight w:val="214"/>
        </w:trPr>
        <w:tc>
          <w:tcPr>
            <w:tcW w:w="3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r>
      <w:tr>
        <w:trPr>
          <w:trHeight w:val="236"/>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789"/>
        </w:trPr>
        <w:tc>
          <w:tcPr>
            <w:tcW w:w="38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Lloyd M. Segal, as President and Chief Executive Officer of Repare Therapeutics Inc. (the “Company”), and Steve Forte, as Executive Vice President and Chief Financial Officer of the Company, each hereby certifies that, to the best of his knowledge:</w:t>
      </w:r>
    </w:p>
    <w:p>
      <w:pPr>
        <w:spacing w:after="0" w:line="193" w:lineRule="exact"/>
        <w:rPr>
          <w:sz w:val="20"/>
          <w:szCs w:val="20"/>
          <w:color w:val="auto"/>
        </w:rPr>
      </w:pPr>
    </w:p>
    <w:p>
      <w:pPr>
        <w:ind w:left="1120" w:right="780" w:hanging="375"/>
        <w:spacing w:after="0" w:line="255" w:lineRule="auto"/>
        <w:tabs>
          <w:tab w:leader="none" w:pos="11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Annual Report on Form 10-K for the fiscal year ended December 31, 2023 (the “Report”) fully complies with the requirements of Section 13(a) or 15(d) of the Exchange Act; and</w:t>
      </w:r>
    </w:p>
    <w:p>
      <w:pPr>
        <w:spacing w:after="0" w:line="197" w:lineRule="exact"/>
        <w:rPr>
          <w:rFonts w:ascii="Times New Roman" w:cs="Times New Roman" w:eastAsia="Times New Roman" w:hAnsi="Times New Roman"/>
          <w:sz w:val="20"/>
          <w:szCs w:val="20"/>
          <w:color w:val="auto"/>
        </w:rPr>
      </w:pPr>
    </w:p>
    <w:p>
      <w:pPr>
        <w:ind w:left="1120" w:right="460" w:hanging="375"/>
        <w:spacing w:after="0" w:line="255" w:lineRule="auto"/>
        <w:tabs>
          <w:tab w:leader="none" w:pos="11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2024</w:t>
            </w:r>
          </w:p>
        </w:tc>
        <w:tc>
          <w:tcPr>
            <w:tcW w:w="686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Lloyd M. Segal</w:t>
            </w:r>
          </w:p>
        </w:tc>
      </w:tr>
      <w:tr>
        <w:trPr>
          <w:trHeight w:val="205"/>
        </w:trPr>
        <w:tc>
          <w:tcPr>
            <w:tcW w:w="4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9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Lloyd M. Segal</w:t>
            </w:r>
          </w:p>
        </w:tc>
      </w:tr>
      <w:tr>
        <w:trPr>
          <w:trHeight w:val="214"/>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5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2024</w:t>
            </w:r>
          </w:p>
        </w:tc>
        <w:tc>
          <w:tcPr>
            <w:tcW w:w="686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Steve Forte</w:t>
            </w:r>
          </w:p>
        </w:tc>
      </w:tr>
      <w:tr>
        <w:trPr>
          <w:trHeight w:val="205"/>
        </w:trPr>
        <w:tc>
          <w:tcPr>
            <w:tcW w:w="4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9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Steve Forte</w:t>
            </w:r>
          </w:p>
        </w:tc>
      </w:tr>
      <w:tr>
        <w:trPr>
          <w:trHeight w:val="214"/>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r>
      <w:tr>
        <w:trPr>
          <w:trHeight w:val="236"/>
        </w:trPr>
        <w:tc>
          <w:tcPr>
            <w:tcW w:w="4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r>
        <w:trPr>
          <w:trHeight w:val="1640"/>
        </w:trPr>
        <w:tc>
          <w:tcPr>
            <w:tcW w:w="43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p>
    <w:p>
      <w:pPr>
        <w:spacing w:after="0" w:line="11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Repare Therapeutics Inc., a corporation continued under the Business Corporations Act (Québec)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determined that it is in the best interests of the Company and its shareholders to adopt this Incentive Compensation Recoupment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8"/>
          <w:szCs w:val="18"/>
          <w:b w:val="1"/>
          <w:bCs w:val="1"/>
          <w:i w:val="1"/>
          <w:iCs w:val="1"/>
          <w:color w:val="auto"/>
        </w:rPr>
        <w:t>Rule 10D-1</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Policy shall apply to all Incentive Compensation that is received by a Covered Officer on or after October 2, 2023 (the “Effective Date”). Incentive Compensation is deemed “received” in the Company’s fiscal period in which the Financial Reporting Measure specified in the Incentive Compensation award is attained, even if the payment or grant of such Incentive Compensation occurs after the end of that period.</w:t>
      </w:r>
    </w:p>
    <w:p>
      <w:pPr>
        <w:spacing w:after="0" w:line="280" w:lineRule="exact"/>
        <w:rPr>
          <w:sz w:val="20"/>
          <w:szCs w:val="20"/>
          <w:color w:val="auto"/>
        </w:rPr>
      </w:pPr>
    </w:p>
    <w:p>
      <w:pPr>
        <w:ind w:left="360" w:hanging="352"/>
        <w:spacing w:after="0"/>
        <w:tabs>
          <w:tab w:leader="none" w:pos="3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11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 Date</w:t>
      </w:r>
      <w:r>
        <w:rPr>
          <w:rFonts w:ascii="Times New Roman" w:cs="Times New Roman" w:eastAsia="Times New Roman" w:hAnsi="Times New Roman"/>
          <w:sz w:val="18"/>
          <w:szCs w:val="18"/>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Compensation Committee or, in the absence of such committee, the Board.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means each current and former Executive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8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derived wholly or in part from such measures, including Company stock price and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 measure need not be presented in the Company’s financial statements or included in a filing with the SEC in order to be a Financial Reporting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Recoverable Incentive Compensation</w:t>
      </w:r>
      <w:r>
        <w:rPr>
          <w:rFonts w:ascii="Times New Roman" w:cs="Times New Roman" w:eastAsia="Times New Roman" w:hAnsi="Times New Roman"/>
          <w:sz w:val="18"/>
          <w:szCs w:val="18"/>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333" w:lineRule="exact"/>
        <w:rPr>
          <w:sz w:val="20"/>
          <w:szCs w:val="20"/>
          <w:color w:val="auto"/>
        </w:rPr>
      </w:pPr>
    </w:p>
    <w:p>
      <w:pPr>
        <w:ind w:left="360" w:hanging="352"/>
        <w:spacing w:after="0"/>
        <w:tabs>
          <w:tab w:leader="none" w:pos="3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w:t>
      </w:r>
    </w:p>
    <w:p>
      <w:pPr>
        <w:spacing w:after="0" w:line="117" w:lineRule="exact"/>
        <w:rPr>
          <w:rFonts w:ascii="Times New Roman" w:cs="Times New Roman" w:eastAsia="Times New Roman" w:hAnsi="Times New Roman"/>
          <w:sz w:val="18"/>
          <w:szCs w:val="18"/>
          <w:b w:val="1"/>
          <w:bCs w:val="1"/>
          <w:color w:val="auto"/>
        </w:rPr>
      </w:pPr>
    </w:p>
    <w:p>
      <w:pPr>
        <w:jc w:val="both"/>
        <w:ind w:firstLine="757"/>
        <w:spacing w:after="0" w:line="268" w:lineRule="auto"/>
        <w:tabs>
          <w:tab w:leader="none" w:pos="1109"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Applicability of Policy. </w:t>
      </w:r>
      <w:r>
        <w:rPr>
          <w:rFonts w:ascii="Times New Roman" w:cs="Times New Roman" w:eastAsia="Times New Roman" w:hAnsi="Times New Roman"/>
          <w:sz w:val="18"/>
          <w:szCs w:val="18"/>
          <w:color w:val="auto"/>
        </w:rPr>
        <w:t>This Policy applies to Incentive Compensation received by a Covered Officer (i) after beginning services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70" w:lineRule="exact"/>
        <w:rPr>
          <w:rFonts w:ascii="Times New Roman" w:cs="Times New Roman" w:eastAsia="Times New Roman" w:hAnsi="Times New Roman"/>
          <w:sz w:val="18"/>
          <w:szCs w:val="18"/>
          <w:b w:val="1"/>
          <w:bCs w:val="1"/>
          <w:color w:val="auto"/>
        </w:rPr>
      </w:pPr>
    </w:p>
    <w:p>
      <w:pPr>
        <w:jc w:val="both"/>
        <w:ind w:firstLine="757"/>
        <w:spacing w:after="0" w:line="257" w:lineRule="auto"/>
        <w:tabs>
          <w:tab w:leader="none" w:pos="1109"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Generally. </w:t>
      </w:r>
      <w:r>
        <w:rPr>
          <w:rFonts w:ascii="Times New Roman" w:cs="Times New Roman" w:eastAsia="Times New Roman" w:hAnsi="Times New Roman"/>
          <w:sz w:val="18"/>
          <w:szCs w:val="18"/>
          <w:color w:val="auto"/>
        </w:rPr>
        <w:t>Pursuant to the provisions of this Policy, if there is an Accounting Restatement, the Company must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82"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Impracticability of Recovery. </w:t>
      </w:r>
      <w:r>
        <w:rPr>
          <w:rFonts w:ascii="Times New Roman" w:cs="Times New Roman" w:eastAsia="Times New Roman" w:hAnsi="Times New Roman"/>
          <w:sz w:val="18"/>
          <w:szCs w:val="18"/>
          <w:color w:val="auto"/>
        </w:rPr>
        <w:t>Recoupment may be determined to be impracticable if, and only if:</w:t>
      </w:r>
    </w:p>
    <w:p>
      <w:pPr>
        <w:spacing w:after="0" w:line="121" w:lineRule="exact"/>
        <w:rPr>
          <w:rFonts w:ascii="Times New Roman" w:cs="Times New Roman" w:eastAsia="Times New Roman" w:hAnsi="Times New Roman"/>
          <w:sz w:val="18"/>
          <w:szCs w:val="18"/>
          <w:b w:val="1"/>
          <w:bCs w:val="1"/>
          <w:color w:val="auto"/>
        </w:rPr>
      </w:pPr>
    </w:p>
    <w:p>
      <w:pPr>
        <w:jc w:val="both"/>
        <w:ind w:left="760" w:firstLine="745"/>
        <w:spacing w:after="0" w:line="258" w:lineRule="auto"/>
        <w:tabs>
          <w:tab w:leader="none" w:pos="1869"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183" w:lineRule="exact"/>
        <w:rPr>
          <w:rFonts w:ascii="Times New Roman" w:cs="Times New Roman" w:eastAsia="Times New Roman" w:hAnsi="Times New Roman"/>
          <w:sz w:val="18"/>
          <w:szCs w:val="18"/>
          <w:color w:val="auto"/>
        </w:rPr>
      </w:pPr>
    </w:p>
    <w:p>
      <w:pPr>
        <w:jc w:val="both"/>
        <w:ind w:left="760" w:firstLine="745"/>
        <w:spacing w:after="0" w:line="258" w:lineRule="auto"/>
        <w:tabs>
          <w:tab w:leader="none" w:pos="1869"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the applicable Recoverable Incentive Compensation would violate the laws of the Province of Québec that were adopted prior to November 28, 2022; provided that, before concluding that it would be impracticable to recover any amount of Recoverable Incentive Compensation based on violation of the laws of the Province of Québec, the Company shall obtain an opinion of counsel qualified in the Province of Québec, acceptable to the Exchange, that recoupment would result in such a violation, and shall provide such opinion to the Exchange in accordance with the Listing Standards; or</w:t>
      </w:r>
    </w:p>
    <w:p>
      <w:pPr>
        <w:spacing w:after="0" w:line="183" w:lineRule="exact"/>
        <w:rPr>
          <w:rFonts w:ascii="Times New Roman" w:cs="Times New Roman" w:eastAsia="Times New Roman" w:hAnsi="Times New Roman"/>
          <w:sz w:val="18"/>
          <w:szCs w:val="18"/>
          <w:color w:val="auto"/>
        </w:rPr>
      </w:pPr>
    </w:p>
    <w:p>
      <w:pPr>
        <w:jc w:val="both"/>
        <w:ind w:left="760" w:firstLine="745"/>
        <w:spacing w:after="0" w:line="266" w:lineRule="auto"/>
        <w:tabs>
          <w:tab w:leader="none" w:pos="1869"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71" w:lineRule="exact"/>
        <w:rPr>
          <w:rFonts w:ascii="Times New Roman" w:cs="Times New Roman" w:eastAsia="Times New Roman" w:hAnsi="Times New Roman"/>
          <w:sz w:val="18"/>
          <w:szCs w:val="18"/>
          <w:color w:val="auto"/>
        </w:rPr>
      </w:pPr>
    </w:p>
    <w:p>
      <w:pPr>
        <w:jc w:val="both"/>
        <w:ind w:left="520" w:firstLine="237"/>
        <w:spacing w:after="0" w:line="256" w:lineRule="auto"/>
        <w:tabs>
          <w:tab w:leader="none" w:pos="1119"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Sources of Recoupment. </w:t>
      </w:r>
      <w:r>
        <w:rPr>
          <w:rFonts w:ascii="Times New Roman" w:cs="Times New Roman" w:eastAsia="Times New Roman" w:hAnsi="Times New Roman"/>
          <w:sz w:val="18"/>
          <w:szCs w:val="18"/>
          <w:color w:val="auto"/>
        </w:rPr>
        <w:t>To the extent permitted by applicable law, the Administrator shall, in its sole discretion, determine the timing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unpaid);(iii) cancelling or offsetting against any planned future cash or equity-based awards; (iv) forfeiture of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8" w:name="page199"/>
    <w:bookmarkEnd w:id="198"/>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compensation, subject to compliance with Code Section409A;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e.g.,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79" w:lineRule="exact"/>
        <w:rPr>
          <w:sz w:val="20"/>
          <w:szCs w:val="20"/>
          <w:color w:val="auto"/>
        </w:rPr>
      </w:pPr>
    </w:p>
    <w:p>
      <w:pPr>
        <w:jc w:val="both"/>
        <w:ind w:left="520" w:firstLine="237"/>
        <w:spacing w:after="0" w:line="262" w:lineRule="auto"/>
        <w:tabs>
          <w:tab w:leader="none" w:pos="111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of Covered Officers. </w:t>
      </w:r>
      <w:r>
        <w:rPr>
          <w:rFonts w:ascii="Times New Roman" w:cs="Times New Roman" w:eastAsia="Times New Roman" w:hAnsi="Times New Roman"/>
          <w:sz w:val="18"/>
          <w:szCs w:val="18"/>
          <w:color w:val="auto"/>
        </w:rPr>
        <w:t>Notwithstanding any indemnification agreement, applicable insurance policy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76" w:lineRule="exact"/>
        <w:rPr>
          <w:rFonts w:ascii="Times New Roman" w:cs="Times New Roman" w:eastAsia="Times New Roman" w:hAnsi="Times New Roman"/>
          <w:sz w:val="18"/>
          <w:szCs w:val="18"/>
          <w:b w:val="1"/>
          <w:bCs w:val="1"/>
          <w:color w:val="auto"/>
        </w:rPr>
      </w:pPr>
    </w:p>
    <w:p>
      <w:pPr>
        <w:jc w:val="both"/>
        <w:ind w:left="520" w:firstLine="237"/>
        <w:spacing w:after="0" w:line="259" w:lineRule="auto"/>
        <w:tabs>
          <w:tab w:leader="none" w:pos="111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of Administrator. </w:t>
      </w:r>
      <w:r>
        <w:rPr>
          <w:rFonts w:ascii="Times New Roman" w:cs="Times New Roman" w:eastAsia="Times New Roman" w:hAnsi="Times New Roman"/>
          <w:sz w:val="18"/>
          <w:szCs w:val="18"/>
          <w:color w:val="auto"/>
        </w:rPr>
        <w:t>Any members of the Administrator, and any other members of the Board who assist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9" w:lineRule="exact"/>
        <w:rPr>
          <w:rFonts w:ascii="Times New Roman" w:cs="Times New Roman" w:eastAsia="Times New Roman" w:hAnsi="Times New Roman"/>
          <w:sz w:val="18"/>
          <w:szCs w:val="18"/>
          <w:b w:val="1"/>
          <w:bCs w:val="1"/>
          <w:color w:val="auto"/>
        </w:rPr>
      </w:pPr>
    </w:p>
    <w:p>
      <w:pPr>
        <w:jc w:val="both"/>
        <w:ind w:left="520" w:firstLine="237"/>
        <w:spacing w:after="0" w:line="262" w:lineRule="auto"/>
        <w:tabs>
          <w:tab w:leader="none" w:pos="111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“Good Reason” for Covered Officers. </w:t>
      </w:r>
      <w:r>
        <w:rPr>
          <w:rFonts w:ascii="Times New Roman" w:cs="Times New Roman" w:eastAsia="Times New Roman" w:hAnsi="Times New Roman"/>
          <w:sz w:val="18"/>
          <w:szCs w:val="18"/>
          <w:color w:val="auto"/>
        </w:rPr>
        <w:t>Any action by the Company to recoup or any recoupment of Recoverable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under this Policy from a Covered Officer shall not be deemed(i)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284" w:lineRule="exact"/>
        <w:rPr>
          <w:sz w:val="20"/>
          <w:szCs w:val="20"/>
          <w:color w:val="auto"/>
        </w:rPr>
      </w:pPr>
    </w:p>
    <w:p>
      <w:pPr>
        <w:ind w:left="360" w:hanging="352"/>
        <w:spacing w:after="0"/>
        <w:tabs>
          <w:tab w:leader="none" w:pos="3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296" w:lineRule="exact"/>
        <w:rPr>
          <w:sz w:val="20"/>
          <w:szCs w:val="20"/>
          <w:color w:val="auto"/>
        </w:rPr>
      </w:pPr>
    </w:p>
    <w:p>
      <w:pPr>
        <w:ind w:left="360" w:hanging="352"/>
        <w:spacing w:after="0"/>
        <w:tabs>
          <w:tab w:leader="none" w:pos="3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p>
    <w:p>
      <w:pPr>
        <w:spacing w:after="0" w:line="121" w:lineRule="exact"/>
        <w:rPr>
          <w:sz w:val="20"/>
          <w:szCs w:val="20"/>
          <w:color w:val="auto"/>
        </w:rPr>
      </w:pPr>
    </w:p>
    <w:p>
      <w:pPr>
        <w:jc w:val="both"/>
        <w:ind w:firstLine="821"/>
        <w:spacing w:after="0" w:line="266" w:lineRule="auto"/>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280" w:lineRule="exact"/>
        <w:rPr>
          <w:sz w:val="20"/>
          <w:szCs w:val="20"/>
          <w:color w:val="auto"/>
        </w:rPr>
      </w:pPr>
    </w:p>
    <w:p>
      <w:pPr>
        <w:ind w:left="360" w:hanging="352"/>
        <w:spacing w:after="0"/>
        <w:tabs>
          <w:tab w:leader="none" w:pos="3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mpairment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121" w:lineRule="exact"/>
        <w:rPr>
          <w:sz w:val="20"/>
          <w:szCs w:val="20"/>
          <w:color w:val="auto"/>
        </w:rPr>
      </w:pPr>
    </w:p>
    <w:p>
      <w:pPr>
        <w:jc w:val="both"/>
        <w:ind w:firstLine="795"/>
        <w:spacing w:after="0" w:line="254" w:lineRule="auto"/>
        <w:rPr>
          <w:sz w:val="20"/>
          <w:szCs w:val="20"/>
          <w:color w:val="auto"/>
        </w:rPr>
      </w:pPr>
      <w:r>
        <w:rPr>
          <w:rFonts w:ascii="Times New Roman" w:cs="Times New Roman" w:eastAsia="Times New Roman" w:hAnsi="Times New Roman"/>
          <w:sz w:val="18"/>
          <w:szCs w:val="18"/>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292" w:lineRule="exact"/>
        <w:rPr>
          <w:sz w:val="20"/>
          <w:szCs w:val="20"/>
          <w:color w:val="auto"/>
        </w:rPr>
      </w:pPr>
    </w:p>
    <w:p>
      <w:pPr>
        <w:ind w:left="360" w:hanging="352"/>
        <w:spacing w:after="0"/>
        <w:tabs>
          <w:tab w:leader="none" w:pos="3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9" w:name="page200"/>
    <w:bookmarkEnd w:id="199"/>
    <w:p>
      <w:pPr>
        <w:ind w:firstLine="749"/>
        <w:spacing w:after="0" w:line="282" w:lineRule="auto"/>
        <w:rPr>
          <w:sz w:val="20"/>
          <w:szCs w:val="20"/>
          <w:color w:val="auto"/>
        </w:rPr>
      </w:pPr>
      <w:r>
        <w:rPr>
          <w:rFonts w:ascii="Times New Roman" w:cs="Times New Roman" w:eastAsia="Times New Roman" w:hAnsi="Times New Roman"/>
          <w:sz w:val="18"/>
          <w:szCs w:val="18"/>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266" w:lineRule="exact"/>
        <w:rPr>
          <w:sz w:val="20"/>
          <w:szCs w:val="20"/>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uccessors</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266" w:lineRule="exact"/>
        <w:rPr>
          <w:sz w:val="20"/>
          <w:szCs w:val="20"/>
          <w:color w:val="auto"/>
        </w:rPr>
      </w:pPr>
    </w:p>
    <w:p>
      <w:pPr>
        <w:ind w:left="360" w:hanging="352"/>
        <w:spacing w:after="0"/>
        <w:tabs>
          <w:tab w:leader="none" w:pos="3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equired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ilings</w:t>
      </w:r>
    </w:p>
    <w:p>
      <w:pPr>
        <w:spacing w:after="0" w:line="121" w:lineRule="exact"/>
        <w:rPr>
          <w:sz w:val="20"/>
          <w:szCs w:val="20"/>
          <w:color w:val="auto"/>
        </w:rPr>
      </w:pPr>
    </w:p>
    <w:p>
      <w:pPr>
        <w:jc w:val="center"/>
        <w:ind w:left="580" w:right="500"/>
        <w:spacing w:after="0" w:line="282" w:lineRule="auto"/>
        <w:rPr>
          <w:sz w:val="20"/>
          <w:szCs w:val="20"/>
          <w:color w:val="auto"/>
        </w:rPr>
      </w:pPr>
      <w:r>
        <w:rPr>
          <w:rFonts w:ascii="Times New Roman" w:cs="Times New Roman" w:eastAsia="Times New Roman" w:hAnsi="Times New Roman"/>
          <w:sz w:val="18"/>
          <w:szCs w:val="18"/>
          <w:color w:val="auto"/>
        </w:rPr>
        <w:t>The Company shall make any disclosures and filings with respect to this Policy that are required by law, including as required by the SEC.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5107940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0" w:name="page201"/>
    <w:bookmarkEnd w:id="2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epare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the undersigned, agree and acknowledge that I am bound by, and subject to, the Repare Therapeutics Inc. Incentive Compensation Recoupment Policy, as may be amended, restated, supplemented or otherwise modified from time to time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In the event of any inconsistency between the Policy and the terms of any employment agreement, offer letter or other individual agreement with Repare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1" w:name="page202"/>
    <w:bookmarkEnd w:id="2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decimal"/>
      <w:start w:val="2"/>
    </w:lvl>
  </w:abstractNum>
  <w:abstractNum w:abstractNumId="8">
    <w:nsid w:val="1BA026FA"/>
    <w:multiLevelType w:val="hybridMultilevel"/>
    <w:lvl w:ilvl="0">
      <w:lvlJc w:val="left"/>
      <w:lvlText w:val="%1."/>
      <w:numFmt w:val="decimal"/>
      <w:start w:val="3"/>
    </w:lvl>
  </w:abstractNum>
  <w:abstractNum w:abstractNumId="9">
    <w:nsid w:val="79A1DEAA"/>
    <w:multiLevelType w:val="hybridMultilevel"/>
    <w:lvl w:ilvl="0">
      <w:lvlJc w:val="left"/>
      <w:lvlText w:val="%1."/>
      <w:numFmt w:val="decimal"/>
      <w:start w:val="4"/>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1."/>
      <w:numFmt w:val="decimal"/>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1."/>
      <w:numFmt w:val="lowerRoman"/>
      <w:start w:val="1"/>
    </w:lvl>
  </w:abstractNum>
  <w:abstractNum w:abstractNumId="19">
    <w:nsid w:val="39386575"/>
    <w:multiLevelType w:val="hybridMultilevel"/>
    <w:lvl w:ilvl="0">
      <w:lvlJc w:val="left"/>
      <w:lvlText w:val="%1."/>
      <w:numFmt w:val="lowerRoman"/>
      <w:start w:val="1"/>
    </w:lvl>
  </w:abstractNum>
  <w:abstractNum w:abstractNumId="20">
    <w:nsid w:val="1CF10FD8"/>
    <w:multiLevelType w:val="hybridMultilevel"/>
    <w:lvl w:ilvl="0">
      <w:lvlJc w:val="left"/>
      <w:lvlText w:val="%1."/>
      <w:numFmt w:val="lowerRoman"/>
      <w:start w:val="1"/>
    </w:lvl>
  </w:abstractNum>
  <w:abstractNum w:abstractNumId="21">
    <w:nsid w:val="180115BE"/>
    <w:multiLevelType w:val="hybridMultilevel"/>
    <w:lvl w:ilvl="0">
      <w:lvlJc w:val="left"/>
      <w:lvlText w:val="(%1)"/>
      <w:numFmt w:val="lowerRoman"/>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1)"/>
      <w:numFmt w:val="decimal"/>
      <w:start w:val="2"/>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2"/>
    </w:lvl>
  </w:abstractNum>
  <w:abstractNum w:abstractNumId="59">
    <w:nsid w:val="BF72B14"/>
    <w:multiLevelType w:val="hybridMultilevel"/>
    <w:lvl w:ilvl="0">
      <w:lvlJc w:val="left"/>
      <w:lvlText w:val="%1."/>
      <w:numFmt w:val="decimal"/>
      <w:start w:val="3"/>
    </w:lvl>
  </w:abstractNum>
  <w:abstractNum w:abstractNumId="60">
    <w:nsid w:val="11447B73"/>
    <w:multiLevelType w:val="hybridMultilevel"/>
    <w:lvl w:ilvl="0">
      <w:lvlJc w:val="left"/>
      <w:lvlText w:val="%1."/>
      <w:numFmt w:val="decimal"/>
      <w:start w:val="4"/>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decimal"/>
      <w:start w:val="2"/>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decimal"/>
      <w:start w:val="10"/>
    </w:lvl>
  </w:abstractNum>
  <w:abstractNum w:abstractNumId="73">
    <w:nsid w:val="71EA1109"/>
    <w:multiLevelType w:val="hybridMultilevel"/>
    <w:lvl w:ilvl="0">
      <w:lvlJc w:val="left"/>
      <w:lvlText w:val="%1."/>
      <w:numFmt w:val="decimal"/>
      <w:start w:val="1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lowerLetter"/>
      <w:start w:val="1"/>
    </w:lvl>
    <w:lvl w:ilvl="1">
      <w:lvlJc w:val="left"/>
      <w:lvlText w:val="(%2)"/>
      <w:numFmt w:val="decimal"/>
      <w:start w:val="1"/>
    </w:lvl>
  </w:abstractNum>
  <w:abstractNum w:abstractNumId="77">
    <w:nsid w:val="6F6DD9AC"/>
    <w:multiLevelType w:val="hybridMultilevel"/>
    <w:lvl w:ilvl="0">
      <w:lvlJc w:val="left"/>
      <w:lvlText w:val="*"/>
      <w:numFmt w:val="bullet"/>
      <w:start w:val="1"/>
    </w:lvl>
    <w:lvl w:ilvl="1">
      <w:lvlJc w:val="left"/>
      <w:lvlText w:val="%2"/>
      <w:numFmt w:val="decimal"/>
      <w:start w:val="104"/>
    </w:lvl>
  </w:abstractNum>
  <w:abstractNum w:abstractNumId="78">
    <w:nsid w:val="94211F2"/>
    <w:multiLevelType w:val="hybridMultilevel"/>
    <w:lvl w:ilvl="0">
      <w:lvlJc w:val="left"/>
      <w:lvlText w:val="**"/>
      <w:numFmt w:val="bullet"/>
      <w:start w:val="1"/>
    </w:lvl>
    <w:lvl w:ilvl="1">
      <w:lvlJc w:val="left"/>
      <w:lvlText w:val="%2"/>
      <w:numFmt w:val="decimal"/>
      <w:start w:val="1"/>
    </w:lvl>
  </w:abstractNum>
  <w:abstractNum w:abstractNumId="79">
    <w:nsid w:val="885E1B"/>
    <w:multiLevelType w:val="hybridMultilevel"/>
    <w:lvl w:ilvl="0">
      <w:lvlJc w:val="left"/>
      <w:lvlText w:val="%1."/>
      <w:numFmt w:val="decimal"/>
      <w:start w:val="1"/>
    </w:lvl>
    <w:lvl w:ilvl="1">
      <w:lvlJc w:val="left"/>
      <w:lvlText w:val="(%2)"/>
      <w:numFmt w:val="lowerLetter"/>
      <w:start w:val="1"/>
    </w:lvl>
  </w:abstractNum>
  <w:abstractNum w:abstractNumId="80">
    <w:nsid w:val="76272110"/>
    <w:multiLevelType w:val="hybridMultilevel"/>
    <w:lvl w:ilvl="0">
      <w:lvlJc w:val="left"/>
      <w:lvlText w:val="%1."/>
      <w:numFmt w:val="decimal"/>
      <w:start w:val="1"/>
    </w:lvl>
    <w:lvl w:ilvl="1">
      <w:lvlJc w:val="left"/>
      <w:lvlText w:val="(%2)"/>
      <w:numFmt w:val="lowerLetter"/>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decimal"/>
      <w:start w:val="2"/>
    </w:lvl>
  </w:abstractNum>
  <w:abstractNum w:abstractNumId="84">
    <w:nsid w:val="3222E7CD"/>
    <w:multiLevelType w:val="hybridMultilevel"/>
    <w:lvl w:ilvl="0">
      <w:lvlJc w:val="left"/>
      <w:lvlText w:val="%1."/>
      <w:numFmt w:val="decimal"/>
      <w:start w:val="3"/>
    </w:lvl>
  </w:abstractNum>
  <w:abstractNum w:abstractNumId="85">
    <w:nsid w:val="74DE0EE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6">
    <w:nsid w:val="68EBC550"/>
    <w:multiLevelType w:val="hybridMultilevel"/>
    <w:lvl w:ilvl="0">
      <w:lvlJc w:val="left"/>
      <w:lvlText w:val="(%1)"/>
      <w:numFmt w:val="lowerLetter"/>
      <w:start w:val="5"/>
    </w:lvl>
  </w:abstractNum>
  <w:abstractNum w:abstractNumId="87">
    <w:nsid w:val="2DF6D648"/>
    <w:multiLevelType w:val="hybridMultilevel"/>
    <w:lvl w:ilvl="0">
      <w:lvlJc w:val="left"/>
      <w:lvlText w:val="%1."/>
      <w:numFmt w:val="decimal"/>
      <w:start w:val="5"/>
    </w:lvl>
  </w:abstractNum>
  <w:abstractNum w:abstractNumId="88">
    <w:nsid w:val="46B7D447"/>
    <w:multiLevelType w:val="hybridMultilevel"/>
    <w:lvl w:ilvl="0">
      <w:lvlJc w:val="left"/>
      <w:lvlText w:val="%1."/>
      <w:numFmt w:val="decimal"/>
      <w:start w:val="6"/>
    </w:lvl>
  </w:abstractNum>
  <w:abstractNum w:abstractNumId="89">
    <w:nsid w:val="4A2AC315"/>
    <w:multiLevelType w:val="hybridMultilevel"/>
    <w:lvl w:ilvl="0">
      <w:lvlJc w:val="left"/>
      <w:lvlText w:val="%1."/>
      <w:numFmt w:val="decimal"/>
      <w:start w:val="7"/>
    </w:lvl>
  </w:abstractNum>
  <w:abstractNum w:abstractNumId="90">
    <w:nsid w:val="39EE015C"/>
    <w:multiLevelType w:val="hybridMultilevel"/>
    <w:lvl w:ilvl="0">
      <w:lvlJc w:val="left"/>
      <w:lvlText w:val="%1."/>
      <w:numFmt w:val="decimal"/>
      <w:start w:val="8"/>
    </w:lvl>
  </w:abstractNum>
  <w:abstractNum w:abstractNumId="91">
    <w:nsid w:val="57FC4FBB"/>
    <w:multiLevelType w:val="hybridMultilevel"/>
    <w:lvl w:ilvl="0">
      <w:lvlJc w:val="left"/>
      <w:lvlText w:val="%1."/>
      <w:numFmt w:val="decimal"/>
      <w:start w:val="9"/>
    </w:lvl>
  </w:abstractNum>
  <w:abstractNum w:abstractNumId="92">
    <w:nsid w:val="CC1016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28" Type="http://schemas.openxmlformats.org/officeDocument/2006/relationships/image" Target="media/image405.png"/><Relationship Id="rId429"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56" Type="http://schemas.openxmlformats.org/officeDocument/2006/relationships/image" Target="media/image409.png"/><Relationship Id="rId457" Type="http://schemas.openxmlformats.org/officeDocument/2006/relationships/image" Target="media/image410.png"/><Relationship Id="rId458" Type="http://schemas.openxmlformats.org/officeDocument/2006/relationships/image" Target="media/image411.png"/><Relationship Id="rId459" Type="http://schemas.openxmlformats.org/officeDocument/2006/relationships/image" Target="media/image412.png"/><Relationship Id="rId460" Type="http://schemas.openxmlformats.org/officeDocument/2006/relationships/image" Target="media/image413.png"/><Relationship Id="rId461" Type="http://schemas.openxmlformats.org/officeDocument/2006/relationships/image" Target="media/image414.png"/><Relationship Id="rId462" Type="http://schemas.openxmlformats.org/officeDocument/2006/relationships/image" Target="media/image415.png"/><Relationship Id="rId463" Type="http://schemas.openxmlformats.org/officeDocument/2006/relationships/image" Target="media/image416.png"/><Relationship Id="rId464" Type="http://schemas.openxmlformats.org/officeDocument/2006/relationships/image" Target="media/image417.png"/><Relationship Id="rId465" Type="http://schemas.openxmlformats.org/officeDocument/2006/relationships/image" Target="media/image418.png"/><Relationship Id="rId466" Type="http://schemas.openxmlformats.org/officeDocument/2006/relationships/image" Target="media/image419.png"/><Relationship Id="rId467" Type="http://schemas.openxmlformats.org/officeDocument/2006/relationships/image" Target="media/image420.png"/><Relationship Id="rId468" Type="http://schemas.openxmlformats.org/officeDocument/2006/relationships/image" Target="media/image421.png"/><Relationship Id="rId469" Type="http://schemas.openxmlformats.org/officeDocument/2006/relationships/image" Target="media/image422.png"/><Relationship Id="rId470" Type="http://schemas.openxmlformats.org/officeDocument/2006/relationships/image" Target="media/image423.png"/><Relationship Id="rId471" Type="http://schemas.openxmlformats.org/officeDocument/2006/relationships/image" Target="media/image424.png"/><Relationship Id="rId472" Type="http://schemas.openxmlformats.org/officeDocument/2006/relationships/image" Target="media/image425.png"/><Relationship Id="rId473" Type="http://schemas.openxmlformats.org/officeDocument/2006/relationships/image" Target="media/image426.png"/><Relationship Id="rId474" Type="http://schemas.openxmlformats.org/officeDocument/2006/relationships/image" Target="media/image427.png"/><Relationship Id="rId475" Type="http://schemas.openxmlformats.org/officeDocument/2006/relationships/image" Target="media/image428.png"/><Relationship Id="rId412" Type="http://schemas.openxmlformats.org/officeDocument/2006/relationships/hyperlink" Target="https://www.sec.gov/Archives/edgar/data/1808158/000119312520176579/d920931dex31.htm" TargetMode="External"/><Relationship Id="rId413" Type="http://schemas.openxmlformats.org/officeDocument/2006/relationships/hyperlink" Target="https://www.sec.gov/Archives/edgar/data/1808158/000119312520176579/d920931dex32.htm" TargetMode="External"/><Relationship Id="rId414" Type="http://schemas.openxmlformats.org/officeDocument/2006/relationships/hyperlink" Target="https://www.sec.gov/Archives/edgar/data/0001808158/000119312520168295/d908774dex41.htm" TargetMode="External"/><Relationship Id="rId415" Type="http://schemas.openxmlformats.org/officeDocument/2006/relationships/hyperlink" Target="https://www.sec.gov/Archives/edgar/data/1808158/000119312520155961/d908774dex42.htm" TargetMode="External"/><Relationship Id="rId416" Type="http://schemas.openxmlformats.org/officeDocument/2006/relationships/hyperlink" Target="https://www.sec.gov/Archives/edgar/data/1808158/000119312520155961/d908774dex43.htm" TargetMode="External"/><Relationship Id="rId417" Type="http://schemas.openxmlformats.org/officeDocument/2006/relationships/hyperlink" Target="https://www.sec.gov/Archives/edgar/data/1808158/000156459021011011/rptx-ex44_737.htm" TargetMode="External"/><Relationship Id="rId418" Type="http://schemas.openxmlformats.org/officeDocument/2006/relationships/hyperlink" Target="https://www.sec.gov/Archives/edgar/data/1808158/000119312520155961/d908774dex101.htm" TargetMode="External"/><Relationship Id="rId419" Type="http://schemas.openxmlformats.org/officeDocument/2006/relationships/hyperlink" Target="https://www.sec.gov/Archives/edgar/data/1808158/000119312520155961/d908774dex102.htm" TargetMode="External"/><Relationship Id="rId420" Type="http://schemas.openxmlformats.org/officeDocument/2006/relationships/hyperlink" Target="https://www.sec.gov/Archives/edgar/data/0001808158/000119312520168295/d908774dex103.htm" TargetMode="External"/><Relationship Id="rId421" Type="http://schemas.openxmlformats.org/officeDocument/2006/relationships/hyperlink" Target="https://www.sec.gov/Archives/edgar/data/0001808158/000119312520168295/d908774dex104.htm" TargetMode="External"/><Relationship Id="rId422" Type="http://schemas.openxmlformats.org/officeDocument/2006/relationships/hyperlink" Target="https://www.sec.gov/Archives/edgar/data/0001808158/000119312520168295/d908774dex105.htm" TargetMode="External"/><Relationship Id="rId423" Type="http://schemas.openxmlformats.org/officeDocument/2006/relationships/hyperlink" Target="https://www.sec.gov/Archives/edgar/data/0001808158/000119312520168295/d908774dex106.htm" TargetMode="External"/><Relationship Id="rId424" Type="http://schemas.openxmlformats.org/officeDocument/2006/relationships/hyperlink" Target="https://www.sec.gov/Archives/edgar/data/0001808158/000119312520168295/d908774dex107.htm" TargetMode="External"/><Relationship Id="rId425" Type="http://schemas.openxmlformats.org/officeDocument/2006/relationships/hyperlink" Target="https://www.sec.gov/Archives/edgar/data/0001808158/000119312520168295/d908774dex108.htm" TargetMode="External"/><Relationship Id="rId426" Type="http://schemas.openxmlformats.org/officeDocument/2006/relationships/hyperlink" Target="https://www.sec.gov/Archives/edgar/data/0001808158/000119312520168295/d908774dex109.htm" TargetMode="External"/><Relationship Id="rId427" Type="http://schemas.openxmlformats.org/officeDocument/2006/relationships/hyperlink" Target="https://www.sec.gov/Archives/edgar/data/0001808158/000119312520168295/d908774dex1010.htm" TargetMode="External"/><Relationship Id="rId430" Type="http://schemas.openxmlformats.org/officeDocument/2006/relationships/hyperlink" Target="https://www.sec.gov/Archives/edgar/data/1808158/000095017022002560/rptx-ex10_11.htm" TargetMode="External"/><Relationship Id="rId431" Type="http://schemas.openxmlformats.org/officeDocument/2006/relationships/hyperlink" Target="https://www.sec.gov/Archives/edgar/data/0001808158/000119312520168295/d908774dex1014.htm" TargetMode="External"/><Relationship Id="rId432" Type="http://schemas.openxmlformats.org/officeDocument/2006/relationships/hyperlink" Target="https://www.sec.gov/Archives/edgar/data/1808158/000119312520155961/d908774dex1016.htm" TargetMode="External"/><Relationship Id="rId433" Type="http://schemas.openxmlformats.org/officeDocument/2006/relationships/hyperlink" Target="https://www.sec.gov/Archives/edgar/data/1808158/000119312520155961/d908774dex1017.htm" TargetMode="External"/><Relationship Id="rId434" Type="http://schemas.openxmlformats.org/officeDocument/2006/relationships/hyperlink" Target="https://www.sec.gov/Archives/edgar/data/1808158/000156459020040024/rptx-ex101_64.htm" TargetMode="External"/><Relationship Id="rId435" Type="http://schemas.openxmlformats.org/officeDocument/2006/relationships/hyperlink" Target="https://www.sec.gov/Archives/edgar/data/1808158/000156459020053203/rptx-ex101_111.htm" TargetMode="External"/><Relationship Id="rId436" Type="http://schemas.openxmlformats.org/officeDocument/2006/relationships/hyperlink" Target="https://www.sec.gov/Archives/edgar/data/1808158/000156459020053203/rptx-ex102_209.htm" TargetMode="External"/><Relationship Id="rId437" Type="http://schemas.openxmlformats.org/officeDocument/2006/relationships/hyperlink" Target="https://www.sec.gov/Archives/edgar/data/1808158/000156459021011011/rptx-ex1020_738.htm" TargetMode="External"/><Relationship Id="rId438" Type="http://schemas.openxmlformats.org/officeDocument/2006/relationships/hyperlink" Target="https://www.sec.gov/Archives/edgar/data/1808158/000156459021043943/rptx-ex101_145.htm" TargetMode="External"/><Relationship Id="rId439" Type="http://schemas.openxmlformats.org/officeDocument/2006/relationships/hyperlink" Target="https://www.sec.gov/Archives/edgar/data/1808158/000156459021043943/rptx-ex102_144.htm" TargetMode="External"/><Relationship Id="rId440" Type="http://schemas.openxmlformats.org/officeDocument/2006/relationships/hyperlink" Target="https://www.sec.gov/Archives/edgar/data/1808158/000156459021043943/rptx-ex103_146.htm" TargetMode="External"/><Relationship Id="rId441" Type="http://schemas.openxmlformats.org/officeDocument/2006/relationships/hyperlink" Target="https://www.sec.gov/Archives/edgar/data/1808158/000156459021043943/rptx-ex104_177.htm" TargetMode="External"/><Relationship Id="rId444" Type="http://schemas.openxmlformats.org/officeDocument/2006/relationships/hyperlink" Target="https://www.sec.gov/Archives/edgar/data/1808158/000095017022002560/rptx-ex10_27.htm" TargetMode="External"/><Relationship Id="rId445" Type="http://schemas.openxmlformats.org/officeDocument/2006/relationships/hyperlink" Target="https://www.sec.gov/Archives/edgar/data/1808158/000095017022002560/rptx-ex10_28.htm" TargetMode="External"/><Relationship Id="rId446" Type="http://schemas.openxmlformats.org/officeDocument/2006/relationships/hyperlink" Target="https://www.sec.gov/Archives/edgar/data/1808158/000095017022014820/rptx-ex10_1.htm" TargetMode="External"/><Relationship Id="rId447" Type="http://schemas.openxmlformats.org/officeDocument/2006/relationships/hyperlink" Target="https://www.sec.gov/Archives/edgar/data/1808158/000095017022014820/rptx-ex10_2.htm" TargetMode="External"/><Relationship Id="rId448" Type="http://schemas.openxmlformats.org/officeDocument/2006/relationships/hyperlink" Target="https://www.sec.gov/Archives/edgar/data/1808158/000095017022023919/rptx-ex10_1.htm" TargetMode="External"/><Relationship Id="rId449" Type="http://schemas.openxmlformats.org/officeDocument/2006/relationships/hyperlink" Target="https://www.sec.gov/Archives/edgar/data/1808158/000095017022023919/rptx-ex10_2.htm" TargetMode="External"/><Relationship Id="rId450" Type="http://schemas.openxmlformats.org/officeDocument/2006/relationships/hyperlink" Target="https://www.sec.gov/Archives/edgar/data/1808158/000095017023005113/rptx-ex10_31.htm" TargetMode="External"/><Relationship Id="rId451" Type="http://schemas.openxmlformats.org/officeDocument/2006/relationships/hyperlink" Target="https://www.sec.gov/Archives/edgar/data/1808158/000095017023005113/rptx-ex10_32.htm" TargetMode="External"/><Relationship Id="rId452" Type="http://schemas.openxmlformats.org/officeDocument/2006/relationships/hyperlink" Target="https://www.sec.gov/Archives/edgar/data/1808158/000095017023019671/rptx-ex10_1.htm" TargetMode="External"/><Relationship Id="rId453" Type="http://schemas.openxmlformats.org/officeDocument/2006/relationships/hyperlink" Target="https://www.sec.gov/Archives/edgar/data/1808158/000095017023040588/rptx-ex10_1.htm" TargetMode="External"/><Relationship Id="rId454" Type="http://schemas.openxmlformats.org/officeDocument/2006/relationships/hyperlink" Target="https://www.sec.gov/Archives/edgar/data/1808158/000095017023040588/rptx-ex10_2.htm" TargetMode="External"/><Relationship Id="rId455" Type="http://schemas.openxmlformats.org/officeDocument/2006/relationships/hyperlink" Target="https://www.sec.gov/Archives/edgar/data/1808158/000119312520155961/d90877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2024-02-28T06:25:54Z</dcterms:created>
  <dcterms:modified xsi:type="dcterms:W3CDTF">2024-02-28T06:25:54Z</dcterms:modified>
</cp:coreProperties>
</file>