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60" w:type="dxa"/>
        <w:tblCellMar>
          <w:top w:w="0" w:type="dxa"/>
          <w:left w:w="0" w:type="dxa"/>
          <w:bottom w:w="0" w:type="dxa"/>
          <w:right w:w="0" w:type="dxa"/>
        </w:tblCellMar>
      </w:tblPr>
      <w:tr>
        <w:trPr>
          <w:trHeight w:val="235"/>
        </w:trPr>
        <w:tc>
          <w:tcPr>
            <w:tcW w:w="330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Quebec</w:t>
            </w:r>
          </w:p>
        </w:tc>
        <w:tc>
          <w:tcPr>
            <w:tcW w:w="3140" w:type="dxa"/>
            <w:vAlign w:val="bottom"/>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001-39335</w:t>
            </w: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4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40" w:type="dxa"/>
            <w:vAlign w:val="bottom"/>
          </w:tcPr>
          <w:p>
            <w:pPr>
              <w:spacing w:after="0"/>
              <w:rPr>
                <w:sz w:val="15"/>
                <w:szCs w:val="15"/>
                <w:color w:val="auto"/>
              </w:rPr>
            </w:pPr>
          </w:p>
        </w:tc>
        <w:tc>
          <w:tcPr>
            <w:tcW w:w="2100" w:type="dxa"/>
            <w:vAlign w:val="bottom"/>
          </w:tcPr>
          <w:p>
            <w:pPr>
              <w:jc w:val="center"/>
              <w:ind w:left="8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7171 Frederick-Banting, Building 2</w:t>
            </w:r>
          </w:p>
        </w:tc>
        <w:tc>
          <w:tcPr>
            <w:tcW w:w="3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9"/>
        </w:trPr>
        <w:tc>
          <w:tcPr>
            <w:tcW w:w="330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Suite 270</w:t>
            </w:r>
          </w:p>
        </w:tc>
        <w:tc>
          <w:tcPr>
            <w:tcW w:w="314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35"/>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St-Laurent, Quebec, Canada</w:t>
            </w:r>
          </w:p>
        </w:tc>
        <w:tc>
          <w:tcPr>
            <w:tcW w:w="3140" w:type="dxa"/>
            <w:vAlign w:val="bottom"/>
          </w:tcPr>
          <w:p>
            <w:pPr>
              <w:spacing w:after="0"/>
              <w:rPr>
                <w:sz w:val="20"/>
                <w:szCs w:val="20"/>
                <w:color w:val="auto"/>
              </w:rPr>
            </w:pP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rPr>
              <w:t>H4S 1Z9</w:t>
            </w:r>
          </w:p>
        </w:tc>
      </w:tr>
      <w:tr>
        <w:trPr>
          <w:trHeight w:val="178"/>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40" w:type="dxa"/>
            <w:vAlign w:val="bottom"/>
          </w:tcPr>
          <w:p>
            <w:pPr>
              <w:spacing w:after="0"/>
              <w:rPr>
                <w:sz w:val="15"/>
                <w:szCs w:val="15"/>
                <w:color w:val="auto"/>
              </w:rPr>
            </w:pP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857 412-7018</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332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RPTX</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6, 2024, Repare Therapeutics Inc. (the "Company") issued a press release announcing its recent business highlights and financial results for the three and six months ended June 30, 2024. A copy of the press release is furnished hereto as Exhibit 99.1 and is incorporated herein by reference.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herein and in the accompanying exhibits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website and any information contained on the Company’s website are not incorporated into this Current Report on Form 8-K.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58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250"/>
        </w:trPr>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2580" w:type="dxa"/>
            <w:vAlign w:val="bottom"/>
            <w:tcBorders>
              <w:bottom w:val="single" w:sz="8" w:color="auto"/>
            </w:tcBorders>
          </w:tcPr>
          <w:p>
            <w:pPr>
              <w:spacing w:after="0"/>
              <w:rPr>
                <w:sz w:val="21"/>
                <w:szCs w:val="21"/>
                <w:color w:val="auto"/>
              </w:rPr>
            </w:pPr>
          </w:p>
        </w:tc>
        <w:tc>
          <w:tcPr>
            <w:tcW w:w="76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06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Press Release dated August 6, 2024</w:t>
            </w:r>
          </w:p>
        </w:tc>
      </w:tr>
      <w:tr>
        <w:trPr>
          <w:trHeight w:val="20"/>
        </w:trPr>
        <w:tc>
          <w:tcPr>
            <w:tcW w:w="1060" w:type="dxa"/>
            <w:vAlign w:val="bottom"/>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bl>
    <w:p>
      <w:pPr>
        <w:spacing w:after="0" w:line="36" w:lineRule="exact"/>
        <w:rPr>
          <w:sz w:val="20"/>
          <w:szCs w:val="20"/>
          <w:color w:val="auto"/>
        </w:rPr>
      </w:pPr>
    </w:p>
    <w:p>
      <w:pPr>
        <w:ind w:left="1060" w:hanging="721"/>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Lloyd M. Segal</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30302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0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780" w:right="440"/>
        <w:spacing w:after="0"/>
        <w:rPr>
          <w:sz w:val="20"/>
          <w:szCs w:val="20"/>
          <w:color w:val="auto"/>
        </w:rPr>
      </w:pPr>
      <w:r>
        <w:rPr>
          <w:rFonts w:ascii="Calibri" w:cs="Calibri" w:eastAsia="Calibri" w:hAnsi="Calibri"/>
          <w:sz w:val="25"/>
          <w:szCs w:val="25"/>
          <w:b w:val="1"/>
          <w:bCs w:val="1"/>
          <w:color w:val="auto"/>
        </w:rPr>
        <w:t>Repare Therapeutcs Provides Business and Clinical Update and Reports Second Quarter 2024 Financial Results</w:t>
      </w:r>
    </w:p>
    <w:p>
      <w:pPr>
        <w:spacing w:after="0" w:line="235" w:lineRule="exact"/>
        <w:rPr>
          <w:sz w:val="20"/>
          <w:szCs w:val="20"/>
          <w:color w:val="auto"/>
        </w:rPr>
      </w:pPr>
    </w:p>
    <w:p>
      <w:pPr>
        <w:jc w:val="center"/>
        <w:ind w:left="340" w:right="300"/>
        <w:spacing w:after="0" w:line="235" w:lineRule="auto"/>
        <w:rPr>
          <w:sz w:val="20"/>
          <w:szCs w:val="20"/>
          <w:color w:val="auto"/>
        </w:rPr>
      </w:pPr>
      <w:r>
        <w:rPr>
          <w:rFonts w:ascii="Calibri" w:cs="Calibri" w:eastAsia="Calibri" w:hAnsi="Calibri"/>
          <w:sz w:val="22"/>
          <w:szCs w:val="22"/>
          <w:i w:val="1"/>
          <w:iCs w:val="1"/>
          <w:color w:val="auto"/>
        </w:rPr>
        <w:t>Reiterated guidance on data readout from MYTHIC trial evaluatng lunresertb and camonsertb in patents with platnum-resistant ovarian and endometrial cancers in Q4 2024</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2"/>
          <w:szCs w:val="22"/>
          <w:i w:val="1"/>
          <w:iCs w:val="1"/>
          <w:color w:val="auto"/>
        </w:rPr>
        <w:t>Granted Fast Track designaton by the FDA for lunresertb in combinaton with camonsertb in platnum-resistant ovarian cancer</w:t>
      </w:r>
    </w:p>
    <w:p>
      <w:pPr>
        <w:spacing w:after="0" w:line="230" w:lineRule="exact"/>
        <w:rPr>
          <w:sz w:val="20"/>
          <w:szCs w:val="20"/>
          <w:color w:val="auto"/>
        </w:rPr>
      </w:pPr>
    </w:p>
    <w:p>
      <w:pPr>
        <w:jc w:val="center"/>
        <w:ind w:right="40"/>
        <w:spacing w:after="0" w:line="235" w:lineRule="auto"/>
        <w:rPr>
          <w:sz w:val="20"/>
          <w:szCs w:val="20"/>
          <w:color w:val="auto"/>
        </w:rPr>
      </w:pPr>
      <w:r>
        <w:rPr>
          <w:rFonts w:ascii="Calibri" w:cs="Calibri" w:eastAsia="Calibri" w:hAnsi="Calibri"/>
          <w:sz w:val="22"/>
          <w:szCs w:val="22"/>
          <w:i w:val="1"/>
          <w:iCs w:val="1"/>
          <w:color w:val="auto"/>
        </w:rPr>
        <w:t>Presented positve inital data from Phase 1 MINOTAUR clinical trial evaluatng lunresertb in combinaton with FOLFIRI in heavily pretreated patents with gastrointestnal cancers at ESMO GI Congress 2024</w:t>
      </w: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22"/>
          <w:szCs w:val="22"/>
          <w:i w:val="1"/>
          <w:iCs w:val="1"/>
          <w:color w:val="auto"/>
        </w:rPr>
        <w:t>Dosed frst patent in camonsertb monotherapy NSCLC expansion of Phase 1/2 TRESR clinical trial</w:t>
      </w:r>
    </w:p>
    <w:p>
      <w:pPr>
        <w:spacing w:after="0" w:line="336"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color w:val="auto"/>
        </w:rPr>
        <w:t xml:space="preserve">CAMBRIDGE, Mass. &amp; MONTREAL (BUSINESS WIRE)—August 6, 2024— </w:t>
      </w:r>
      <w:r>
        <w:rPr>
          <w:rFonts w:ascii="Calibri" w:cs="Calibri" w:eastAsia="Calibri" w:hAnsi="Calibri"/>
          <w:sz w:val="22"/>
          <w:szCs w:val="22"/>
          <w:color w:val="auto"/>
        </w:rPr>
        <w:t>Repare Therapeutcs Inc. (“Repare” or the “Company”)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(Nasdaq: RPTX), a leading clinical-stage precision oncology company, today reported fnancial results for the second quarter ended June 30, 2024.</w:t>
      </w:r>
    </w:p>
    <w:p>
      <w:pPr>
        <w:spacing w:after="0" w:line="230" w:lineRule="exact"/>
        <w:rPr>
          <w:sz w:val="20"/>
          <w:szCs w:val="20"/>
          <w:color w:val="auto"/>
        </w:rPr>
      </w:pPr>
    </w:p>
    <w:p>
      <w:pPr>
        <w:jc w:val="both"/>
        <w:spacing w:after="0"/>
        <w:rPr>
          <w:sz w:val="20"/>
          <w:szCs w:val="20"/>
          <w:color w:val="auto"/>
        </w:rPr>
      </w:pPr>
      <w:r>
        <w:rPr>
          <w:rFonts w:ascii="Calibri" w:cs="Calibri" w:eastAsia="Calibri" w:hAnsi="Calibri"/>
          <w:sz w:val="22"/>
          <w:szCs w:val="22"/>
          <w:color w:val="auto"/>
        </w:rPr>
        <w:t>“We contnued to make meaningful progress across our clinical programs in the second quarter and we look forward to a catalyst-rich second half of 2024 that includes the release of data from our ongoing MYTHIC dose expansion clinical trial evaluatng the promising combinaton of lunresertb and camonsertb at the recommended Phase 2 dose. This combinaton therapy has the potental to be a new treatment paradigm in genomically-defned platnum-resistant ovarian cancer and second-line endometrial cancer. We remain on track to deliver this data in the fourth quarter of this year, with the potental to begin a registratonal trial in 2025,” said Lloyd M. Segal, President and CEO of Repare. “As we prepare for potental near-term registratonal clinical programs, we are thrilled that Dr. Steven H. Stein has joined Repare’s Board of Directors. He brings extensive experience in global pivotal trial development and will chair our Science and Technology Commitee. He replaces Dr. Briggs Morrison, who has been instrumental in building Repare into a leading, precision oncology company. We are grateful for Dr. Morrison’s seven years of service, his substantal contributons to our company, and for his longstanding and ongoing support.”</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Second Quarter 2024 and Recent Portolio Highlights:</w:t>
      </w:r>
    </w:p>
    <w:p>
      <w:pPr>
        <w:spacing w:after="0" w:line="109"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Lunresertb (RP-6306)</w:t>
      </w:r>
    </w:p>
    <w:p>
      <w:pPr>
        <w:spacing w:after="0" w:line="120" w:lineRule="exact"/>
        <w:rPr>
          <w:rFonts w:ascii="Times New Roman" w:cs="Times New Roman" w:eastAsia="Times New Roman" w:hAnsi="Times New Roman"/>
          <w:sz w:val="22"/>
          <w:szCs w:val="22"/>
          <w:color w:val="auto"/>
        </w:rPr>
      </w:pPr>
    </w:p>
    <w:p>
      <w:pPr>
        <w:jc w:val="both"/>
        <w:ind w:left="1020" w:hanging="503"/>
        <w:spacing w:after="0" w:line="238"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Currently evaluatng lunresertb in combinaton with camonsertb in Repare’s MYTHIC dose expansion clinical trial at the recommended Phase 2 dose (RP2D) in patents with platnum-resistant ovarian and endometrial cancers harboring </w:t>
      </w:r>
      <w:r>
        <w:rPr>
          <w:rFonts w:ascii="Calibri" w:cs="Calibri" w:eastAsia="Calibri" w:hAnsi="Calibri"/>
          <w:sz w:val="22"/>
          <w:szCs w:val="22"/>
          <w:i w:val="1"/>
          <w:iCs w:val="1"/>
          <w:color w:val="auto"/>
        </w:rPr>
        <w:t>CCNE1</w:t>
      </w:r>
      <w:r>
        <w:rPr>
          <w:rFonts w:ascii="Calibri" w:cs="Calibri" w:eastAsia="Calibri" w:hAnsi="Calibri"/>
          <w:sz w:val="22"/>
          <w:szCs w:val="22"/>
          <w:color w:val="auto"/>
        </w:rPr>
        <w:t xml:space="preserve"> amplifcaton or </w:t>
      </w:r>
      <w:r>
        <w:rPr>
          <w:rFonts w:ascii="Calibri" w:cs="Calibri" w:eastAsia="Calibri" w:hAnsi="Calibri"/>
          <w:sz w:val="22"/>
          <w:szCs w:val="22"/>
          <w:i w:val="1"/>
          <w:iCs w:val="1"/>
          <w:color w:val="auto"/>
        </w:rPr>
        <w:t>FBXW7</w:t>
      </w:r>
      <w:r>
        <w:rPr>
          <w:rFonts w:ascii="Calibri" w:cs="Calibri" w:eastAsia="Calibri" w:hAnsi="Calibri"/>
          <w:sz w:val="22"/>
          <w:szCs w:val="22"/>
          <w:color w:val="auto"/>
        </w:rPr>
        <w:t xml:space="preserve"> or </w:t>
      </w:r>
      <w:r>
        <w:rPr>
          <w:rFonts w:ascii="Calibri" w:cs="Calibri" w:eastAsia="Calibri" w:hAnsi="Calibri"/>
          <w:sz w:val="22"/>
          <w:szCs w:val="22"/>
          <w:i w:val="1"/>
          <w:iCs w:val="1"/>
          <w:color w:val="auto"/>
        </w:rPr>
        <w:t>PPP2R1A</w:t>
      </w:r>
      <w:r>
        <w:rPr>
          <w:rFonts w:ascii="Calibri" w:cs="Calibri" w:eastAsia="Calibri" w:hAnsi="Calibri"/>
          <w:sz w:val="22"/>
          <w:szCs w:val="22"/>
          <w:color w:val="auto"/>
        </w:rPr>
        <w:t xml:space="preserve"> mutatons, which are predictve of poor prognosis. Repare expects to report data from approximately 20-30 patents in each cohort in the fourth quarter of 2024.</w:t>
      </w:r>
    </w:p>
    <w:p>
      <w:pPr>
        <w:spacing w:after="0" w:line="122"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preparaton for a potental registratonal clinical trial start in 2025, Repare formed a collaboraton with Foundaton Medicine, Inc. to provide prospectve genomic profling for patents in the ongoing MYTHIC clinical trial. Additonally, Repare and Foundaton Medicine are exploring opportunites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ind w:left="1020" w:right="20"/>
        <w:spacing w:after="0" w:line="235" w:lineRule="auto"/>
        <w:rPr>
          <w:sz w:val="20"/>
          <w:szCs w:val="20"/>
          <w:color w:val="auto"/>
        </w:rPr>
      </w:pPr>
      <w:r>
        <w:rPr>
          <w:rFonts w:ascii="Calibri" w:cs="Calibri" w:eastAsia="Calibri" w:hAnsi="Calibri"/>
          <w:sz w:val="22"/>
          <w:szCs w:val="22"/>
          <w:color w:val="auto"/>
        </w:rPr>
        <w:t>develop FoundatonOne®CDx, a tssue-based comprehensive genomic profling test, as a companion diagnostc for the lunresertb program.</w:t>
      </w:r>
    </w:p>
    <w:p>
      <w:pPr>
        <w:spacing w:after="0" w:line="122" w:lineRule="exact"/>
        <w:rPr>
          <w:sz w:val="20"/>
          <w:szCs w:val="20"/>
          <w:color w:val="auto"/>
        </w:rPr>
      </w:pPr>
    </w:p>
    <w:p>
      <w:pPr>
        <w:jc w:val="both"/>
        <w:ind w:left="1020" w:hanging="503"/>
        <w:spacing w:after="0" w:line="237" w:lineRule="auto"/>
        <w:tabs>
          <w:tab w:leader="none" w:pos="102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Granted Fast-Track designaton by the U.S. Food and Drug Administraton (FDA) in June 2024 for lunresertb in combinaton with camonsertb for the treatment of adult patents with </w:t>
      </w:r>
      <w:r>
        <w:rPr>
          <w:rFonts w:ascii="Calibri" w:cs="Calibri" w:eastAsia="Calibri" w:hAnsi="Calibri"/>
          <w:sz w:val="22"/>
          <w:szCs w:val="22"/>
          <w:i w:val="1"/>
          <w:iCs w:val="1"/>
          <w:color w:val="auto"/>
        </w:rPr>
        <w:t>CCNE1</w:t>
      </w:r>
      <w:r>
        <w:rPr>
          <w:rFonts w:ascii="Calibri" w:cs="Calibri" w:eastAsia="Calibri" w:hAnsi="Calibri"/>
          <w:sz w:val="22"/>
          <w:szCs w:val="22"/>
          <w:color w:val="auto"/>
        </w:rPr>
        <w:t xml:space="preserve"> amplifed, or </w:t>
      </w:r>
      <w:r>
        <w:rPr>
          <w:rFonts w:ascii="Calibri" w:cs="Calibri" w:eastAsia="Calibri" w:hAnsi="Calibri"/>
          <w:sz w:val="22"/>
          <w:szCs w:val="22"/>
          <w:i w:val="1"/>
          <w:iCs w:val="1"/>
          <w:color w:val="auto"/>
        </w:rPr>
        <w:t>FBXW7</w:t>
      </w:r>
      <w:r>
        <w:rPr>
          <w:rFonts w:ascii="Calibri" w:cs="Calibri" w:eastAsia="Calibri" w:hAnsi="Calibri"/>
          <w:sz w:val="22"/>
          <w:szCs w:val="22"/>
          <w:color w:val="auto"/>
        </w:rPr>
        <w:t xml:space="preserve"> or </w:t>
      </w:r>
      <w:r>
        <w:rPr>
          <w:rFonts w:ascii="Calibri" w:cs="Calibri" w:eastAsia="Calibri" w:hAnsi="Calibri"/>
          <w:sz w:val="22"/>
          <w:szCs w:val="22"/>
          <w:i w:val="1"/>
          <w:iCs w:val="1"/>
          <w:color w:val="auto"/>
        </w:rPr>
        <w:t>PPP2R1A</w:t>
      </w:r>
      <w:r>
        <w:rPr>
          <w:rFonts w:ascii="Calibri" w:cs="Calibri" w:eastAsia="Calibri" w:hAnsi="Calibri"/>
          <w:sz w:val="22"/>
          <w:szCs w:val="22"/>
          <w:color w:val="auto"/>
        </w:rPr>
        <w:t>-mutated platnum-resistant ovarian cancer.</w:t>
      </w:r>
    </w:p>
    <w:p>
      <w:pPr>
        <w:spacing w:after="0" w:line="122"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Dosed the frst patent in Module 4 of the ongoing MYTHIC clinical trial investgatng lunresertb in combinaton with Debio 0123, an oral, brain-penetrant, highly selectve WEE1 kinase inhibitor. Repare expects to report inital data from this module in 2025.</w:t>
      </w:r>
    </w:p>
    <w:p>
      <w:pPr>
        <w:spacing w:after="0" w:line="122" w:lineRule="exact"/>
        <w:rPr>
          <w:rFonts w:ascii="Times New Roman" w:cs="Times New Roman" w:eastAsia="Times New Roman" w:hAnsi="Times New Roman"/>
          <w:sz w:val="22"/>
          <w:szCs w:val="22"/>
          <w:color w:val="auto"/>
        </w:rPr>
      </w:pPr>
    </w:p>
    <w:p>
      <w:pPr>
        <w:jc w:val="both"/>
        <w:ind w:left="1020" w:hanging="503"/>
        <w:spacing w:after="0" w:line="238" w:lineRule="auto"/>
        <w:tabs>
          <w:tab w:leader="none" w:pos="102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Announced positve inital data from the ongoing Phase 1 MINOTAUR clinical trial evaluatng lunresertb (RP-6306) in combinaton with FOLFIRI in patents with advanced solid tumors at the ESMO GI Cancers Congress in June 2024. The data showed the lunresertb combinaton therapy was well tolerated without excess toxicity above expected rates for lunresertb or standard FOLFIRI alone.</w:t>
      </w:r>
    </w:p>
    <w:p>
      <w:pPr>
        <w:spacing w:after="0" w:line="220"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Camonsertb (RP-3500)</w:t>
      </w:r>
    </w:p>
    <w:p>
      <w:pPr>
        <w:spacing w:after="0" w:line="120" w:lineRule="exact"/>
        <w:rPr>
          <w:rFonts w:ascii="Times New Roman" w:cs="Times New Roman" w:eastAsia="Times New Roman" w:hAnsi="Times New Roman"/>
          <w:sz w:val="22"/>
          <w:szCs w:val="22"/>
          <w:color w:val="auto"/>
        </w:rPr>
      </w:pPr>
    </w:p>
    <w:p>
      <w:pPr>
        <w:jc w:val="both"/>
        <w:ind w:left="1020" w:right="20" w:hanging="503"/>
        <w:spacing w:after="0" w:line="235" w:lineRule="auto"/>
        <w:tabs>
          <w:tab w:leader="none" w:pos="102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Dosed the frst patent in the camonsertb monotherapy non-small cell lung cancer (NSCLC) expansion of the TRESR clinical trial. The NSCLC expansion is expected to enroll up to 20 patents with ATR-inhibitor sensitzing mutatons in</w:t>
      </w:r>
    </w:p>
    <w:p>
      <w:pPr>
        <w:spacing w:after="0" w:line="14" w:lineRule="exact"/>
        <w:rPr>
          <w:rFonts w:ascii="Times New Roman" w:cs="Times New Roman" w:eastAsia="Times New Roman" w:hAnsi="Times New Roman"/>
          <w:sz w:val="22"/>
          <w:szCs w:val="22"/>
          <w:color w:val="auto"/>
        </w:rPr>
      </w:pPr>
    </w:p>
    <w:p>
      <w:pPr>
        <w:ind w:left="1020"/>
        <w:spacing w:after="0" w:line="235" w:lineRule="auto"/>
        <w:rPr>
          <w:rFonts w:ascii="Times New Roman" w:cs="Times New Roman" w:eastAsia="Times New Roman" w:hAnsi="Times New Roman"/>
          <w:sz w:val="22"/>
          <w:szCs w:val="22"/>
          <w:color w:val="auto"/>
        </w:rPr>
      </w:pPr>
      <w:r>
        <w:rPr>
          <w:rFonts w:ascii="Calibri" w:cs="Calibri" w:eastAsia="Calibri" w:hAnsi="Calibri"/>
          <w:sz w:val="22"/>
          <w:szCs w:val="22"/>
          <w:color w:val="auto"/>
        </w:rPr>
        <w:t>NSCLC to study the efcacy of camonsertb at the RP2D. Repare expects to report inital data from the TRESR trial in 2025.</w:t>
      </w:r>
    </w:p>
    <w:p>
      <w:pPr>
        <w:spacing w:after="0" w:line="217"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RP-1664</w:t>
      </w:r>
    </w:p>
    <w:p>
      <w:pPr>
        <w:spacing w:after="0" w:line="121" w:lineRule="exact"/>
        <w:rPr>
          <w:rFonts w:ascii="Times New Roman" w:cs="Times New Roman" w:eastAsia="Times New Roman" w:hAnsi="Times New Roman"/>
          <w:sz w:val="22"/>
          <w:szCs w:val="22"/>
          <w:color w:val="auto"/>
        </w:rPr>
      </w:pPr>
    </w:p>
    <w:p>
      <w:pPr>
        <w:jc w:val="both"/>
        <w:ind w:left="1020" w:hanging="503"/>
        <w:spacing w:after="0" w:line="238" w:lineRule="auto"/>
        <w:tabs>
          <w:tab w:leader="none" w:pos="102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Actvely enrolling patents into the Phase 1 LIONS trial evaluatng RP-1664, a potental frst-in-class selectve PLK4 inhibitor, in adult and adolescent patents with TRIM37-high advanced solid tumors and other biomarkers. The Company expects to rapidly advance RP-1664 into a Phase 1/2 clinical trial in pediatric patents with high risk, recurrent neuroblastoma, where the patents have a high prevalence of TRIM37-altered tumors, afer evaluatng the safety profle in the LIONS trial.</w:t>
      </w:r>
    </w:p>
    <w:p>
      <w:pPr>
        <w:spacing w:after="0" w:line="22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RP-3467</w:t>
      </w:r>
    </w:p>
    <w:p>
      <w:pPr>
        <w:spacing w:after="0" w:line="121" w:lineRule="exact"/>
        <w:rPr>
          <w:rFonts w:ascii="Times New Roman" w:cs="Times New Roman" w:eastAsia="Times New Roman" w:hAnsi="Times New Roman"/>
          <w:sz w:val="22"/>
          <w:szCs w:val="22"/>
          <w:color w:val="auto"/>
        </w:rPr>
      </w:pPr>
    </w:p>
    <w:p>
      <w:pPr>
        <w:ind w:left="1020" w:hanging="503"/>
        <w:spacing w:after="0" w:line="235" w:lineRule="auto"/>
        <w:tabs>
          <w:tab w:leader="none" w:pos="102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Initaton of a Phase 1 dose fnding trial of RP-3467, a potental best-in-class Polθ ATPase inhibitor, is expected in the fourth quarter of 2024.</w:t>
      </w:r>
    </w:p>
    <w:p>
      <w:pPr>
        <w:spacing w:after="0" w:line="219"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Corporate</w:t>
      </w:r>
    </w:p>
    <w:p>
      <w:pPr>
        <w:spacing w:after="0" w:line="120"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Welcomed Steven H. Stein, M.D., Chief Medical Ofcer of Incyte Corporaton, to Repare’s Board of Directors, efectve as of June 17, 2024, the date of the Company's annual meetng of shareholders. Efectve today, Briggs Morrison, M.D. is stepping down from the Board afer seven years of service.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Second Quarter 2024 Financial Results:</w:t>
      </w:r>
    </w:p>
    <w:p>
      <w:pPr>
        <w:spacing w:after="0" w:line="10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Cash, cash equivalents and marketable securites: </w:t>
      </w:r>
      <w:r>
        <w:rPr>
          <w:rFonts w:ascii="Calibri" w:cs="Calibri" w:eastAsia="Calibri" w:hAnsi="Calibri"/>
          <w:sz w:val="22"/>
          <w:szCs w:val="22"/>
          <w:color w:val="auto"/>
        </w:rPr>
        <w:t>Cash, cash equivalents and marketable securites as of June 30,</w:t>
      </w:r>
    </w:p>
    <w:p>
      <w:pPr>
        <w:spacing w:after="0" w:line="13" w:lineRule="exact"/>
        <w:rPr>
          <w:rFonts w:ascii="Times New Roman" w:cs="Times New Roman" w:eastAsia="Times New Roman" w:hAnsi="Times New Roman"/>
          <w:sz w:val="22"/>
          <w:szCs w:val="22"/>
          <w:color w:val="auto"/>
        </w:rPr>
      </w:pPr>
    </w:p>
    <w:p>
      <w:pPr>
        <w:ind w:left="1020" w:right="20"/>
        <w:spacing w:after="0" w:line="235" w:lineRule="auto"/>
        <w:rPr>
          <w:rFonts w:ascii="Times New Roman" w:cs="Times New Roman" w:eastAsia="Times New Roman" w:hAnsi="Times New Roman"/>
          <w:sz w:val="22"/>
          <w:szCs w:val="22"/>
          <w:color w:val="auto"/>
        </w:rPr>
      </w:pPr>
      <w:r>
        <w:rPr>
          <w:rFonts w:ascii="Calibri" w:cs="Calibri" w:eastAsia="Calibri" w:hAnsi="Calibri"/>
          <w:sz w:val="22"/>
          <w:szCs w:val="22"/>
          <w:color w:val="auto"/>
        </w:rPr>
        <w:t>2024 were $208.1 million. The Company believes that its cash, cash equivalents, and marketable securites are sufcient to fund its current operatonal plans at least into mid-2026.</w:t>
      </w:r>
    </w:p>
    <w:p>
      <w:pPr>
        <w:spacing w:after="0" w:line="230"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Revenue from collaboraton agreements: </w:t>
      </w:r>
      <w:r>
        <w:rPr>
          <w:rFonts w:ascii="Calibri" w:cs="Calibri" w:eastAsia="Calibri" w:hAnsi="Calibri"/>
          <w:sz w:val="22"/>
          <w:szCs w:val="22"/>
          <w:color w:val="auto"/>
        </w:rPr>
        <w:t>Revenue from collaboraton agreements were $1.1 million and $53.5</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million for the three months and six months ended June 30, 2024, respectvely, as compared to $30.2 million and $35.9 million for the three and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 w:name="page6"/>
    <w:bookmarkEnd w:id="5"/>
    <w:p>
      <w:pPr>
        <w:jc w:val="both"/>
        <w:ind w:left="1020" w:hanging="503"/>
        <w:spacing w:after="0" w:line="237"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Research and development expenses, net of tax credits (Net R&amp;D): </w:t>
      </w:r>
      <w:r>
        <w:rPr>
          <w:rFonts w:ascii="Calibri" w:cs="Calibri" w:eastAsia="Calibri" w:hAnsi="Calibri"/>
          <w:sz w:val="22"/>
          <w:szCs w:val="22"/>
          <w:color w:val="auto"/>
        </w:rPr>
        <w:t>Net R&amp;D expenses were $30.1 million and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$63.0 million for the three and six months ended June 30, 2024, respectvely, as compared to $33.8 million and $65.6 million for the three and six months ended June 30, 2023.</w:t>
      </w:r>
    </w:p>
    <w:p>
      <w:pPr>
        <w:spacing w:after="0" w:line="230"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General and administratve (G&amp;A) expenses: </w:t>
      </w:r>
      <w:r>
        <w:rPr>
          <w:rFonts w:ascii="Calibri" w:cs="Calibri" w:eastAsia="Calibri" w:hAnsi="Calibri"/>
          <w:sz w:val="22"/>
          <w:szCs w:val="22"/>
          <w:color w:val="auto"/>
        </w:rPr>
        <w:t>G&amp;A expenses were $8.3 million and $16.9 million for the three and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six months ended June 30, 2024, respectvely, compared to $8.7 million and $17.2 million for the three and six months ended June 30, 2023.</w:t>
      </w:r>
    </w:p>
    <w:p>
      <w:pPr>
        <w:spacing w:after="0" w:line="230"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Net loss: </w:t>
      </w:r>
      <w:r>
        <w:rPr>
          <w:rFonts w:ascii="Calibri" w:cs="Calibri" w:eastAsia="Calibri" w:hAnsi="Calibri"/>
          <w:sz w:val="22"/>
          <w:szCs w:val="22"/>
          <w:color w:val="auto"/>
        </w:rPr>
        <w:t>Net loss was $34.8 million, or $0.82 per share, and $21.6 million, or $0.51 per share, in the three and six</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months ended June 30, 2024, respectvely, compared to $11.9 million, or $0.28 per share, and $46.9 million, or $1.11 per share, in the three and six months ended June 30, 2023, respectvely.</w:t>
      </w:r>
    </w:p>
    <w:p>
      <w:pPr>
        <w:spacing w:after="0" w:line="3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Repare Therapeutcs Inc.</w:t>
      </w:r>
    </w:p>
    <w:p>
      <w:pPr>
        <w:spacing w:after="0" w:line="120"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 xml:space="preserve">Repare Therapeutcs is a leading clinical-stage precision oncology company enabled by its proprietary synthetc lethality approach to the discovery and development of novel therapeutcs. The Company utlizes its genome-wide, CRISPR-enabled SNIPRx® platorm to systematcally discover and develop highly targeted cancer therapies focused on genomic instability, including DNA damage repair. The Company’s pipeline includes lunresertb (also known as RP-6306), a PKMYT1 inhibitor currently in Phase 1/2 clinical development; camonsertb (also known as RP-3500), a potental leading ATR inhibitor currently in Phase 1/2 clinical development; RP-1664, a Phase 1 PLK4 inhibitor; RP-3467, a preclinical Polθ ATPase inhibitor program; as well as additonal, undisclosed preclinical programs. For more informaton, please visit </w:t>
      </w:r>
      <w:r>
        <w:rPr>
          <w:rFonts w:ascii="Calibri" w:cs="Calibri" w:eastAsia="Calibri" w:hAnsi="Calibri"/>
          <w:sz w:val="22"/>
          <w:szCs w:val="22"/>
          <w:u w:val="single" w:color="auto"/>
          <w:color w:val="0000FF"/>
        </w:rPr>
        <w:t>www.reparerx.com</w:t>
      </w:r>
      <w:r>
        <w:rPr>
          <w:rFonts w:ascii="Calibri" w:cs="Calibri" w:eastAsia="Calibri" w:hAnsi="Calibri"/>
          <w:sz w:val="22"/>
          <w:szCs w:val="22"/>
          <w:color w:val="auto"/>
        </w:rPr>
        <w:t xml:space="preserve"> and follow @Reparerx on X (formerly Twiter) and LinkedIn.</w:t>
      </w:r>
    </w:p>
    <w:p>
      <w:pPr>
        <w:spacing w:after="0" w:line="226" w:lineRule="exact"/>
        <w:rPr>
          <w:sz w:val="20"/>
          <w:szCs w:val="20"/>
          <w:color w:val="auto"/>
        </w:rPr>
      </w:pPr>
    </w:p>
    <w:p>
      <w:pPr>
        <w:spacing w:after="0"/>
        <w:rPr>
          <w:sz w:val="20"/>
          <w:szCs w:val="20"/>
          <w:color w:val="auto"/>
        </w:rPr>
      </w:pPr>
      <w:r>
        <w:rPr>
          <w:rFonts w:ascii="Calibri" w:cs="Calibri" w:eastAsia="Calibri" w:hAnsi="Calibri"/>
          <w:sz w:val="22"/>
          <w:szCs w:val="22"/>
          <w:color w:val="auto"/>
        </w:rPr>
        <w:t>SNIPRx® is a registered trademark of Repare Therapeutcs Inc.</w:t>
      </w:r>
    </w:p>
    <w:p>
      <w:pPr>
        <w:spacing w:after="0" w:line="32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162" w:lineRule="exact"/>
        <w:rPr>
          <w:sz w:val="20"/>
          <w:szCs w:val="20"/>
          <w:color w:val="auto"/>
        </w:rPr>
      </w:pPr>
    </w:p>
    <w:p>
      <w:pPr>
        <w:jc w:val="both"/>
        <w:spacing w:after="0"/>
        <w:rPr>
          <w:sz w:val="20"/>
          <w:szCs w:val="20"/>
          <w:color w:val="auto"/>
        </w:rPr>
      </w:pPr>
      <w:r>
        <w:rPr>
          <w:rFonts w:ascii="Calibri" w:cs="Calibri" w:eastAsia="Calibri" w:hAnsi="Calibri"/>
          <w:sz w:val="22"/>
          <w:szCs w:val="22"/>
          <w:color w:val="auto"/>
        </w:rPr>
        <w:t>This press release contains “forward-looking statements” within the meaning of the Private Securites Litgaton Reform Act of 1995 and securites laws in Canada. All statements in this press release other than statements of historical facts are “forward-looking statements. These statements may be identfed by words such as “aims,” “antcipates,” “believes,” “could,” “estmates,” “expects,” “forecasts,” “goal,” “intends,” “may,” “plans,” “possible,” “potental,” “seeks,” “will” and variatons of these words or similar expressions that are intended to identfy forward-looking statements, although not all forward-looking statements contain these words. Forward-looking statements in this press release include, but are not limited to, statements regarding: the design, objectves, initaton, tming, progress and results of current and future preclinical studies and clinical trials of the Company’s product candidates, including the expansion of its Phase 2 MYTHIC trial evaluatng lunresertb in combinaton with camonsertb in patents with platnum-resistant ovarian and endometrial cancers, its ongoing Phase 1 MINOTAUR trial evaluatng lunresertb in combinaton with FOLFIRI, the expansion of its Phase 2 TRESR trial of camonsertb in patents with ATMm, its Phase 1 LIONS trial of RP-1664, its Phase 1 trial of RP-3467; a potental registratonal trial in 2025; the tolerability, efcacy and clinical progress of camonsertb, lunresertb, RP-1664 and RP-3467; the potental of RP-3467 as a best-in-class Polθ ATPase inhibitor; the potental of lunresertb in combinaton with camonsertb as a new treatment platnum-resistant ovarian cancer and second-line endometrial cancer; the Company’s antcipated cash runway; and the benefts and ability to discover further targets and clinical candidates from the Company’s discovery platorm. These forward-looking statements are based on the Company’s expectatons and assumptons as of the date of this press release. Each of these forward-looking statements involves risks and uncertaintes that could cause the Company’s clinical development programs, future results or performance to difer materially from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 w:name="page7"/>
    <w:bookmarkEnd w:id="6"/>
    <w:p>
      <w:pPr>
        <w:jc w:val="both"/>
        <w:spacing w:after="0"/>
        <w:rPr>
          <w:sz w:val="20"/>
          <w:szCs w:val="20"/>
          <w:color w:val="auto"/>
        </w:rPr>
      </w:pPr>
      <w:r>
        <w:rPr>
          <w:rFonts w:ascii="Calibri" w:cs="Calibri" w:eastAsia="Calibri" w:hAnsi="Calibri"/>
          <w:sz w:val="22"/>
          <w:szCs w:val="22"/>
          <w:color w:val="auto"/>
        </w:rPr>
        <w:t xml:space="preserve">expressed or implied by the forward-looking statements. Many factors may cause diferences between current expectatons and actual results, including: the potental that success in preclinical testng and earlier clinical trials does not ensure that later clinical trials will generate the same results or otherwise provide adequate data to demonstrate the efcacy and safety of a product candidate; the impacts of macroeconomic conditons, including the confict in Ukraine and the confict in the Middle East, heightened infaton and uncertain credit and fnancial markets, on the Company’s business, clinical trials and fnancial positon; unexpected safety or efcacy data observed during preclinical studies or clinical trials; clinical trial site actvaton or enrollment rates that are lower than expected; the Company’s ability to realize the benefts of its collaboraton and license agreements; changes in expected or existng competton; changes in the regulatory environment; the uncertaintes and tming of the regulatory approval process; and unexpected litgaton or other disputes. Other factors that may cause the Company’s actual results to difer from those expressed or implied in the forward-looking statements in this press release are identfed in the secton ttled "Risk Factors" in the Company’s Quarterly Report on Form 10-Q for the quarter ended June 30, 2024 fled with the Securites and Exchange Commission (“SEC”) and the Québec Autorité des Marchés Financiers ("AMF") on August 6, 2024. The Company expressly disclaims any obligaton to update any forward-looking statements contained herein, whether as a result of any new informaton, future events, changed circumstances or otherwise, except as otherwise required by law. For more informaton, please visit reparerx.com and follow Repare on X (formerly Twiter) at @RepareRx and on LinkedIn at </w:t>
      </w:r>
      <w:r>
        <w:rPr>
          <w:rFonts w:ascii="Calibri" w:cs="Calibri" w:eastAsia="Calibri" w:hAnsi="Calibri"/>
          <w:sz w:val="22"/>
          <w:szCs w:val="22"/>
          <w:u w:val="single" w:color="auto"/>
          <w:color w:val="0000FF"/>
        </w:rPr>
        <w:t>htps://www.linkedin.com/company/repare-therapeutcs/</w:t>
      </w:r>
      <w:r>
        <w:rPr>
          <w:rFonts w:ascii="Calibri" w:cs="Calibri" w:eastAsia="Calibri" w:hAnsi="Calibri"/>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40" w:type="dxa"/>
            <w:vAlign w:val="bottom"/>
          </w:tcPr>
          <w:p>
            <w:pPr>
              <w:spacing w:after="0"/>
              <w:rPr>
                <w:sz w:val="12"/>
                <w:szCs w:val="12"/>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79"/>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77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79,820</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111,268</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112,359</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 receivable</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receivables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228,539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243,688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FF0FC"/>
            </w:tcBorders>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235,344</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253,901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2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22,310</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24,057</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3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10,222</w:t>
            </w:r>
          </w:p>
        </w:tc>
        <w:tc>
          <w:tcPr>
            <w:tcW w:w="100" w:type="dxa"/>
            <w:vAlign w:val="bottom"/>
            <w:shd w:val="clear" w:color="auto" w:fill="CFF0FC"/>
          </w:tcPr>
          <w:p>
            <w:pPr>
              <w:spacing w:after="0"/>
              <w:rPr>
                <w:sz w:val="20"/>
                <w:szCs w:val="20"/>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31,449</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39,079</w:t>
            </w:r>
          </w:p>
        </w:tc>
        <w:tc>
          <w:tcPr>
            <w:tcW w:w="100" w:type="dxa"/>
            <w:vAlign w:val="bottom"/>
          </w:tcPr>
          <w:p>
            <w:pPr>
              <w:spacing w:after="0"/>
              <w:rPr>
                <w:sz w:val="18"/>
                <w:szCs w:val="18"/>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32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31,667</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shares, no par value per share; unlimited shares authorized</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as of June 30, 2024 and December 31, 2023, respectively; 0 shares issued</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outstanding as of June 30, 2024, and December 31, 2023, respectively</w:t>
            </w: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shares, no par value per share; unlimited shares authorized as of</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June 30, 2024 and December 31, 2023; 42,445,533 and 42,176,041 shares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issued and outstanding as of June 30, 2024 and December 31, 2023, respectively</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483,350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72,157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61,813</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r>
      <w:tr>
        <w:trPr>
          <w:trHeight w:val="23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(354,721 )</w:t>
            </w: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(333,109 )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203,677</w:t>
            </w:r>
          </w:p>
        </w:tc>
        <w:tc>
          <w:tcPr>
            <w:tcW w:w="28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212,082</w:t>
            </w:r>
          </w:p>
        </w:tc>
        <w:tc>
          <w:tcPr>
            <w:tcW w:w="100" w:type="dxa"/>
            <w:vAlign w:val="bottom"/>
            <w:tcBorders>
              <w:top w:val="single" w:sz="8" w:color="CFF0FC"/>
            </w:tcBorders>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235,344</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253,901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966"/>
        </w:trPr>
        <w:tc>
          <w:tcPr>
            <w:tcW w:w="7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-4756785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-3865245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-4019550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-2365375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-967740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-659765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-642620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agreements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53,477</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(37,319 )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(12,258 )</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(26,503 )</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(46,939 )</w:t>
            </w:r>
          </w:p>
        </w:tc>
        <w:tc>
          <w:tcPr>
            <w:tcW w:w="0" w:type="dxa"/>
            <w:vAlign w:val="bottom"/>
          </w:tcPr>
          <w:p>
            <w:pPr>
              <w:spacing w:after="0"/>
              <w:rPr>
                <w:sz w:val="1"/>
                <w:szCs w:val="1"/>
                <w:color w:val="auto"/>
              </w:rPr>
            </w:pPr>
          </w:p>
        </w:tc>
      </w:tr>
      <w:tr>
        <w:trPr>
          <w:trHeight w:val="237"/>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and unrealized gain (loss) on foreign exchange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(53 )</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7"/>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(34,448 )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(8,836 )</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(20,657 )</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(40,161 )</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(326 )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(3,110 )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(955 )</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(6,726 )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(34,774 )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(11,946 )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(21,612 )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(46,887 )</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available-for-sale marketable</w:t>
            </w:r>
          </w:p>
        </w:tc>
        <w:tc>
          <w:tcPr>
            <w:tcW w:w="22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(189 )</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(162 )</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(34,795 )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(12,135 )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(21,774 )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(46,883 )</w:t>
            </w:r>
          </w:p>
        </w:tc>
        <w:tc>
          <w:tcPr>
            <w:tcW w:w="0" w:type="dxa"/>
            <w:vAlign w:val="bottom"/>
          </w:tcPr>
          <w:p>
            <w:pPr>
              <w:spacing w:after="0"/>
              <w:rPr>
                <w:sz w:val="1"/>
                <w:szCs w:val="1"/>
                <w:color w:val="auto"/>
              </w:rPr>
            </w:pPr>
          </w:p>
        </w:tc>
      </w:tr>
      <w:tr>
        <w:trPr>
          <w:trHeight w:val="194"/>
        </w:trPr>
        <w:tc>
          <w:tcPr>
            <w:tcW w:w="5820" w:type="dxa"/>
            <w:vAlign w:val="bottom"/>
            <w:tcBorders>
              <w:top w:val="single" w:sz="8" w:color="CFF0FC"/>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Net loss per share attributable to common shareholders - basic</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5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42,445,462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42,089,530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42,339,732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42,065,237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979"/>
        </w:trPr>
        <w:tc>
          <w:tcPr>
            <w:tcW w:w="5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-3488055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-3488055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-3488055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-3162300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-3162300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-3162300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-2536825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-2536825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-2536825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-1893570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-1876425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-1893570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-1876425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-1893570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-1876425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-1430655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-1430655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-1430655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-1104900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-1087755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-1104900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-1087755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-1104900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-1087755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Calibri" w:cs="Calibri" w:eastAsia="Calibri" w:hAnsi="Calibri"/>
          <w:sz w:val="22"/>
          <w:szCs w:val="22"/>
          <w:b w:val="1"/>
          <w:bCs w:val="1"/>
          <w:color w:val="auto"/>
        </w:rPr>
        <w:t>Investor Relatons &amp; Media Contact:</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color w:val="auto"/>
        </w:rPr>
        <w:t>Robin Garner</w:t>
      </w:r>
    </w:p>
    <w:p>
      <w:pPr>
        <w:spacing w:after="0" w:line="14" w:lineRule="exact"/>
        <w:rPr>
          <w:sz w:val="20"/>
          <w:szCs w:val="20"/>
          <w:color w:val="auto"/>
        </w:rPr>
      </w:pPr>
    </w:p>
    <w:p>
      <w:pPr>
        <w:spacing w:after="0"/>
        <w:rPr>
          <w:sz w:val="20"/>
          <w:szCs w:val="20"/>
          <w:color w:val="auto"/>
        </w:rPr>
      </w:pPr>
      <w:r>
        <w:rPr>
          <w:rFonts w:ascii="Calibri" w:cs="Calibri" w:eastAsia="Calibri" w:hAnsi="Calibri"/>
          <w:sz w:val="21"/>
          <w:szCs w:val="21"/>
          <w:color w:val="auto"/>
        </w:rPr>
        <w:t>Vice President and Head of Investor Relatons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Repare Therapeutcs Inc.</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0000FF"/>
        </w:rPr>
        <w:t>investor@reparerx.com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8"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2024-08-06T15:37:21Z</dcterms:created>
  <dcterms:modified xsi:type="dcterms:W3CDTF">2024-08-06T15:37:21Z</dcterms:modified>
</cp:coreProperties>
</file>