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-636270</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3348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33489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2820" w:type="dxa"/>
            <w:vAlign w:val="bottom"/>
            <w:vMerge w:val="restart"/>
          </w:tcPr>
          <w:p>
            <w:pPr>
              <w:ind w:left="40"/>
              <w:spacing w:after="0" w:line="262" w:lineRule="exact"/>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SCHAFER CAROL</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8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6"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15"/>
        </w:trPr>
        <w:tc>
          <w:tcPr>
            <w:tcW w:w="2820" w:type="dxa"/>
            <w:vAlign w:val="bottom"/>
            <w:tcBorders>
              <w:bottom w:val="single" w:sz="8" w:color="9A9A9A"/>
            </w:tcBorders>
          </w:tcPr>
          <w:p>
            <w:pPr>
              <w:spacing w:after="0"/>
              <w:rPr>
                <w:sz w:val="18"/>
                <w:szCs w:val="18"/>
                <w:color w:val="auto"/>
              </w:rPr>
            </w:pPr>
          </w:p>
        </w:tc>
        <w:tc>
          <w:tcPr>
            <w:tcW w:w="280" w:type="dxa"/>
            <w:vAlign w:val="bottom"/>
            <w:tcBorders>
              <w:bottom w:val="single" w:sz="8" w:color="9A9A9A"/>
            </w:tcBorders>
          </w:tcPr>
          <w:p>
            <w:pPr>
              <w:spacing w:after="0"/>
              <w:rPr>
                <w:sz w:val="18"/>
                <w:szCs w:val="18"/>
                <w:color w:val="auto"/>
              </w:rPr>
            </w:pPr>
          </w:p>
        </w:tc>
        <w:tc>
          <w:tcPr>
            <w:tcW w:w="1520" w:type="dxa"/>
            <w:vAlign w:val="bottom"/>
          </w:tcPr>
          <w:p>
            <w:pPr>
              <w:ind w:left="160"/>
              <w:spacing w:after="0" w:line="205" w:lineRule="exact"/>
              <w:rPr>
                <w:sz w:val="20"/>
                <w:szCs w:val="20"/>
                <w:color w:val="auto"/>
              </w:rPr>
            </w:pPr>
            <w:r>
              <w:rPr>
                <w:rFonts w:ascii="Arial" w:cs="Arial" w:eastAsia="Arial" w:hAnsi="Arial"/>
                <w:sz w:val="20"/>
                <w:szCs w:val="20"/>
                <w:color w:val="0000FF"/>
              </w:rPr>
              <w:t>06/18/2020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Repare Therapeutics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RPTX</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470"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18"/>
          <w:szCs w:val="18"/>
          <w:color w:val="0000FF"/>
        </w:rPr>
        <w:t>C/O REPARE THERAPEUTICS INC.</w:t>
      </w:r>
    </w:p>
    <w:p>
      <w:pPr>
        <w:spacing w:after="0" w:line="93" w:lineRule="exact"/>
        <w:rPr>
          <w:sz w:val="24"/>
          <w:szCs w:val="24"/>
          <w:color w:val="auto"/>
        </w:rPr>
      </w:pPr>
    </w:p>
    <w:p>
      <w:pPr>
        <w:ind w:left="140" w:right="1637"/>
        <w:spacing w:after="0" w:line="269" w:lineRule="auto"/>
        <w:rPr>
          <w:sz w:val="20"/>
          <w:szCs w:val="20"/>
          <w:color w:val="auto"/>
        </w:rPr>
      </w:pPr>
      <w:r>
        <w:rPr>
          <w:rFonts w:ascii="Arial" w:cs="Arial" w:eastAsia="Arial" w:hAnsi="Arial"/>
          <w:sz w:val="20"/>
          <w:szCs w:val="20"/>
          <w:color w:val="0000FF"/>
        </w:rPr>
        <w:t>7210 FREDERICK-BANTING, SUITE 100</w:t>
      </w:r>
    </w:p>
    <w:p>
      <w:pPr>
        <w:spacing w:after="0" w:line="289" w:lineRule="exact"/>
        <w:rPr>
          <w:sz w:val="24"/>
          <w:szCs w:val="24"/>
          <w:color w:val="auto"/>
        </w:rPr>
      </w:pPr>
    </w:p>
    <w:p>
      <w:pPr>
        <w:ind w:left="100"/>
        <w:spacing w:after="0"/>
        <w:rPr>
          <w:sz w:val="20"/>
          <w:szCs w:val="20"/>
          <w:color w:val="auto"/>
        </w:rPr>
      </w:pPr>
      <w:r>
        <w:rPr>
          <w:rFonts w:ascii="Arial" w:cs="Arial" w:eastAsia="Arial" w:hAnsi="Arial"/>
          <w:sz w:val="15"/>
          <w:szCs w:val="15"/>
          <w:color w:val="auto"/>
        </w:rPr>
        <w:t>(Street)</w:t>
      </w:r>
    </w:p>
    <w:p>
      <w:pPr>
        <w:ind w:left="140"/>
        <w:spacing w:after="0" w:line="204" w:lineRule="auto"/>
        <w:tabs>
          <w:tab w:leader="none" w:pos="1140" w:val="left"/>
        </w:tabs>
        <w:rPr>
          <w:sz w:val="20"/>
          <w:szCs w:val="20"/>
          <w:color w:val="auto"/>
        </w:rPr>
      </w:pPr>
      <w:r>
        <w:rPr>
          <w:rFonts w:ascii="Arial" w:cs="Arial" w:eastAsia="Arial" w:hAnsi="Arial"/>
          <w:sz w:val="20"/>
          <w:szCs w:val="20"/>
          <w:color w:val="0000FF"/>
        </w:rPr>
        <w:t>ST-</w:t>
      </w:r>
      <w:r>
        <w:rPr>
          <w:sz w:val="20"/>
          <w:szCs w:val="20"/>
          <w:color w:val="auto"/>
        </w:rPr>
        <w:tab/>
      </w:r>
      <w:r>
        <w:rPr>
          <w:rFonts w:ascii="Arial" w:cs="Arial" w:eastAsia="Arial" w:hAnsi="Arial"/>
          <w:sz w:val="29"/>
          <w:szCs w:val="29"/>
          <w:color w:val="0000FF"/>
          <w:vertAlign w:val="subscript"/>
        </w:rPr>
        <w:t>A8</w:t>
      </w:r>
    </w:p>
    <w:p>
      <w:pPr>
        <w:spacing w:after="0" w:line="1"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LAURENT</w:t>
      </w:r>
    </w:p>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ind w:left="183"/>
        <w:spacing w:after="0"/>
        <w:tabs>
          <w:tab w:leader="none" w:pos="502" w:val="left"/>
          <w:tab w:leader="none" w:pos="2042" w:val="left"/>
        </w:tabs>
        <w:rPr>
          <w:sz w:val="20"/>
          <w:szCs w:val="20"/>
          <w:color w:val="auto"/>
        </w:rPr>
      </w:pPr>
      <w:r>
        <w:rPr>
          <w:rFonts w:ascii="Arial" w:cs="Arial" w:eastAsia="Arial" w:hAnsi="Arial"/>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122"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9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378"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163"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81280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19246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924685"/>
                    </a:xfrm>
                    <a:prstGeom prst="rect">
                      <a:avLst/>
                    </a:prstGeom>
                    <a:noFill/>
                  </pic:spPr>
                </pic:pic>
              </a:graphicData>
            </a:graphic>
          </wp:anchor>
        </w:drawing>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1029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27850" cy="1029335"/>
                    </a:xfrm>
                    <a:prstGeom prst="rect">
                      <a:avLst/>
                    </a:prstGeom>
                    <a:noFill/>
                  </pic:spPr>
                </pic:pic>
              </a:graphicData>
            </a:graphic>
          </wp:anchor>
        </w:drawing>
      </w:r>
    </w:p>
    <w:p>
      <w:pPr>
        <w:spacing w:after="0" w:line="96"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06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8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6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480" w:type="dxa"/>
            <w:vAlign w:val="bottom"/>
            <w:gridSpan w:val="2"/>
          </w:tcPr>
          <w:p>
            <w:pPr>
              <w:ind w:left="6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4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74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840" w:type="dxa"/>
            <w:vAlign w:val="bottom"/>
          </w:tcPr>
          <w:p>
            <w:pPr>
              <w:spacing w:after="0"/>
              <w:rPr>
                <w:sz w:val="14"/>
                <w:szCs w:val="14"/>
                <w:color w:val="auto"/>
              </w:rPr>
            </w:pP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4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30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74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98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6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30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740" w:type="dxa"/>
            <w:vAlign w:val="bottom"/>
          </w:tcPr>
          <w:p>
            <w:pPr>
              <w:spacing w:after="0"/>
              <w:rPr>
                <w:sz w:val="4"/>
                <w:szCs w:val="4"/>
                <w:color w:val="auto"/>
              </w:rPr>
            </w:pPr>
          </w:p>
        </w:tc>
        <w:tc>
          <w:tcPr>
            <w:tcW w:w="840" w:type="dxa"/>
            <w:vAlign w:val="bottom"/>
            <w:vMerge w:val="restart"/>
          </w:tcPr>
          <w:p>
            <w:pPr>
              <w:ind w:left="18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40" w:type="dxa"/>
            <w:vAlign w:val="bottom"/>
          </w:tcPr>
          <w:p>
            <w:pPr>
              <w:spacing w:after="0"/>
              <w:rPr>
                <w:sz w:val="13"/>
                <w:szCs w:val="13"/>
                <w:color w:val="auto"/>
              </w:rPr>
            </w:pPr>
          </w:p>
        </w:tc>
        <w:tc>
          <w:tcPr>
            <w:tcW w:w="840" w:type="dxa"/>
            <w:vAlign w:val="bottom"/>
            <w:vMerge w:val="continue"/>
          </w:tcPr>
          <w:p>
            <w:pPr>
              <w:spacing w:after="0"/>
              <w:rPr>
                <w:sz w:val="13"/>
                <w:szCs w:val="13"/>
                <w:color w:val="auto"/>
              </w:rPr>
            </w:pPr>
          </w:p>
        </w:tc>
        <w:tc>
          <w:tcPr>
            <w:tcW w:w="980" w:type="dxa"/>
            <w:vAlign w:val="bottom"/>
          </w:tcPr>
          <w:p>
            <w:pPr>
              <w:ind w:left="6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40" w:type="dxa"/>
            <w:vAlign w:val="bottom"/>
          </w:tcPr>
          <w:p>
            <w:pPr>
              <w:ind w:left="18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jc w:val="center"/>
              <w:spacing w:after="0" w:line="165" w:lineRule="exact"/>
              <w:rPr>
                <w:sz w:val="20"/>
                <w:szCs w:val="20"/>
                <w:color w:val="auto"/>
              </w:rPr>
            </w:pPr>
            <w:r>
              <w:rPr>
                <w:rFonts w:ascii="Arial" w:cs="Arial" w:eastAsia="Arial" w:hAnsi="Arial"/>
                <w:sz w:val="15"/>
                <w:szCs w:val="15"/>
                <w:b w:val="1"/>
                <w:bCs w:val="1"/>
                <w:color w:val="auto"/>
              </w:rPr>
              <w:t>Expiration</w:t>
            </w:r>
          </w:p>
        </w:tc>
        <w:tc>
          <w:tcPr>
            <w:tcW w:w="1740" w:type="dxa"/>
            <w:vAlign w:val="bottom"/>
          </w:tcPr>
          <w:p>
            <w:pPr>
              <w:spacing w:after="0"/>
              <w:rPr>
                <w:sz w:val="14"/>
                <w:szCs w:val="14"/>
                <w:color w:val="auto"/>
              </w:rPr>
            </w:pPr>
          </w:p>
        </w:tc>
        <w:tc>
          <w:tcPr>
            <w:tcW w:w="8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30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74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840" w:type="dxa"/>
            <w:vAlign w:val="bottom"/>
          </w:tcPr>
          <w:p>
            <w:pPr>
              <w:ind w:left="18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30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Arial" w:cs="Arial" w:eastAsia="Arial" w:hAnsi="Arial"/>
                <w:sz w:val="20"/>
                <w:szCs w:val="20"/>
                <w:color w:val="0000FF"/>
              </w:rPr>
              <w:t>Stock Option (right to buy)</w:t>
            </w:r>
          </w:p>
        </w:tc>
        <w:tc>
          <w:tcPr>
            <w:tcW w:w="980" w:type="dxa"/>
            <w:vAlign w:val="bottom"/>
          </w:tcPr>
          <w:p>
            <w:pPr>
              <w:ind w:left="420"/>
              <w:spacing w:after="0"/>
              <w:rPr>
                <w:sz w:val="20"/>
                <w:szCs w:val="20"/>
                <w:color w:val="auto"/>
              </w:rPr>
            </w:pPr>
            <w:r>
              <w:rPr>
                <w:rFonts w:ascii="Arial" w:cs="Arial" w:eastAsia="Arial" w:hAnsi="Arial"/>
                <w:sz w:val="13"/>
                <w:szCs w:val="13"/>
                <w:color w:val="008000"/>
              </w:rPr>
              <w:t>(1)</w:t>
            </w:r>
          </w:p>
        </w:tc>
        <w:tc>
          <w:tcPr>
            <w:tcW w:w="900" w:type="dxa"/>
            <w:vAlign w:val="bottom"/>
          </w:tcPr>
          <w:p>
            <w:pPr>
              <w:jc w:val="center"/>
              <w:spacing w:after="0"/>
              <w:rPr>
                <w:sz w:val="20"/>
                <w:szCs w:val="20"/>
                <w:color w:val="auto"/>
              </w:rPr>
            </w:pPr>
            <w:r>
              <w:rPr>
                <w:rFonts w:ascii="Arial" w:cs="Arial" w:eastAsia="Arial" w:hAnsi="Arial"/>
                <w:sz w:val="15"/>
                <w:szCs w:val="15"/>
                <w:color w:val="0000FF"/>
                <w:w w:val="93"/>
              </w:rPr>
              <w:t>03/29/2029</w:t>
            </w:r>
          </w:p>
        </w:tc>
        <w:tc>
          <w:tcPr>
            <w:tcW w:w="1740" w:type="dxa"/>
            <w:vAlign w:val="bottom"/>
          </w:tcPr>
          <w:p>
            <w:pPr>
              <w:ind w:left="280"/>
              <w:spacing w:after="0"/>
              <w:rPr>
                <w:sz w:val="20"/>
                <w:szCs w:val="20"/>
                <w:color w:val="auto"/>
              </w:rPr>
            </w:pPr>
            <w:r>
              <w:rPr>
                <w:rFonts w:ascii="Arial" w:cs="Arial" w:eastAsia="Arial" w:hAnsi="Arial"/>
                <w:sz w:val="20"/>
                <w:szCs w:val="20"/>
                <w:color w:val="0000FF"/>
                <w:w w:val="95"/>
              </w:rPr>
              <w:t>Common Shares</w:t>
            </w:r>
          </w:p>
        </w:tc>
        <w:tc>
          <w:tcPr>
            <w:tcW w:w="840" w:type="dxa"/>
            <w:vAlign w:val="bottom"/>
          </w:tcPr>
          <w:p>
            <w:pPr>
              <w:ind w:left="200"/>
              <w:spacing w:after="0"/>
              <w:rPr>
                <w:sz w:val="20"/>
                <w:szCs w:val="20"/>
                <w:color w:val="auto"/>
              </w:rPr>
            </w:pPr>
            <w:r>
              <w:rPr>
                <w:rFonts w:ascii="Arial" w:cs="Arial" w:eastAsia="Arial" w:hAnsi="Arial"/>
                <w:sz w:val="20"/>
                <w:szCs w:val="20"/>
                <w:color w:val="0000FF"/>
              </w:rPr>
              <w:t>37,941</w:t>
            </w:r>
          </w:p>
        </w:tc>
        <w:tc>
          <w:tcPr>
            <w:tcW w:w="980" w:type="dxa"/>
            <w:vAlign w:val="bottom"/>
          </w:tcPr>
          <w:p>
            <w:pPr>
              <w:ind w:left="260"/>
              <w:spacing w:after="0"/>
              <w:rPr>
                <w:sz w:val="20"/>
                <w:szCs w:val="20"/>
                <w:color w:val="auto"/>
              </w:rPr>
            </w:pPr>
            <w:r>
              <w:rPr>
                <w:rFonts w:ascii="Arial" w:cs="Arial" w:eastAsia="Arial" w:hAnsi="Arial"/>
                <w:sz w:val="20"/>
                <w:szCs w:val="20"/>
                <w:color w:val="0000FF"/>
              </w:rPr>
              <w:t>2.062</w:t>
            </w:r>
          </w:p>
        </w:tc>
        <w:tc>
          <w:tcPr>
            <w:tcW w:w="940" w:type="dxa"/>
            <w:vAlign w:val="bottom"/>
          </w:tcPr>
          <w:p>
            <w:pPr>
              <w:ind w:left="400"/>
              <w:spacing w:after="0"/>
              <w:rPr>
                <w:sz w:val="20"/>
                <w:szCs w:val="20"/>
                <w:color w:val="auto"/>
              </w:rPr>
            </w:pPr>
            <w:r>
              <w:rPr>
                <w:rFonts w:ascii="Arial" w:cs="Arial" w:eastAsia="Arial" w:hAnsi="Arial"/>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Arial" w:cs="Arial" w:eastAsia="Arial" w:hAnsi="Arial"/>
                <w:sz w:val="20"/>
                <w:szCs w:val="20"/>
                <w:color w:val="0000FF"/>
              </w:rPr>
              <w:t>Stock Option (right to buy)</w:t>
            </w:r>
          </w:p>
        </w:tc>
        <w:tc>
          <w:tcPr>
            <w:tcW w:w="980" w:type="dxa"/>
            <w:vAlign w:val="bottom"/>
          </w:tcPr>
          <w:p>
            <w:pPr>
              <w:ind w:left="420"/>
              <w:spacing w:after="0"/>
              <w:rPr>
                <w:sz w:val="20"/>
                <w:szCs w:val="20"/>
                <w:color w:val="auto"/>
              </w:rPr>
            </w:pPr>
            <w:r>
              <w:rPr>
                <w:rFonts w:ascii="Arial" w:cs="Arial" w:eastAsia="Arial" w:hAnsi="Arial"/>
                <w:sz w:val="13"/>
                <w:szCs w:val="13"/>
                <w:color w:val="008000"/>
              </w:rPr>
              <w:t>(2)</w:t>
            </w:r>
          </w:p>
        </w:tc>
        <w:tc>
          <w:tcPr>
            <w:tcW w:w="900" w:type="dxa"/>
            <w:vAlign w:val="bottom"/>
          </w:tcPr>
          <w:p>
            <w:pPr>
              <w:jc w:val="center"/>
              <w:spacing w:after="0"/>
              <w:rPr>
                <w:sz w:val="20"/>
                <w:szCs w:val="20"/>
                <w:color w:val="auto"/>
              </w:rPr>
            </w:pPr>
            <w:r>
              <w:rPr>
                <w:rFonts w:ascii="Arial" w:cs="Arial" w:eastAsia="Arial" w:hAnsi="Arial"/>
                <w:sz w:val="15"/>
                <w:szCs w:val="15"/>
                <w:color w:val="0000FF"/>
                <w:w w:val="93"/>
              </w:rPr>
              <w:t>12/16/2029</w:t>
            </w:r>
          </w:p>
        </w:tc>
        <w:tc>
          <w:tcPr>
            <w:tcW w:w="1740" w:type="dxa"/>
            <w:vAlign w:val="bottom"/>
          </w:tcPr>
          <w:p>
            <w:pPr>
              <w:ind w:left="280"/>
              <w:spacing w:after="0"/>
              <w:rPr>
                <w:sz w:val="20"/>
                <w:szCs w:val="20"/>
                <w:color w:val="auto"/>
              </w:rPr>
            </w:pPr>
            <w:r>
              <w:rPr>
                <w:rFonts w:ascii="Arial" w:cs="Arial" w:eastAsia="Arial" w:hAnsi="Arial"/>
                <w:sz w:val="20"/>
                <w:szCs w:val="20"/>
                <w:color w:val="0000FF"/>
                <w:w w:val="95"/>
              </w:rPr>
              <w:t>Common Shares</w:t>
            </w:r>
          </w:p>
        </w:tc>
        <w:tc>
          <w:tcPr>
            <w:tcW w:w="840" w:type="dxa"/>
            <w:vAlign w:val="bottom"/>
          </w:tcPr>
          <w:p>
            <w:pPr>
              <w:ind w:left="200"/>
              <w:spacing w:after="0"/>
              <w:rPr>
                <w:sz w:val="20"/>
                <w:szCs w:val="20"/>
                <w:color w:val="auto"/>
              </w:rPr>
            </w:pPr>
            <w:r>
              <w:rPr>
                <w:rFonts w:ascii="Arial" w:cs="Arial" w:eastAsia="Arial" w:hAnsi="Arial"/>
                <w:sz w:val="20"/>
                <w:szCs w:val="20"/>
                <w:color w:val="0000FF"/>
              </w:rPr>
              <w:t>32,992</w:t>
            </w:r>
          </w:p>
        </w:tc>
        <w:tc>
          <w:tcPr>
            <w:tcW w:w="980" w:type="dxa"/>
            <w:vAlign w:val="bottom"/>
          </w:tcPr>
          <w:p>
            <w:pPr>
              <w:ind w:left="260"/>
              <w:spacing w:after="0"/>
              <w:rPr>
                <w:sz w:val="20"/>
                <w:szCs w:val="20"/>
                <w:color w:val="auto"/>
              </w:rPr>
            </w:pPr>
            <w:r>
              <w:rPr>
                <w:rFonts w:ascii="Arial" w:cs="Arial" w:eastAsia="Arial" w:hAnsi="Arial"/>
                <w:sz w:val="20"/>
                <w:szCs w:val="20"/>
                <w:color w:val="0000FF"/>
              </w:rPr>
              <w:t>2.425</w:t>
            </w:r>
          </w:p>
        </w:tc>
        <w:tc>
          <w:tcPr>
            <w:tcW w:w="940" w:type="dxa"/>
            <w:vAlign w:val="bottom"/>
          </w:tcPr>
          <w:p>
            <w:pPr>
              <w:ind w:left="400"/>
              <w:spacing w:after="0"/>
              <w:rPr>
                <w:sz w:val="20"/>
                <w:szCs w:val="20"/>
                <w:color w:val="auto"/>
              </w:rPr>
            </w:pPr>
            <w:r>
              <w:rPr>
                <w:rFonts w:ascii="Arial" w:cs="Arial" w:eastAsia="Arial" w:hAnsi="Arial"/>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060" w:type="dxa"/>
            <w:vAlign w:val="bottom"/>
          </w:tcPr>
          <w:p>
            <w:pPr>
              <w:ind w:left="20"/>
              <w:spacing w:after="0"/>
              <w:rPr>
                <w:sz w:val="20"/>
                <w:szCs w:val="20"/>
                <w:color w:val="auto"/>
              </w:rPr>
            </w:pPr>
            <w:r>
              <w:rPr>
                <w:rFonts w:ascii="Arial" w:cs="Arial" w:eastAsia="Arial" w:hAnsi="Arial"/>
                <w:sz w:val="15"/>
                <w:szCs w:val="15"/>
                <w:b w:val="1"/>
                <w:bCs w:val="1"/>
                <w:color w:val="auto"/>
              </w:rPr>
              <w:t>Explanation of Responses:</w:t>
            </w:r>
          </w:p>
        </w:tc>
        <w:tc>
          <w:tcPr>
            <w:tcW w:w="9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-646430</wp:posOffset>
            </wp:positionV>
            <wp:extent cx="6927850" cy="495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27850" cy="495300"/>
                    </a:xfrm>
                    <a:prstGeom prst="rect">
                      <a:avLst/>
                    </a:prstGeom>
                    <a:noFill/>
                  </pic:spPr>
                </pic:pic>
              </a:graphicData>
            </a:graphic>
          </wp:anchor>
        </w:drawing>
      </w:r>
    </w:p>
    <w:p>
      <w:pPr>
        <w:spacing w:after="0" w:line="15" w:lineRule="exact"/>
        <w:rPr>
          <w:sz w:val="24"/>
          <w:szCs w:val="24"/>
          <w:color w:val="auto"/>
        </w:rPr>
      </w:pPr>
    </w:p>
    <w:p>
      <w:pPr>
        <w:ind w:left="40" w:right="80" w:firstLine="5"/>
        <w:spacing w:after="0" w:line="253" w:lineRule="auto"/>
        <w:tabs>
          <w:tab w:leader="none" w:pos="19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Twenty-five percent (25%) of the shares subject to the option vested on March 29, 2020, and one thirty-sixth (1/36th) of the remaining shares subject to the option vested or shall vest each month thereafter, subject to Reporting Person continuing to provide service through each such date.</w:t>
      </w:r>
    </w:p>
    <w:p>
      <w:pPr>
        <w:spacing w:after="0" w:line="26" w:lineRule="exact"/>
        <w:rPr>
          <w:rFonts w:ascii="Arial" w:cs="Arial" w:eastAsia="Arial" w:hAnsi="Arial"/>
          <w:sz w:val="15"/>
          <w:szCs w:val="15"/>
          <w:color w:val="008000"/>
        </w:rPr>
      </w:pPr>
    </w:p>
    <w:p>
      <w:pPr>
        <w:ind w:left="40" w:right="260" w:firstLine="5"/>
        <w:spacing w:after="0" w:line="253" w:lineRule="auto"/>
        <w:tabs>
          <w:tab w:leader="none" w:pos="190" w:val="left"/>
        </w:tabs>
        <w:numPr>
          <w:ilvl w:val="0"/>
          <w:numId w:val="4"/>
        </w:numPr>
        <w:rPr>
          <w:rFonts w:ascii="Arial" w:cs="Arial" w:eastAsia="Arial" w:hAnsi="Arial"/>
          <w:sz w:val="15"/>
          <w:szCs w:val="15"/>
          <w:color w:val="008000"/>
        </w:rPr>
      </w:pPr>
      <w:r>
        <w:rPr>
          <w:rFonts w:ascii="Arial" w:cs="Arial" w:eastAsia="Arial" w:hAnsi="Arial"/>
          <w:sz w:val="15"/>
          <w:szCs w:val="15"/>
          <w:color w:val="008000"/>
        </w:rPr>
        <w:t>Twenty-five percent (25%) of the shares subject to the option shall vest on December 16, 2020, and one thirty-ninth (1/39th) of the remaining shares subject to the option shall vest each month thereafter, subject to Reporting Person continuing to provide service through each such date.</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Exhibit List - Exhibit 24 - Power of Attorney</w:t>
      </w:r>
    </w:p>
    <w:p>
      <w:pPr>
        <w:spacing w:after="0" w:line="58"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88"/>
              </w:rPr>
              <w:t>/s/ Steve Forte, Attorney-</w:t>
            </w:r>
          </w:p>
        </w:tc>
        <w:tc>
          <w:tcPr>
            <w:tcW w:w="200" w:type="dxa"/>
            <w:vAlign w:val="bottom"/>
          </w:tcPr>
          <w:p>
            <w:pPr>
              <w:spacing w:after="0"/>
              <w:rPr>
                <w:sz w:val="19"/>
                <w:szCs w:val="19"/>
                <w:color w:val="auto"/>
              </w:rPr>
            </w:pP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06/18/2020</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2180" w:type="dxa"/>
            <w:vAlign w:val="bottom"/>
            <w:gridSpan w:val="3"/>
            <w:vMerge w:val="restart"/>
          </w:tcPr>
          <w:p>
            <w:pPr>
              <w:spacing w:after="0" w:line="220" w:lineRule="exact"/>
              <w:rPr>
                <w:sz w:val="20"/>
                <w:szCs w:val="20"/>
                <w:color w:val="auto"/>
              </w:rPr>
            </w:pPr>
            <w:r>
              <w:rPr>
                <w:rFonts w:ascii="Arial" w:cs="Arial" w:eastAsia="Arial" w:hAnsi="Arial"/>
                <w:sz w:val="20"/>
                <w:szCs w:val="20"/>
                <w:color w:val="0000FF"/>
              </w:rPr>
              <w:t>in-Fact</w:t>
            </w: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2180" w:type="dxa"/>
            <w:vAlign w:val="bottom"/>
            <w:gridSpan w:val="3"/>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Exhibit 24</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(For Executing Form ID and Forms 3, 4 and 5)</w:t>
      </w:r>
    </w:p>
    <w:p>
      <w:pPr>
        <w:spacing w:after="0" w:line="230" w:lineRule="exact"/>
        <w:rPr>
          <w:sz w:val="20"/>
          <w:szCs w:val="20"/>
          <w:color w:val="auto"/>
        </w:rPr>
      </w:pPr>
    </w:p>
    <w:p>
      <w:pPr>
        <w:ind w:right="1300" w:firstLine="937"/>
        <w:spacing w:after="0" w:line="237" w:lineRule="auto"/>
        <w:rPr>
          <w:sz w:val="20"/>
          <w:szCs w:val="20"/>
          <w:color w:val="auto"/>
        </w:rPr>
      </w:pPr>
      <w:r>
        <w:rPr>
          <w:rFonts w:ascii="Courier New" w:cs="Courier New" w:eastAsia="Courier New" w:hAnsi="Courier New"/>
          <w:sz w:val="20"/>
          <w:szCs w:val="20"/>
          <w:color w:val="auto"/>
        </w:rPr>
        <w:t>Know all by these presents, that the undersigned hereby constitutes and appoints each of Lloyd M. Segal and Steve Forte of Repare Therapeutics Inc. (the "Company") and Divakar Gupta, Courtney Thorne, Trey Reilly and Jason Minio of Cooley LLP, signing individually, the undersigned's true and lawful attorneys-in fact and agents to:</w:t>
      </w:r>
    </w:p>
    <w:p>
      <w:pPr>
        <w:spacing w:after="0" w:line="232" w:lineRule="exact"/>
        <w:rPr>
          <w:sz w:val="20"/>
          <w:szCs w:val="20"/>
          <w:color w:val="auto"/>
        </w:rPr>
      </w:pPr>
    </w:p>
    <w:p>
      <w:pPr>
        <w:ind w:firstLine="937"/>
        <w:spacing w:after="0" w:line="236" w:lineRule="auto"/>
        <w:tabs>
          <w:tab w:leader="none" w:pos="1873"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in the undersigned's name and on the undersigned's behalf, and submit to the Securities and Exchange Commission (the "SEC"), a Form ID and</w:t>
      </w:r>
    </w:p>
    <w:p>
      <w:pPr>
        <w:spacing w:after="0" w:line="4" w:lineRule="exact"/>
        <w:rPr>
          <w:rFonts w:ascii="Courier New" w:cs="Courier New" w:eastAsia="Courier New" w:hAnsi="Courier New"/>
          <w:sz w:val="20"/>
          <w:szCs w:val="20"/>
          <w:color w:val="auto"/>
        </w:rPr>
      </w:pPr>
    </w:p>
    <w:p>
      <w:pPr>
        <w:ind w:right="1420"/>
        <w:spacing w:after="0" w:line="269" w:lineRule="auto"/>
        <w:rPr>
          <w:rFonts w:ascii="Courier New" w:cs="Courier New" w:eastAsia="Courier New" w:hAnsi="Courier New"/>
          <w:sz w:val="20"/>
          <w:szCs w:val="20"/>
          <w:color w:val="auto"/>
        </w:rPr>
      </w:pPr>
      <w:r>
        <w:rPr>
          <w:rFonts w:ascii="Courier New" w:cs="Courier New" w:eastAsia="Courier New" w:hAnsi="Courier New"/>
          <w:sz w:val="18"/>
          <w:szCs w:val="18"/>
          <w:color w:val="auto"/>
        </w:rPr>
        <w:t>Forms 3, 4 and 5 (including amendments thereto and joint filing agreements in connection therewith) in accordance with Section 16 of the Securities Exchange Act of 1934, as amended (the "Exchange Act"), and the rules thereunder, in the undersigned's capacity as an officer, director or beneficial owner of more than 10% of a registered class of securities of the Company;</w:t>
      </w:r>
    </w:p>
    <w:p>
      <w:pPr>
        <w:spacing w:after="0" w:line="207" w:lineRule="exact"/>
        <w:rPr>
          <w:rFonts w:ascii="Courier New" w:cs="Courier New" w:eastAsia="Courier New" w:hAnsi="Courier New"/>
          <w:sz w:val="20"/>
          <w:szCs w:val="20"/>
          <w:color w:val="auto"/>
        </w:rPr>
      </w:pPr>
    </w:p>
    <w:p>
      <w:pPr>
        <w:ind w:right="240" w:firstLine="937"/>
        <w:spacing w:after="0" w:line="236" w:lineRule="auto"/>
        <w:tabs>
          <w:tab w:leader="none" w:pos="1873"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that may be necessary or desirable to prepare and execute any such Form ID and Forms</w:t>
      </w:r>
    </w:p>
    <w:p>
      <w:pPr>
        <w:spacing w:after="0" w:line="4" w:lineRule="exact"/>
        <w:rPr>
          <w:rFonts w:ascii="Courier New" w:cs="Courier New" w:eastAsia="Courier New" w:hAnsi="Courier New"/>
          <w:sz w:val="20"/>
          <w:szCs w:val="20"/>
          <w:color w:val="auto"/>
        </w:rPr>
      </w:pPr>
    </w:p>
    <w:p>
      <w:pPr>
        <w:ind w:right="1520"/>
        <w:spacing w:after="0" w:line="236"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3, 4 or 5 (including amendments thereto and joint filing agreements in connection therewith) and file such forms with the SEC and any stock exchange, self-regulatory association or any similar authority; and</w:t>
      </w:r>
    </w:p>
    <w:p>
      <w:pPr>
        <w:spacing w:after="0" w:line="232" w:lineRule="exact"/>
        <w:rPr>
          <w:rFonts w:ascii="Courier New" w:cs="Courier New" w:eastAsia="Courier New" w:hAnsi="Courier New"/>
          <w:sz w:val="20"/>
          <w:szCs w:val="20"/>
          <w:color w:val="auto"/>
        </w:rPr>
      </w:pPr>
    </w:p>
    <w:p>
      <w:pPr>
        <w:ind w:right="940" w:firstLine="937"/>
        <w:spacing w:after="0" w:line="264" w:lineRule="auto"/>
        <w:tabs>
          <w:tab w:leader="none" w:pos="1873"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that, in the opinion of such attorney-in-fact, may be of benefit to,</w:t>
      </w:r>
    </w:p>
    <w:p>
      <w:pPr>
        <w:spacing w:after="0" w:line="1" w:lineRule="exact"/>
        <w:rPr>
          <w:rFonts w:ascii="Courier New" w:cs="Courier New" w:eastAsia="Courier New" w:hAnsi="Courier New"/>
          <w:sz w:val="18"/>
          <w:szCs w:val="18"/>
          <w:color w:val="auto"/>
        </w:rPr>
      </w:pPr>
    </w:p>
    <w:p>
      <w:pPr>
        <w:ind w:right="1420"/>
        <w:spacing w:after="0" w:line="237"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in the best interest of, or legally required of the undersigned, it being understood that the documents executed by the attorney-in-fact on behalf of the undersigned pursuant to this Power of Attorney shall be in such form and shall contain such terms and conditions as the attorney-in-fact may approve in the attorney-in-fact's discretion.</w:t>
      </w:r>
    </w:p>
    <w:p>
      <w:pPr>
        <w:spacing w:after="0" w:line="232" w:lineRule="exact"/>
        <w:rPr>
          <w:sz w:val="20"/>
          <w:szCs w:val="20"/>
          <w:color w:val="auto"/>
        </w:rPr>
      </w:pPr>
    </w:p>
    <w:p>
      <w:pPr>
        <w:ind w:right="1060" w:firstLine="937"/>
        <w:spacing w:after="0" w:line="266" w:lineRule="auto"/>
        <w:rPr>
          <w:sz w:val="20"/>
          <w:szCs w:val="20"/>
          <w:color w:val="auto"/>
        </w:rPr>
      </w:pPr>
      <w:r>
        <w:rPr>
          <w:rFonts w:ascii="Courier New" w:cs="Courier New" w:eastAsia="Courier New" w:hAnsi="Courier New"/>
          <w:sz w:val="18"/>
          <w:szCs w:val="18"/>
          <w:color w:val="auto"/>
        </w:rPr>
        <w:t>The undersigned hereby grants to each such attorney in 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 in fact, or such attorney in fact's substitute or substitutes, shall lawfully do or cause to be done by virtue of this power of attorney and the rights and powers herein granted. The undersigned acknowledges that the foregoing attorneys-in-fact, and their substitutes, in serving in such capacity at the request of the undersigned, are not assuming (nor is the Company assuming) any of the undersigned's responsibilities to comply with Section 16 of the Exchange Act.</w:t>
      </w:r>
    </w:p>
    <w:p>
      <w:pPr>
        <w:spacing w:after="0" w:line="200" w:lineRule="exact"/>
        <w:rPr>
          <w:sz w:val="20"/>
          <w:szCs w:val="20"/>
          <w:color w:val="auto"/>
        </w:rPr>
      </w:pPr>
    </w:p>
    <w:p>
      <w:pPr>
        <w:spacing w:after="0" w:line="240" w:lineRule="exact"/>
        <w:rPr>
          <w:sz w:val="20"/>
          <w:szCs w:val="20"/>
          <w:color w:val="auto"/>
        </w:rPr>
      </w:pPr>
    </w:p>
    <w:p>
      <w:pPr>
        <w:ind w:right="480" w:firstLine="937"/>
        <w:spacing w:after="0" w:line="264" w:lineRule="auto"/>
        <w:rPr>
          <w:sz w:val="20"/>
          <w:szCs w:val="20"/>
          <w:color w:val="auto"/>
        </w:rPr>
      </w:pPr>
      <w:r>
        <w:rPr>
          <w:rFonts w:ascii="Courier New" w:cs="Courier New" w:eastAsia="Courier New" w:hAnsi="Courier New"/>
          <w:sz w:val="18"/>
          <w:szCs w:val="18"/>
          <w:color w:val="auto"/>
        </w:rPr>
        <w:t>This Power of Attorney shall remain in full force and effect until the earliest to occur of (a) the undersigned is no longer required to file Forms 3, 4 and 5</w:t>
      </w:r>
    </w:p>
    <w:p>
      <w:pPr>
        <w:spacing w:after="0" w:line="2" w:lineRule="exact"/>
        <w:rPr>
          <w:sz w:val="20"/>
          <w:szCs w:val="20"/>
          <w:color w:val="auto"/>
        </w:rPr>
      </w:pPr>
    </w:p>
    <w:p>
      <w:pPr>
        <w:ind w:right="1300"/>
        <w:spacing w:after="0" w:line="237" w:lineRule="auto"/>
        <w:rPr>
          <w:sz w:val="20"/>
          <w:szCs w:val="20"/>
          <w:color w:val="auto"/>
        </w:rPr>
      </w:pPr>
      <w:r>
        <w:rPr>
          <w:rFonts w:ascii="Courier New" w:cs="Courier New" w:eastAsia="Courier New" w:hAnsi="Courier New"/>
          <w:sz w:val="20"/>
          <w:szCs w:val="20"/>
          <w:color w:val="auto"/>
        </w:rPr>
        <w:t>with respect to the undersigned's holdings of and transactions in securities issued by the Company, (b) revocation by the undersigned in a signed writing delivered to the Company and the foregoing attorneys-in fact or (c) as to any attorney-in-fact individually, until such attorney-in-fact is no longer employed by the Company or employed by or a partner at Cooley LLP or another law firm representing the Company, as applicable.</w:t>
      </w:r>
    </w:p>
    <w:p>
      <w:pPr>
        <w:spacing w:after="0" w:line="233" w:lineRule="exact"/>
        <w:rPr>
          <w:sz w:val="20"/>
          <w:szCs w:val="20"/>
          <w:color w:val="auto"/>
        </w:rPr>
      </w:pPr>
    </w:p>
    <w:p>
      <w:pPr>
        <w:ind w:right="940" w:firstLine="937"/>
        <w:spacing w:after="0" w:line="236"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the date written below.</w:t>
      </w:r>
    </w:p>
    <w:p>
      <w:pPr>
        <w:spacing w:after="0" w:line="200" w:lineRule="exact"/>
        <w:rPr>
          <w:sz w:val="20"/>
          <w:szCs w:val="20"/>
          <w:color w:val="auto"/>
        </w:rPr>
      </w:pPr>
    </w:p>
    <w:p>
      <w:pPr>
        <w:spacing w:after="0" w:line="249" w:lineRule="exact"/>
        <w:rPr>
          <w:sz w:val="20"/>
          <w:szCs w:val="20"/>
          <w:color w:val="auto"/>
        </w:rPr>
      </w:pPr>
    </w:p>
    <w:p>
      <w:pPr>
        <w:spacing w:after="0"/>
        <w:tabs>
          <w:tab w:leader="none" w:pos="800" w:val="left"/>
        </w:tabs>
        <w:rPr>
          <w:sz w:val="20"/>
          <w:szCs w:val="20"/>
          <w:color w:val="auto"/>
        </w:rPr>
      </w:pPr>
      <w:r>
        <w:rPr>
          <w:rFonts w:ascii="Courier New" w:cs="Courier New" w:eastAsia="Courier New" w:hAnsi="Courier New"/>
          <w:sz w:val="20"/>
          <w:szCs w:val="20"/>
          <w:color w:val="auto"/>
        </w:rPr>
        <w:t>Date:</w:t>
      </w:r>
      <w:r>
        <w:rPr>
          <w:sz w:val="20"/>
          <w:szCs w:val="20"/>
          <w:color w:val="auto"/>
        </w:rPr>
        <w:tab/>
      </w:r>
      <w:r>
        <w:rPr>
          <w:rFonts w:ascii="Courier New" w:cs="Courier New" w:eastAsia="Courier New" w:hAnsi="Courier New"/>
          <w:sz w:val="18"/>
          <w:szCs w:val="18"/>
          <w:color w:val="auto"/>
        </w:rPr>
        <w:t>6/15/2020</w:t>
      </w:r>
    </w:p>
    <w:p>
      <w:pPr>
        <w:spacing w:after="0" w:line="238" w:lineRule="auto"/>
        <w:rPr>
          <w:sz w:val="20"/>
          <w:szCs w:val="20"/>
          <w:color w:val="auto"/>
        </w:rPr>
      </w:pPr>
      <w:r>
        <w:rPr>
          <w:rFonts w:ascii="Courier New" w:cs="Courier New" w:eastAsia="Courier New" w:hAnsi="Courier New"/>
          <w:sz w:val="20"/>
          <w:szCs w:val="20"/>
          <w:color w:val="auto"/>
        </w:rPr>
        <w:t>/s/ Carol Schafer</w:t>
      </w:r>
    </w:p>
    <w:p>
      <w:pPr>
        <w:spacing w:after="0" w:line="238" w:lineRule="auto"/>
        <w:rPr>
          <w:sz w:val="20"/>
          <w:szCs w:val="20"/>
          <w:color w:val="auto"/>
        </w:rPr>
      </w:pPr>
      <w:r>
        <w:rPr>
          <w:rFonts w:ascii="Courier New" w:cs="Courier New" w:eastAsia="Courier New" w:hAnsi="Courier New"/>
          <w:sz w:val="20"/>
          <w:szCs w:val="20"/>
          <w:color w:val="auto"/>
        </w:rPr>
        <w:t>Carol Schafer</w:t>
      </w:r>
    </w:p>
    <w:sectPr>
      <w:pgSz w:w="11900" w:h="16838" w:orient="portrait"/>
      <w:cols w:equalWidth="0" w:num="1">
        <w:col w:w="10660"/>
      </w:cols>
      <w:pgMar w:left="480" w:top="136" w:right="7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0" Type="http://schemas.openxmlformats.org/officeDocument/2006/relationships/hyperlink" Target="http://www.sec.gov/cgi-bin/browse-edgar?action=getcompany&amp;CIK=0001272181" TargetMode="External"/><Relationship Id="rId11"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2020-06-18T20:39:00Z</dcterms:created>
  <dcterms:modified xsi:type="dcterms:W3CDTF">2020-06-18T20:39:00Z</dcterms:modified>
</cp:coreProperties>
</file>