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166370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227330</wp:posOffset>
            </wp:positionV>
            <wp:extent cx="14916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(Rule 13d-102)</w:t>
      </w:r>
    </w:p>
    <w:p>
      <w:pPr>
        <w:spacing w:after="0" w:line="4"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INFORMATION TO BE INCLUDED IN STATEMENTS FILED PURSUANT</w:t>
      </w:r>
    </w:p>
    <w:p>
      <w:pPr>
        <w:jc w:val="center"/>
        <w:ind w:right="-279"/>
        <w:spacing w:after="0" w:line="230" w:lineRule="auto"/>
        <w:rPr>
          <w:sz w:val="20"/>
          <w:szCs w:val="20"/>
          <w:color w:val="auto"/>
        </w:rPr>
      </w:pPr>
      <w:r>
        <w:rPr>
          <w:rFonts w:ascii="Arial" w:cs="Arial" w:eastAsia="Arial" w:hAnsi="Arial"/>
          <w:sz w:val="22"/>
          <w:szCs w:val="22"/>
          <w:b w:val="1"/>
          <w:bCs w:val="1"/>
          <w:color w:val="auto"/>
        </w:rPr>
        <w:t>TO RULE 13d-l(a) AND AMENDMENTS THERETO FILED PURSUANT</w:t>
      </w:r>
    </w:p>
    <w:p>
      <w:pPr>
        <w:jc w:val="center"/>
        <w:ind w:right="-279"/>
        <w:spacing w:after="0" w:line="231" w:lineRule="auto"/>
        <w:rPr>
          <w:sz w:val="20"/>
          <w:szCs w:val="20"/>
          <w:color w:val="auto"/>
        </w:rPr>
      </w:pPr>
      <w:r>
        <w:rPr>
          <w:rFonts w:ascii="Arial" w:cs="Arial" w:eastAsia="Arial" w:hAnsi="Arial"/>
          <w:sz w:val="22"/>
          <w:szCs w:val="22"/>
          <w:b w:val="1"/>
          <w:bCs w:val="1"/>
          <w:color w:val="auto"/>
        </w:rPr>
        <w:t>TO RULE 13d-2(a)</w:t>
      </w:r>
    </w:p>
    <w:p>
      <w:pPr>
        <w:jc w:val="center"/>
        <w:ind w:right="-27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218440</wp:posOffset>
            </wp:positionV>
            <wp:extent cx="14916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06" w:lineRule="exact"/>
        <w:rPr>
          <w:sz w:val="24"/>
          <w:szCs w:val="24"/>
          <w:color w:val="auto"/>
        </w:rPr>
      </w:pPr>
    </w:p>
    <w:p>
      <w:pPr>
        <w:jc w:val="center"/>
        <w:ind w:right="-279"/>
        <w:spacing w:after="0"/>
        <w:rPr>
          <w:sz w:val="20"/>
          <w:szCs w:val="20"/>
          <w:color w:val="auto"/>
        </w:rPr>
      </w:pPr>
      <w:r>
        <w:rPr>
          <w:rFonts w:ascii="Arial" w:cs="Arial" w:eastAsia="Arial" w:hAnsi="Arial"/>
          <w:sz w:val="40"/>
          <w:szCs w:val="40"/>
          <w:b w:val="1"/>
          <w:bCs w:val="1"/>
          <w:color w:val="auto"/>
        </w:rPr>
        <w:t>REPARE THERAPEUTICS INC.</w:t>
      </w:r>
    </w:p>
    <w:p>
      <w:pPr>
        <w:spacing w:after="0" w:line="35"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(Name of Issuer)</w:t>
      </w:r>
    </w:p>
    <w:p>
      <w:pPr>
        <w:spacing w:after="0" w:line="205"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Common Stock</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(Title of Class of Securities)</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760273102</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(CUSIP Number)</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Versant Venture Capital V, L.P.</w:t>
      </w:r>
    </w:p>
    <w:p>
      <w:pPr>
        <w:spacing w:after="0" w:line="27"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Robin L. Praeger</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One Sansome Street, Suite 3630</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San Francisco, CA 94104</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415-801-8100</w:t>
      </w:r>
    </w:p>
    <w:p>
      <w:pPr>
        <w:spacing w:after="0" w:line="2"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January 14, 2021</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219075</wp:posOffset>
            </wp:positionV>
            <wp:extent cx="14916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9" w:lineRule="exact"/>
        <w:rPr>
          <w:sz w:val="24"/>
          <w:szCs w:val="24"/>
          <w:color w:val="auto"/>
        </w:rPr>
      </w:pPr>
    </w:p>
    <w:p>
      <w:pPr>
        <w:ind w:left="460" w:hanging="452"/>
        <w:spacing w:after="0" w:line="308" w:lineRule="auto"/>
        <w:tabs>
          <w:tab w:leader="none" w:pos="46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46" w:lineRule="exact"/>
        <w:rPr>
          <w:sz w:val="24"/>
          <w:szCs w:val="24"/>
          <w:color w:val="auto"/>
        </w:rPr>
      </w:pPr>
    </w:p>
    <w:p>
      <w:pPr>
        <w:ind w:right="40"/>
        <w:spacing w:after="0" w:line="308" w:lineRule="auto"/>
        <w:rPr>
          <w:sz w:val="20"/>
          <w:szCs w:val="20"/>
          <w:color w:val="auto"/>
        </w:rPr>
      </w:pPr>
      <w:r>
        <w:rPr>
          <w:rFonts w:ascii="Arial" w:cs="Arial" w:eastAsia="Arial" w:hAnsi="Arial"/>
          <w:sz w:val="17"/>
          <w:szCs w:val="17"/>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110490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320" w:top="368" w:right="59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 Capital V,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2,378,225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2,378,225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2,378,225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6.5%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80" w:hanging="452"/>
        <w:spacing w:after="0" w:line="283" w:lineRule="auto"/>
        <w:tabs>
          <w:tab w:leader="none" w:pos="46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This Schedule 13D is filed by Versant Venture Capital V, L.P. (“VVC V”), Versant Affiliates Fund V, L.P. (“VAF V”), Versant Ophthalmic Affiliates Fund I, L.P. (“VOA”), Versant Ventures V, LLC (“VV V”), Versant Venture Capital VI, L.P. (“Versant VI”), Versant Ventures VI GP, L.P. (“GP VI”), Versant Ventures VI GP-GP, LLC (“LLC VI”), Versant Vantage I, L.P. (“Vantage LP”), Versant Vantage I GP, L.P. (“Vantage GP”), Versant Vantage I GP-GP, LLC (“Vantage LLC”), Versant Ventures V GP-GP (Canada), Inc. (“VV V CAN GP”), Versant Ventures V (Canada), L.P. (“VV V CAN”), Versant Venture Capital V (Canada) LP (“VVC CAN” and, with VV V CAN GP, Vantage LLC, VVC V, VAF V, VOA, VV V CAN, VV V, Versant VI, GP VI, LLC VI, Vantage LP and Vantage GP, collectively, the “Reporting Persons”). VV V is the sole general partner of VVC V, VAF V and VOA. LLC VI is the general partner of GP VI, which is the general partner of Versant VI. LLC VI and GP VI share voting and dispositive power over the shares held by Versant VI. Vantage LLC is the general partner of Vantage GP, which is the general partner of Vantage LP. Vantage LLC and Vantage GP share voting and dispositive power over the shares held by Vantage LP. VV V CAN GP is the sole general partner of VV V CAN, and VV V CAN is the sole general partner of VVC CAN. VV V CAN GP and VV V CAN share voting and dispositive power over the shares held by VVC CAN. The Reporting Persons expressly disclaim status as a “group” for purposes of this Schedule 13D.</w:t>
      </w:r>
    </w:p>
    <w:p>
      <w:pPr>
        <w:spacing w:after="0" w:line="3" w:lineRule="exact"/>
        <w:rPr>
          <w:rFonts w:ascii="Arial" w:cs="Arial" w:eastAsia="Arial" w:hAnsi="Arial"/>
          <w:sz w:val="16"/>
          <w:szCs w:val="16"/>
          <w:color w:val="auto"/>
        </w:rPr>
      </w:pPr>
    </w:p>
    <w:p>
      <w:pPr>
        <w:ind w:left="460" w:right="440" w:hanging="452"/>
        <w:spacing w:after="0" w:line="250"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These shares are held by VVC V. VV V is the sole general partner of VVC V and may be deemed to have voting and investment power over the securities held by VVC V and as a result may be deemed to have beneficial ownership over such securities.</w:t>
      </w:r>
    </w:p>
    <w:p>
      <w:pPr>
        <w:ind w:left="460" w:right="360" w:hanging="452"/>
        <w:spacing w:after="0" w:line="255"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This calculation is based upon 36,765,013 shares of the Issuer’s Common Stock outstanding as of November 12, 2020, as reported in the Issuer’s quarterly report on Form10-Q for the quarter ended September 30, 2020, filed with the United States Securities and Exchange Commission on November 12, 2020 (the “Form 10-Q”).</w:t>
      </w:r>
    </w:p>
    <w:p>
      <w:pPr>
        <w:sectPr>
          <w:pgSz w:w="11900" w:h="16838" w:orient="portrait"/>
          <w:cols w:equalWidth="0" w:num="1">
            <w:col w:w="11260"/>
          </w:cols>
          <w:pgMar w:left="320" w:top="268" w:right="31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Affiliates Fund V,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71,538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71,538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71,538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0.2%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ind w:left="460" w:right="360" w:hanging="452"/>
        <w:spacing w:after="0" w:line="258"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520" w:hanging="452"/>
        <w:spacing w:after="0" w:line="250"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These shares are held by VAF V. VV V is the sole general partner of VAF V and may be deemed to have voting and investment power over the securities held by VAF V and as a result may be deemed to have beneficial ownership over such securities.</w:t>
      </w:r>
    </w:p>
    <w:p>
      <w:pPr>
        <w:ind w:left="460" w:hanging="452"/>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Ophthalmic Affiliates Fund 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79,188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79,188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79,188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0.2%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740" w:hanging="452"/>
        <w:spacing w:after="0" w:line="250"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These shares are held by VOA. VV V is the sole general partner of VOA and may be deemed to have voting and investment power over the securities held by VOA and as a result may be deemed to have beneficial ownership over such securities.</w:t>
      </w:r>
    </w:p>
    <w:p>
      <w:pPr>
        <w:ind w:left="460" w:hanging="452"/>
        <w:spacing w:after="0"/>
        <w:tabs>
          <w:tab w:leader="none" w:pos="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Ventures V,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2,528,951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2,528,951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2,528,951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6.9%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jc w:val="both"/>
        <w:ind w:left="460" w:right="440" w:hanging="452"/>
        <w:spacing w:after="0" w:line="281" w:lineRule="auto"/>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(i) 2,378,225 shares are held by VVC V, (ii) 71,538 shares held by VAF, and (iii) 79,188 shares held by VOA. VV V is the sole general partner of VVC V, VAF and VOA and may be deemed to have voting and investment power over the securities held by VVC V, VAF and VOA.</w:t>
      </w:r>
    </w:p>
    <w:p>
      <w:pPr>
        <w:spacing w:after="0" w:line="1" w:lineRule="exact"/>
        <w:rPr>
          <w:rFonts w:ascii="Arial" w:cs="Arial" w:eastAsia="Arial" w:hAnsi="Arial"/>
          <w:sz w:val="16"/>
          <w:szCs w:val="16"/>
          <w:color w:val="auto"/>
        </w:rPr>
      </w:pPr>
    </w:p>
    <w:p>
      <w:pPr>
        <w:ind w:left="460" w:hanging="452"/>
        <w:spacing w:after="0"/>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 Capital V (Canada)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Ontario, Canada</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0.5%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6" w:name="page7"/>
    <w:bookmarkEnd w:id="6"/>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Ventures V GP-GP (Canada), Inc.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0.5%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CO</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ind w:left="460" w:right="360" w:hanging="452"/>
        <w:spacing w:after="0" w:line="258"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Ventures V (Canada),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180,995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0.5%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ind w:left="460" w:right="360" w:hanging="452"/>
        <w:spacing w:after="0" w:line="258"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 Capital VI,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22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3,144,451 shares of Common Stock(2)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3,144,451 shares of Common Stock(2)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8.6%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ind w:left="460" w:right="360" w:hanging="452"/>
        <w:spacing w:after="0" w:line="258"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jc w:val="both"/>
        <w:ind w:left="460" w:right="280" w:hanging="452"/>
        <w:spacing w:after="0" w:line="281" w:lineRule="auto"/>
        <w:tabs>
          <w:tab w:leader="none" w:pos="4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These shares are held by Versant VI. LLC VI is the general partner of GP VI, which is the general partner of Versant VI.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6"/>
          <w:szCs w:val="16"/>
          <w:color w:val="auto"/>
        </w:rPr>
      </w:pPr>
    </w:p>
    <w:p>
      <w:pPr>
        <w:ind w:left="460" w:hanging="452"/>
        <w:spacing w:after="0"/>
        <w:tabs>
          <w:tab w:leader="none" w:pos="4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Ventures VI GP,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22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8.6%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ind w:left="460" w:right="360" w:hanging="452"/>
        <w:spacing w:after="0" w:line="258"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jc w:val="both"/>
        <w:ind w:left="460" w:right="280" w:hanging="452"/>
        <w:spacing w:after="0" w:line="281" w:lineRule="auto"/>
        <w:tabs>
          <w:tab w:leader="none" w:pos="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These shares are held by Versant VI. LLC VI is the general partner of GP VI, which is the general partner of Versant VI.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6"/>
          <w:szCs w:val="16"/>
          <w:color w:val="auto"/>
        </w:rPr>
      </w:pPr>
    </w:p>
    <w:p>
      <w:pPr>
        <w:ind w:left="460" w:hanging="452"/>
        <w:spacing w:after="0"/>
        <w:tabs>
          <w:tab w:leader="none" w:pos="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Ventures VI GP-GP,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22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3,144,451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8.6%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jc w:val="both"/>
        <w:ind w:left="460" w:right="280" w:hanging="452"/>
        <w:spacing w:after="0" w:line="281" w:lineRule="auto"/>
        <w:tabs>
          <w:tab w:leader="none" w:pos="4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These shares are held by Versant VI. LLC VI is the general partner of GP VI, which is the general partner of Versant VI.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6"/>
          <w:szCs w:val="16"/>
          <w:color w:val="auto"/>
        </w:rPr>
      </w:pPr>
    </w:p>
    <w:p>
      <w:pPr>
        <w:ind w:left="460" w:hanging="452"/>
        <w:spacing w:after="0"/>
        <w:tabs>
          <w:tab w:leader="none" w:pos="4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11" w:name="page12"/>
    <w:bookmarkEnd w:id="11"/>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Vantage 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22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558,282 shares of Common Stock(2)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1.5%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14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12" w:name="page13"/>
    <w:bookmarkEnd w:id="12"/>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Vantage I GP,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1.5%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140" w:hanging="452"/>
        <w:spacing w:after="0" w:line="250"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13" w:name="page14"/>
    <w:bookmarkEnd w:id="13"/>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760" w:type="dxa"/>
            <w:vAlign w:val="bottom"/>
            <w:tcBorders>
              <w:top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Versant Vantage I GP-GP,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6"/>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gridSpan w:val="2"/>
          </w:tcPr>
          <w:p>
            <w:pPr>
              <w:ind w:left="20"/>
              <w:spacing w:after="0"/>
              <w:rPr>
                <w:sz w:val="20"/>
                <w:szCs w:val="20"/>
                <w:color w:val="auto"/>
              </w:rPr>
            </w:pPr>
            <w:r>
              <w:rPr>
                <w:rFonts w:ascii="Arial" w:cs="Arial" w:eastAsia="Arial" w:hAnsi="Arial"/>
                <w:sz w:val="18"/>
                <w:szCs w:val="18"/>
                <w:color w:val="auto"/>
                <w:w w:val="99"/>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4"/>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6"/>
          </w:tcPr>
          <w:p>
            <w:pPr>
              <w:ind w:left="160"/>
              <w:spacing w:after="0"/>
              <w:rPr>
                <w:sz w:val="20"/>
                <w:szCs w:val="20"/>
                <w:color w:val="auto"/>
              </w:rPr>
            </w:pPr>
            <w:r>
              <w:rPr>
                <w:rFonts w:ascii="Arial" w:cs="Arial" w:eastAsia="Arial" w:hAnsi="Arial"/>
                <w:sz w:val="18"/>
                <w:szCs w:val="18"/>
                <w:color w:val="auto"/>
              </w:rPr>
              <w:t>558,282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1.5%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6"/>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60" w:right="360" w:hanging="452"/>
        <w:spacing w:after="0" w:line="258" w:lineRule="auto"/>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140" w:hanging="452"/>
        <w:spacing w:after="0" w:line="250" w:lineRule="auto"/>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This calculation is based upon 36,765,013 shares of the Issuer’s Common Stock outstanding as of November 12, 2020, as reported in the Form 10-Q.</w:t>
      </w:r>
    </w:p>
    <w:p>
      <w:pPr>
        <w:sectPr>
          <w:pgSz w:w="11900" w:h="16838" w:orient="portrait"/>
          <w:cols w:equalWidth="0" w:num="1">
            <w:col w:w="11260"/>
          </w:cols>
          <w:pgMar w:left="320" w:top="268" w:right="31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4"/>
        </w:trPr>
        <w:tc>
          <w:tcPr>
            <w:tcW w:w="3720" w:type="dxa"/>
            <w:vAlign w:val="bottom"/>
          </w:tcPr>
          <w:p>
            <w:pPr>
              <w:spacing w:after="0"/>
              <w:rPr>
                <w:sz w:val="20"/>
                <w:szCs w:val="20"/>
                <w:color w:val="auto"/>
              </w:rPr>
            </w:pPr>
            <w:r>
              <w:rPr>
                <w:rFonts w:ascii="Arial" w:cs="Arial" w:eastAsia="Arial" w:hAnsi="Arial"/>
                <w:sz w:val="18"/>
                <w:szCs w:val="18"/>
                <w:b w:val="1"/>
                <w:bCs w:val="1"/>
                <w:color w:val="auto"/>
              </w:rPr>
              <w:t>CUSIP No. 760273102</w:t>
            </w:r>
          </w:p>
        </w:tc>
        <w:tc>
          <w:tcPr>
            <w:tcW w:w="2300" w:type="dxa"/>
            <w:vAlign w:val="bottom"/>
          </w:tcPr>
          <w:p>
            <w:pPr>
              <w:ind w:left="2000"/>
              <w:spacing w:after="0"/>
              <w:rPr>
                <w:sz w:val="20"/>
                <w:szCs w:val="20"/>
                <w:color w:val="auto"/>
              </w:rPr>
            </w:pPr>
            <w:r>
              <w:rPr>
                <w:rFonts w:ascii="Arial" w:cs="Arial" w:eastAsia="Arial" w:hAnsi="Arial"/>
                <w:sz w:val="18"/>
                <w:szCs w:val="18"/>
                <w:color w:val="auto"/>
                <w:w w:val="84"/>
              </w:rPr>
              <w:t>13D</w:t>
            </w:r>
          </w:p>
        </w:tc>
      </w:tr>
    </w:tbl>
    <w:p>
      <w:pPr>
        <w:spacing w:after="0" w:line="19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This Amendment No 1. (“Amendment”) amends and supplements the Schedule 13D originally filed by the Reporting Persons with the United States Securities and Exchange Commission (the “Commission”) on July 7, 2020 (the “Original 13D”). Only those items that are hereby reported are amended; all other items reported in the Original 13D remain unchanged. Information given in response to each item shall be deemed incorporated by reference in all other items, as applicable. Capitalized terms not defined in this Amendment have the meanings ascribed to them in the Original 13D.</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Security and Issuer</w:t>
      </w:r>
    </w:p>
    <w:p>
      <w:pPr>
        <w:spacing w:after="0" w:line="121"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color w:val="auto"/>
        </w:rPr>
        <w:t>This joint statement on Schedule 13D/A is filed with respect to the common stock, having no par value of Repare Therapeutics Inc., a corporation organized under the Business Corporations Act (Quèbec) (the “Issuer”), with its principal executive offices located at 7210 Frederick-Banting, Suite 100, St-Laurent, Quèbec, Canada H4S 2A1.</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Solely on behalf of, and only to the extent that it relates to, the Reporting Persons, Item 4 of the Original 13D is hereby amended and supplemented by the addition of the following:</w:t>
      </w:r>
    </w:p>
    <w:p>
      <w:pPr>
        <w:spacing w:after="0" w:line="62"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The Reporting Persons have previously reserved the right and continue to reserve the right, based on all relevant factors and subject to applicable law or other restrictions, at any time and from time to time, to acquire additional shares of Common Stock or other securities of the Issuer, dispose of some or all of the shares of Common Stock or other securities of the Issuer that it may own from time to time, in each case in open market or private transactions, block sales or otherwise or pursuant to ordinary stock exchange transactions effected through one or more broker-dealers whether individually or utilizing specific pricing or other instructions (including by means of Rule 10b5-1 programs), and review or reconsider their position, change their purpose, take other actions or formulate and implement plans or proposals with respect to any of the foregoing.</w:t>
      </w:r>
    </w:p>
    <w:p>
      <w:pPr>
        <w:spacing w:after="0" w:line="178" w:lineRule="exact"/>
        <w:rPr>
          <w:sz w:val="20"/>
          <w:szCs w:val="20"/>
          <w:color w:val="auto"/>
        </w:rPr>
      </w:pPr>
    </w:p>
    <w:p>
      <w:pPr>
        <w:ind w:right="400"/>
        <w:spacing w:after="0" w:line="263" w:lineRule="auto"/>
        <w:rPr>
          <w:sz w:val="20"/>
          <w:szCs w:val="20"/>
          <w:color w:val="auto"/>
        </w:rPr>
      </w:pPr>
      <w:r>
        <w:rPr>
          <w:rFonts w:ascii="Arial" w:cs="Arial" w:eastAsia="Arial" w:hAnsi="Arial"/>
          <w:sz w:val="18"/>
          <w:szCs w:val="18"/>
          <w:color w:val="auto"/>
        </w:rPr>
        <w:t>The Reporting Persons intend to review their investment in the Issuer from time to time on the basis of various factors, including the Issuer’s business, financial condition, results of operations and prospects, general economic and industry conditions, the securities markets in general and those for the Issuer’s stock in particular, as well as other developments.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Solely on behalf of, and only to the extent that it relates to the Reporting Persons, Item 5 of the Original 13D is hereby amended as follows: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 and (b) See Items 7-11 of the cover pages of this Amendment.</w:t>
      </w:r>
    </w:p>
    <w:p>
      <w:pPr>
        <w:spacing w:after="0" w:line="117" w:lineRule="exact"/>
        <w:rPr>
          <w:sz w:val="20"/>
          <w:szCs w:val="20"/>
          <w:color w:val="auto"/>
        </w:rPr>
      </w:pPr>
    </w:p>
    <w:p>
      <w:pPr>
        <w:ind w:right="440" w:firstLine="8"/>
        <w:spacing w:after="0" w:line="277" w:lineRule="auto"/>
        <w:tabs>
          <w:tab w:leader="none" w:pos="245" w:val="left"/>
        </w:tabs>
        <w:numPr>
          <w:ilvl w:val="0"/>
          <w:numId w:val="15"/>
        </w:numPr>
        <w:rPr>
          <w:rFonts w:ascii="Arial" w:cs="Arial" w:eastAsia="Arial" w:hAnsi="Arial"/>
          <w:sz w:val="18"/>
          <w:szCs w:val="18"/>
          <w:color w:val="auto"/>
        </w:rPr>
      </w:pPr>
      <w:r>
        <w:rPr>
          <w:rFonts w:ascii="Arial" w:cs="Arial" w:eastAsia="Arial" w:hAnsi="Arial"/>
          <w:sz w:val="18"/>
          <w:szCs w:val="18"/>
          <w:color w:val="auto"/>
        </w:rPr>
        <w:t>On December 15, 2020, VVC V effected a pro rata distribution without additional consideration of 285,217 shares of Common Stock to its limited partners.</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On December 15, 2020, VAF V effected a pro rata distribution without additional consideration of 8,579 shares of Common Stock to its limited partners.</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color w:val="auto"/>
        </w:rPr>
        <w:t>On December 15, 2020, VOA effected a pro rata distribution without additional consideration of 9,497 shares of Common Stock to its limited partners.</w:t>
      </w:r>
    </w:p>
    <w:p>
      <w:pPr>
        <w:spacing w:after="0" w:line="23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On December 15, 2020, VVC CAN effected a pro rata distribution without additional consideration of 21,707 shares of Common Stock to its limited partners.</w:t>
      </w:r>
    </w:p>
    <w:p>
      <w:pPr>
        <w:sectPr>
          <w:pgSz w:w="11900" w:h="16838" w:orient="portrait"/>
          <w:cols w:equalWidth="0" w:num="1">
            <w:col w:w="11240"/>
          </w:cols>
          <w:pgMar w:left="320" w:top="270" w:right="339" w:bottom="1440" w:gutter="0" w:footer="0" w:header="0"/>
        </w:sectPr>
      </w:pPr>
    </w:p>
    <w:bookmarkStart w:id="15" w:name="page16"/>
    <w:bookmarkEnd w:id="15"/>
    <w:p>
      <w:pPr>
        <w:jc w:val="both"/>
        <w:ind w:right="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On January 14, 2021, VVC V effected a pro rata distribution without additional consideration of 153,579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On January 14, 2021, VAF V effected a pro rata distribution without additional consideration of 4,620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On January 14, 2021, VOA effected a pro rata distribution without additional consideration of 5,113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January 14, 2021, VVC CAN effected a pro rata distribution without additional consideration of 11,688 shares of Common Stock to (i) VV V CAN, its general partner and (ii) its limited partners. VV V CAN then effected a pro rata distribution without additional consideration of the shares that it received in connection with such distribution to its limited partners.</w:t>
      </w:r>
    </w:p>
    <w:p>
      <w:pPr>
        <w:spacing w:after="0" w:line="184" w:lineRule="exact"/>
        <w:rPr>
          <w:sz w:val="20"/>
          <w:szCs w:val="20"/>
          <w:color w:val="auto"/>
        </w:rPr>
      </w:pPr>
    </w:p>
    <w:p>
      <w:pPr>
        <w:ind w:right="380"/>
        <w:spacing w:after="0" w:line="279" w:lineRule="auto"/>
        <w:rPr>
          <w:sz w:val="20"/>
          <w:szCs w:val="20"/>
          <w:color w:val="auto"/>
        </w:rPr>
      </w:pPr>
      <w:r>
        <w:rPr>
          <w:rFonts w:ascii="Arial" w:cs="Arial" w:eastAsia="Arial" w:hAnsi="Arial"/>
          <w:sz w:val="17"/>
          <w:szCs w:val="17"/>
          <w:color w:val="auto"/>
        </w:rPr>
        <w:t>On January 14, 2021, Versant VI effected a pro rata distribution without additional consideration of 275,000 shares of Common Stock to (i) GP VI, its general partner and (ii) its limited partners. GP VI then effected a pro rata distribution without additional consideration of the shares that it received in connection with such distribution to (i) LLC VI, its general partner and (ii) its limited partners. LLC VI then effected a pro rata distribution without additional consideration of the shares that it received in connection with such distribution to its members.</w:t>
      </w:r>
    </w:p>
    <w:p>
      <w:pPr>
        <w:spacing w:after="0" w:line="17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On January 14, 2021, Vantage LP effected a pro rata distribution without additional consideration of 50,000 shares of Common Stock to (i) Vantage GP, its general partner and (ii) its limited partners. Vantage GP then effected a pro rata distribution without additional consideration of the shares that it received in connection with such distribution to (i) Vantage LLC, its general partner and (ii) its limited partners. Vantage LLC then effected a pro rata distribution without additional consideration of the shares that it received in connection with such distribution to its members.</w:t>
      </w:r>
    </w:p>
    <w:p>
      <w:pPr>
        <w:spacing w:after="0" w:line="63" w:lineRule="exact"/>
        <w:rPr>
          <w:sz w:val="20"/>
          <w:szCs w:val="20"/>
          <w:color w:val="auto"/>
        </w:rPr>
      </w:pPr>
    </w:p>
    <w:p>
      <w:pPr>
        <w:ind w:right="100" w:firstLine="8"/>
        <w:spacing w:after="0" w:line="263" w:lineRule="auto"/>
        <w:tabs>
          <w:tab w:leader="none" w:pos="255" w:val="left"/>
        </w:tabs>
        <w:numPr>
          <w:ilvl w:val="0"/>
          <w:numId w:val="16"/>
        </w:numPr>
        <w:rPr>
          <w:rFonts w:ascii="Arial" w:cs="Arial" w:eastAsia="Arial" w:hAnsi="Arial"/>
          <w:sz w:val="18"/>
          <w:szCs w:val="18"/>
          <w:color w:val="auto"/>
        </w:rPr>
      </w:pPr>
      <w:r>
        <w:rPr>
          <w:rFonts w:ascii="Arial" w:cs="Arial" w:eastAsia="Arial" w:hAnsi="Arial"/>
          <w:sz w:val="18"/>
          <w:szCs w:val="18"/>
          <w:color w:val="auto"/>
        </w:rPr>
        <w:t>Under certain circumstances set forth in the respective limited partnership agreements of each of VVC V, VAF V, VOA, VVC CAN, Versant VI and Vantage LP (the “Funds”), the respective general partners and limited partners of the Funds may be deemed to have the right to receive dividends from, or the proceeds from, the sale of shares of the Issuer owned by such entity of which they are a partner.</w:t>
      </w:r>
    </w:p>
    <w:p>
      <w:pPr>
        <w:spacing w:after="0" w:line="75" w:lineRule="exact"/>
        <w:rPr>
          <w:rFonts w:ascii="Arial" w:cs="Arial" w:eastAsia="Arial" w:hAnsi="Arial"/>
          <w:sz w:val="18"/>
          <w:szCs w:val="18"/>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 applicable.</w:t>
      </w:r>
    </w:p>
    <w:p>
      <w:pPr>
        <w:sectPr>
          <w:pgSz w:w="11900" w:h="16838" w:orient="portrait"/>
          <w:cols w:equalWidth="0" w:num="1">
            <w:col w:w="11200"/>
          </w:cols>
          <w:pgMar w:left="320" w:top="274" w:right="379" w:bottom="1440" w:gutter="0" w:footer="0" w:header="0"/>
        </w:sectPr>
      </w:pPr>
    </w:p>
    <w:bookmarkStart w:id="16" w:name="page17"/>
    <w:bookmarkEnd w:id="16"/>
    <w:p>
      <w:pPr>
        <w:jc w:val="center"/>
        <w:ind w:right="-1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SIGNATURE</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January 25, 2021</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 Capital V,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Affiliates Fund V,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614295" cy="8890"/>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Ophthalmic Affiliates Fund 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LLC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 Capital V (Canada)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(Canada),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GP-GP (Canada),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jc w:val="center"/>
        <w:ind w:right="8400"/>
        <w:spacing w:after="0"/>
        <w:rPr>
          <w:sz w:val="20"/>
          <w:szCs w:val="20"/>
          <w:color w:val="auto"/>
        </w:rPr>
      </w:pPr>
      <w:r>
        <w:rPr>
          <w:rFonts w:ascii="Arial" w:cs="Arial" w:eastAsia="Arial" w:hAnsi="Arial"/>
          <w:sz w:val="18"/>
          <w:szCs w:val="18"/>
          <w:color w:val="auto"/>
        </w:rPr>
        <w:t>Robin L. Praeger, Director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(Canada),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Director</w:t>
      </w:r>
    </w:p>
    <w:p>
      <w:pPr>
        <w:sectPr>
          <w:pgSz w:w="11900" w:h="16838" w:orient="portrait"/>
          <w:cols w:equalWidth="0" w:num="1">
            <w:col w:w="11060"/>
          </w:cols>
          <w:pgMar w:left="320" w:top="270" w:right="51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Versant Venture Capital VI,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VI GP,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Robin L. Praeger, Managing Director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VI GP,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Robin L. Praeger, Managing Director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VI GP-GP, LLC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Robin L. Praeger, Managing Director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614295" cy="8890"/>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Robin L. Praeger, Managing Director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GP,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Robin L. Praeger, Managing Director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GP-GP, LLC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wp:posOffset>
            </wp:positionH>
            <wp:positionV relativeFrom="paragraph">
              <wp:posOffset>5715</wp:posOffset>
            </wp:positionV>
            <wp:extent cx="261429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614295" cy="8890"/>
                    </a:xfrm>
                    <a:prstGeom prst="rect">
                      <a:avLst/>
                    </a:prstGeom>
                    <a:noFill/>
                  </pic:spPr>
                </pic:pic>
              </a:graphicData>
            </a:graphic>
          </wp:anchor>
        </w:drawing>
      </w:r>
    </w:p>
    <w:p>
      <w:pPr>
        <w:spacing w:after="0" w:line="2"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sectPr>
      <w:pgSz w:w="11900" w:h="16838" w:orient="portrait"/>
      <w:cols w:equalWidth="0" w:num="1">
        <w:col w:w="10139"/>
      </w:cols>
      <w:pgMar w:left="320" w:top="48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1)"/>
      <w:numFmt w:val="decimal"/>
      <w:start w:val="1"/>
    </w:lvl>
  </w:abstractNum>
  <w:abstractNum w:abstractNumId="2">
    <w:nsid w:val="12200854"/>
    <w:multiLevelType w:val="hybridMultilevel"/>
    <w:lvl w:ilvl="0">
      <w:lvlJc w:val="left"/>
      <w:lvlText w:val="(%1)"/>
      <w:numFmt w:val="decimal"/>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1)"/>
      <w:numFmt w:val="decimal"/>
      <w:start w:val="1"/>
    </w:lvl>
  </w:abstractNum>
  <w:abstractNum w:abstractNumId="5">
    <w:nsid w:val="1F16E9E8"/>
    <w:multiLevelType w:val="hybridMultilevel"/>
    <w:lvl w:ilvl="0">
      <w:lvlJc w:val="left"/>
      <w:lvlText w:val="(%1)"/>
      <w:numFmt w:val="decimal"/>
      <w:start w:val="1"/>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1)"/>
      <w:numFmt w:val="decimal"/>
      <w:start w:val="1"/>
    </w:lvl>
  </w:abstractNum>
  <w:abstractNum w:abstractNumId="8">
    <w:nsid w:val="140E0F76"/>
    <w:multiLevelType w:val="hybridMultilevel"/>
    <w:lvl w:ilvl="0">
      <w:lvlJc w:val="left"/>
      <w:lvlText w:val="(%1)"/>
      <w:numFmt w:val="decimal"/>
      <w:start w:val="1"/>
    </w:lvl>
  </w:abstractNum>
  <w:abstractNum w:abstractNumId="9">
    <w:nsid w:val="3352255A"/>
    <w:multiLevelType w:val="hybridMultilevel"/>
    <w:lvl w:ilvl="0">
      <w:lvlJc w:val="left"/>
      <w:lvlText w:val="(%1)"/>
      <w:numFmt w:val="decimal"/>
      <w:start w:val="1"/>
    </w:lvl>
  </w:abstractNum>
  <w:abstractNum w:abstractNumId="10">
    <w:nsid w:val="109CF92E"/>
    <w:multiLevelType w:val="hybridMultilevel"/>
    <w:lvl w:ilvl="0">
      <w:lvlJc w:val="left"/>
      <w:lvlText w:val="(%1)"/>
      <w:numFmt w:val="decimal"/>
      <w:start w:val="1"/>
    </w:lvl>
  </w:abstractNum>
  <w:abstractNum w:abstractNumId="11">
    <w:nsid w:val="DED7263"/>
    <w:multiLevelType w:val="hybridMultilevel"/>
    <w:lvl w:ilvl="0">
      <w:lvlJc w:val="left"/>
      <w:lvlText w:val="(%1)"/>
      <w:numFmt w:val="decimal"/>
      <w:start w:val="1"/>
    </w:lvl>
  </w:abstractNum>
  <w:abstractNum w:abstractNumId="12">
    <w:nsid w:val="7FDCC233"/>
    <w:multiLevelType w:val="hybridMultilevel"/>
    <w:lvl w:ilvl="0">
      <w:lvlJc w:val="left"/>
      <w:lvlText w:val="(%1)"/>
      <w:numFmt w:val="decimal"/>
      <w:start w:val="1"/>
    </w:lvl>
  </w:abstractNum>
  <w:abstractNum w:abstractNumId="13">
    <w:nsid w:val="1BEFD79F"/>
    <w:multiLevelType w:val="hybridMultilevel"/>
    <w:lvl w:ilvl="0">
      <w:lvlJc w:val="left"/>
      <w:lvlText w:val="(%1)"/>
      <w:numFmt w:val="decimal"/>
      <w:start w:val="1"/>
    </w:lvl>
  </w:abstractNum>
  <w:abstractNum w:abstractNumId="14">
    <w:nsid w:val="41A7C4C9"/>
    <w:multiLevelType w:val="hybridMultilevel"/>
    <w:lvl w:ilvl="0">
      <w:lvlJc w:val="left"/>
      <w:lvlText w:val="(%1)"/>
      <w:numFmt w:val="lowerLetter"/>
      <w:start w:val="3"/>
    </w:lvl>
  </w:abstractNum>
  <w:abstractNum w:abstractNumId="15">
    <w:nsid w:val="6B68079A"/>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2021-01-25T15:30:27Z</dcterms:created>
  <dcterms:modified xsi:type="dcterms:W3CDTF">2021-01-25T15:30:27Z</dcterms:modified>
</cp:coreProperties>
</file>