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BVF PARTNERS L P/IL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 MONTGOMERY ST.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Repare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RPTX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8"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3800" w:type="dxa"/>
            <w:vAlign w:val="bottom"/>
            <w:gridSpan w:val="10"/>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20" w:type="dxa"/>
            <w:vAlign w:val="bottom"/>
            <w:vMerge w:val="continue"/>
          </w:tcPr>
          <w:p>
            <w:pPr>
              <w:spacing w:after="0"/>
              <w:rPr>
                <w:sz w:val="3"/>
                <w:szCs w:val="3"/>
                <w:color w:val="auto"/>
              </w:rPr>
            </w:pPr>
          </w:p>
        </w:tc>
        <w:tc>
          <w:tcPr>
            <w:tcW w:w="3800" w:type="dxa"/>
            <w:vAlign w:val="bottom"/>
            <w:gridSpan w:val="10"/>
            <w:vMerge w:val="continue"/>
          </w:tcPr>
          <w:p>
            <w:pPr>
              <w:spacing w:after="0"/>
              <w:rPr>
                <w:sz w:val="3"/>
                <w:szCs w:val="3"/>
                <w:color w:val="auto"/>
              </w:rPr>
            </w:pPr>
          </w:p>
        </w:tc>
        <w:tc>
          <w:tcPr>
            <w:tcW w:w="350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gridSpan w:val="2"/>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820" w:type="dxa"/>
            <w:vAlign w:val="bottom"/>
            <w:tcBorders>
              <w:bottom w:val="single" w:sz="8" w:color="2C2C2C"/>
            </w:tcBorders>
            <w:gridSpan w:val="4"/>
          </w:tcPr>
          <w:p>
            <w:pPr>
              <w:ind w:left="880"/>
              <w:spacing w:after="0"/>
              <w:rPr>
                <w:sz w:val="20"/>
                <w:szCs w:val="20"/>
                <w:color w:val="auto"/>
              </w:rPr>
            </w:pPr>
            <w:r>
              <w:rPr>
                <w:rFonts w:ascii="Times New Roman" w:cs="Times New Roman" w:eastAsia="Times New Roman" w:hAnsi="Times New Roman"/>
                <w:sz w:val="17"/>
                <w:szCs w:val="17"/>
                <w:color w:val="0000FF"/>
              </w:rPr>
              <w:t>01/28/2026</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U</w:t>
            </w:r>
            <w:r>
              <w:rPr>
                <w:rFonts w:ascii="Times New Roman" w:cs="Times New Roman" w:eastAsia="Times New Roman" w:hAnsi="Times New Roman"/>
                <w:sz w:val="11"/>
                <w:szCs w:val="11"/>
                <w:color w:val="008000"/>
              </w:rPr>
              <w:t>(2)</w:t>
            </w:r>
          </w:p>
        </w:tc>
        <w:tc>
          <w:tcPr>
            <w:tcW w:w="1060" w:type="dxa"/>
            <w:vAlign w:val="bottom"/>
            <w:tcBorders>
              <w:bottom w:val="single" w:sz="8" w:color="2C2C2C"/>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rPr>
              <w:t>5,309,432</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008000"/>
              </w:rPr>
              <w:t>(6)</w:t>
            </w: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820" w:type="dxa"/>
            <w:vAlign w:val="bottom"/>
            <w:tcBorders>
              <w:bottom w:val="single" w:sz="8" w:color="2C2C2C"/>
            </w:tcBorders>
            <w:gridSpan w:val="4"/>
          </w:tcPr>
          <w:p>
            <w:pPr>
              <w:ind w:left="880"/>
              <w:spacing w:after="0"/>
              <w:rPr>
                <w:sz w:val="20"/>
                <w:szCs w:val="20"/>
                <w:color w:val="auto"/>
              </w:rPr>
            </w:pPr>
            <w:r>
              <w:rPr>
                <w:rFonts w:ascii="Times New Roman" w:cs="Times New Roman" w:eastAsia="Times New Roman" w:hAnsi="Times New Roman"/>
                <w:sz w:val="17"/>
                <w:szCs w:val="17"/>
                <w:color w:val="0000FF"/>
              </w:rPr>
              <w:t>01/28/2026</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U</w:t>
            </w:r>
            <w:r>
              <w:rPr>
                <w:rFonts w:ascii="Times New Roman" w:cs="Times New Roman" w:eastAsia="Times New Roman" w:hAnsi="Times New Roman"/>
                <w:sz w:val="11"/>
                <w:szCs w:val="11"/>
                <w:color w:val="008000"/>
              </w:rPr>
              <w:t>(2)</w:t>
            </w:r>
          </w:p>
        </w:tc>
        <w:tc>
          <w:tcPr>
            <w:tcW w:w="1060" w:type="dxa"/>
            <w:vAlign w:val="bottom"/>
            <w:tcBorders>
              <w:bottom w:val="single" w:sz="8" w:color="2C2C2C"/>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rPr>
              <w:t>4,308,573</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008000"/>
              </w:rPr>
              <w:t>(6)</w:t>
            </w: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820" w:type="dxa"/>
            <w:vAlign w:val="bottom"/>
            <w:tcBorders>
              <w:bottom w:val="single" w:sz="8" w:color="2C2C2C"/>
            </w:tcBorders>
            <w:gridSpan w:val="4"/>
          </w:tcPr>
          <w:p>
            <w:pPr>
              <w:ind w:left="880"/>
              <w:spacing w:after="0"/>
              <w:rPr>
                <w:sz w:val="20"/>
                <w:szCs w:val="20"/>
                <w:color w:val="auto"/>
              </w:rPr>
            </w:pPr>
            <w:r>
              <w:rPr>
                <w:rFonts w:ascii="Times New Roman" w:cs="Times New Roman" w:eastAsia="Times New Roman" w:hAnsi="Times New Roman"/>
                <w:sz w:val="17"/>
                <w:szCs w:val="17"/>
                <w:color w:val="0000FF"/>
              </w:rPr>
              <w:t>01/28/2026</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U</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ind w:left="71"/>
              <w:spacing w:after="0"/>
              <w:rPr>
                <w:sz w:val="20"/>
                <w:szCs w:val="20"/>
                <w:color w:val="auto"/>
              </w:rPr>
            </w:pPr>
            <w:r>
              <w:rPr>
                <w:rFonts w:ascii="Times New Roman" w:cs="Times New Roman" w:eastAsia="Times New Roman" w:hAnsi="Times New Roman"/>
                <w:sz w:val="17"/>
                <w:szCs w:val="17"/>
                <w:color w:val="0000FF"/>
              </w:rPr>
              <w:t>548,938</w:t>
            </w:r>
          </w:p>
        </w:tc>
        <w:tc>
          <w:tcPr>
            <w:tcW w:w="3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008000"/>
              </w:rPr>
              <w:t>(6)</w:t>
            </w: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(5)</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4"/>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BVF PARTNERS L P/IL</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44 MONTGOMERY ST.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40TH FLOOR</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2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4"/>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BIOTECHNOLOGY VALUE FUND L P</w:t>
              </w:r>
            </w:hyperlink>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-4371340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44 MONTGOMERY ST.</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40TH FLOOR</w:t>
      </w:r>
    </w:p>
    <w:p>
      <w:pPr>
        <w:sectPr>
          <w:pgSz w:w="11900" w:h="16838" w:orient="portrait"/>
          <w:cols w:equalWidth="0" w:num="1">
            <w:col w:w="11080"/>
          </w:cols>
          <w:pgMar w:left="460" w:top="219" w:right="359" w:bottom="0" w:gutter="0" w:footer="0" w:header="0"/>
          <w:type w:val="continuous"/>
        </w:sect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3"/>
        </w:trPr>
        <w:tc>
          <w:tcPr>
            <w:tcW w:w="1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320" w:type="dxa"/>
            <w:vAlign w:val="bottom"/>
            <w:tcBorders>
              <w:bottom w:val="single" w:sz="8" w:color="0000EE"/>
            </w:tcBorders>
          </w:tcPr>
          <w:p>
            <w:pPr>
              <w:spacing w:after="0" w:line="227" w:lineRule="exact"/>
              <w:rPr>
                <w:rFonts w:ascii="Times New Roman" w:cs="Times New Roman" w:eastAsia="Times New Roman" w:hAnsi="Times New Roman"/>
                <w:sz w:val="21"/>
                <w:szCs w:val="21"/>
                <w:color w:val="0000EE"/>
                <w:w w:val="99"/>
              </w:rPr>
            </w:pPr>
            <w:hyperlink r:id="rId18">
              <w:r>
                <w:rPr>
                  <w:rFonts w:ascii="Times New Roman" w:cs="Times New Roman" w:eastAsia="Times New Roman" w:hAnsi="Times New Roman"/>
                  <w:sz w:val="21"/>
                  <w:szCs w:val="21"/>
                  <w:color w:val="0000EE"/>
                  <w:w w:val="99"/>
                </w:rPr>
                <w:t>BVF I GP LLC</w:t>
              </w:r>
            </w:hyperlink>
          </w:p>
        </w:tc>
        <w:tc>
          <w:tcPr>
            <w:tcW w:w="1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 MONTGOMERY ST.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40TH FLOOR</w:t>
            </w:r>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-2496820</wp:posOffset>
            </wp:positionV>
            <wp:extent cx="2809240" cy="1052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BIOTECHNOLOGY VALUE FUND II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44 MONTGOMERY ST.</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40TH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BVF II GP LLC</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 MONTGOMERY ST.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40TH FLOOR</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Biotechnology Value Trading Fund OS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3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 BOX 309 UGLAND HOUSE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1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E9</w:t>
            </w: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KY1-1104</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CAYMAN</w:t>
            </w:r>
          </w:p>
        </w:tc>
        <w:tc>
          <w:tcPr>
            <w:tcW w:w="1580" w:type="dxa"/>
            <w:vAlign w:val="bottom"/>
            <w:gridSpan w:val="2"/>
            <w:vMerge w:val="continue"/>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BVF Partners OS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3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 BOX 309 UGLAND HOUSE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1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E9</w:t>
            </w: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KY1-1104</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CAYMAN</w:t>
            </w:r>
          </w:p>
        </w:tc>
        <w:tc>
          <w:tcPr>
            <w:tcW w:w="1580" w:type="dxa"/>
            <w:vAlign w:val="bottom"/>
            <w:gridSpan w:val="2"/>
            <w:vMerge w:val="continue"/>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979"/>
          </w:cols>
          <w:pgMar w:left="480" w:top="125" w:right="1440" w:bottom="0" w:gutter="0" w:footer="0" w:header="0"/>
        </w:sectPr>
      </w:pP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BVF GP HOLDINGS LLC</w:t>
        </w:r>
      </w:hyperlink>
    </w:p>
    <w:p>
      <w:pPr>
        <w:sectPr>
          <w:pgSz w:w="11900" w:h="16838" w:orient="portrait"/>
          <w:cols w:equalWidth="0" w:num="1">
            <w:col w:w="9979"/>
          </w:cols>
          <w:pgMar w:left="480" w:top="125"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44 MONTGOMERY ST.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40TH FLOOR</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260" w:type="dxa"/>
            <w:vAlign w:val="bottom"/>
            <w:gridSpan w:val="2"/>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BVF INC/IL</w:t>
              </w:r>
            </w:hyperlink>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44 MONTGOMERY ST.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40TH FLOOR</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6">
              <w:r>
                <w:rPr>
                  <w:rFonts w:ascii="Times New Roman" w:cs="Times New Roman" w:eastAsia="Times New Roman" w:hAnsi="Times New Roman"/>
                  <w:sz w:val="21"/>
                  <w:szCs w:val="21"/>
                  <w:color w:val="0000EE"/>
                </w:rPr>
                <w:t>LAMPERT MARK N</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44 MONTGOMERY ST.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40TH FLOOR</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-5162550</wp:posOffset>
            </wp:positionV>
            <wp:extent cx="2809240" cy="5241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2809240" cy="5241925"/>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Biotechnology Value Fund, L.P. ("BVF"), Biotechnology Value Fund II, L.P. ("BVF2"), Biotechnology Value Trading Fund OS LP ("Trading Fund OS"), BVF Partners OS Ltd. ("Partners OS"), BVF I GP LLC ("BVF GP"), BVF II GP LLC ("BVF2 GP"), BVF GP Holdings LLC ("BVF GPH"), BVF Partners L.P. ("Partners"), BVF Inc. and Mark N. Lampert (collectively, the "Reporting Persons"). Each of the Reporting Persons is a member of a Section 13(d) group. Each of the Reporting Persons disclaims beneficial ownership of the securities reported herein except to the extent of his or its pecuniary interest therein.</w:t>
      </w:r>
    </w:p>
    <w:p>
      <w:pPr>
        <w:spacing w:after="0" w:line="24" w:lineRule="exact"/>
        <w:rPr>
          <w:rFonts w:ascii="Times New Roman" w:cs="Times New Roman" w:eastAsia="Times New Roman" w:hAnsi="Times New Roman"/>
          <w:sz w:val="13"/>
          <w:szCs w:val="13"/>
          <w:color w:val="008000"/>
        </w:rPr>
      </w:pPr>
    </w:p>
    <w:p>
      <w:pPr>
        <w:ind w:left="20" w:right="4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disposed of pursuant to an Arrangement Agreement, dated as of November 14, 2025, under the Business Corporations Act (Quebec), by and among the Issuer, XenoTherapeutics, Inc. ("Parent"), Xeno Acquisition Corp. ("Purchaser"), a wholly-owned subsidiary of Parent, and solely for limited purposes, XOMA Royalty Corporation, pursuant to to which Purchaser acquired all of the issued and outstanding Common Shares of the Issuer, effective January 28, 2026 (the "Merger").</w:t>
      </w:r>
    </w:p>
    <w:p>
      <w:pPr>
        <w:spacing w:after="0" w:line="2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BVF. As the general partner of BVF, BVF GP may be deemed to beneficially own the securities owned directly by BVF. As the sole member of BVF GP, BVF GPH may be deemed to beneficially own the securities owned directly by BVF. As the investment manager of BVF, Partners may be deemed to beneficially own the securities owned directly by BVF. As the investment adviser and general partner of Partners, BVF Inc. may be deemed to beneficially own the securities owned directly by BVF. As a director and officer of BVF Inc., Mr. Lampert may be deemed to beneficially own the securities owned directly by BVF.</w:t>
      </w:r>
    </w:p>
    <w:p>
      <w:pPr>
        <w:spacing w:after="0" w:line="24"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BVF2. As the general partner of BVF2, BVF2 GP may be deemed to beneficially own the securities owned directly by BVF2. As the sole member of BVF2 GP, BVF GPH may be deemed to beneficially own the securities owned directly by BVF2. As the investment manager of BVF2, Partners may be deemed to beneficially own the securities owned directly by BVF2. As the investment adviser and general partner of Partners, BVF Inc. may be deemed to beneficially own the securities owned directly by BVF2. As a director and officer of BVF Inc., Mr. Lampert may be deemed to beneficially own the securities owned directly by BVF2.</w:t>
      </w:r>
    </w:p>
    <w:p>
      <w:pPr>
        <w:spacing w:after="0" w:line="24" w:lineRule="exact"/>
        <w:rPr>
          <w:rFonts w:ascii="Times New Roman" w:cs="Times New Roman" w:eastAsia="Times New Roman" w:hAnsi="Times New Roman"/>
          <w:sz w:val="13"/>
          <w:szCs w:val="13"/>
          <w:color w:val="008000"/>
        </w:rPr>
      </w:pPr>
    </w:p>
    <w:p>
      <w:pPr>
        <w:jc w:val="both"/>
        <w:ind w:left="20" w:right="16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Trading Fund OS. As the general partner of Trading Fund OS, Partners OS may be deemed to beneficially own the securities owned directly by Trading Fund OS. As the investment manager of Trading Fund OS and the sole member of Partners OS, Partners may be deemed to beneficially own the securities owned directly by Trading Fund OS. As the investment adviser and general partner of Partners, BVF Inc. may be deemed to beneficially own the securities owned directly by Trading Fund OS. As a director and officer of BVF Inc., Mr. Lampert may be deemed to beneficially own the securities owned directly by Trading Fund OS.</w:t>
      </w:r>
    </w:p>
    <w:p>
      <w:pPr>
        <w:spacing w:after="0" w:line="24"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received the following in exchange for each Common Share of the Issuer disposed of in connection with the Merger: $2.20 in cash per Common Share and one contingent value right per Common Share for potential cash payments.</w:t>
      </w:r>
    </w:p>
    <w:p>
      <w:pPr>
        <w:sectPr>
          <w:pgSz w:w="11900" w:h="16838" w:orient="portrait"/>
          <w:cols w:equalWidth="0" w:num="1">
            <w:col w:w="10900"/>
          </w:cols>
          <w:pgMar w:left="480" w:top="125" w:right="519" w:bottom="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BVF Partners L.P., By: BVF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56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82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Mark N. 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69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Biotechnology Value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71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BVF I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8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93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 Lampert,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38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55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BVF I GP LLC,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92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N. Lampert,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38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55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Biotechnology Value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BVF II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6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93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 Lampert,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38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55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BVF II GP LLC,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N. Lampert,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38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55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BVF Partners OS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18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00" w:space="60"/>
            <w:col w:w="2140"/>
          </w:cols>
          <w:pgMar w:left="480" w:top="125" w:right="51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BVF Partners L.P.,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639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member, By: BVF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5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93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 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Biotechnology Value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73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OS LP, By: BVF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31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L.P., its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BVF Inc.,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28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BVF GP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23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Mark N. Lampert,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8680" w:space="60"/>
            <w:col w:w="1440"/>
          </w:cols>
          <w:pgMar w:left="500" w:top="125" w:right="1219" w:bottom="1440" w:gutter="0" w:footer="0" w:header="0"/>
        </w:sectPr>
      </w:pPr>
    </w:p>
    <w:p>
      <w:pPr>
        <w:ind w:left="6540"/>
        <w:spacing w:after="0"/>
        <w:rPr>
          <w:sz w:val="20"/>
          <w:szCs w:val="20"/>
          <w:color w:val="auto"/>
        </w:rPr>
      </w:pPr>
      <w:r>
        <w:rPr>
          <w:rFonts w:ascii="Times New Roman" w:cs="Times New Roman" w:eastAsia="Times New Roman" w:hAnsi="Times New Roman"/>
          <w:sz w:val="17"/>
          <w:szCs w:val="17"/>
          <w:color w:val="0000FF"/>
        </w:rPr>
        <w:t>BVF Inc.,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550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042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904240"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480" w:space="260"/>
            <w:col w:w="1440"/>
          </w:cols>
          <w:pgMar w:left="500" w:top="125" w:right="12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13" Type="http://schemas.openxmlformats.org/officeDocument/2006/relationships/hyperlink" Target="http://www.sec.gov/cgi-bin/browse-edgar?action=getcompany&amp;CIK=0001055947" TargetMode="External"/><Relationship Id="rId14" Type="http://schemas.openxmlformats.org/officeDocument/2006/relationships/hyperlink" Target="http://www.sec.gov/cgi-bin/browse-edgar?action=getcompany&amp;CIK=0001808158" TargetMode="External"/><Relationship Id="rId16" Type="http://schemas.openxmlformats.org/officeDocument/2006/relationships/hyperlink" Target="http://www.sec.gov/cgi-bin/browse-edgar?action=getcompany&amp;CIK=0000918923" TargetMode="External"/><Relationship Id="rId18" Type="http://schemas.openxmlformats.org/officeDocument/2006/relationships/hyperlink" Target="http://www.sec.gov/cgi-bin/browse-edgar?action=getcompany&amp;CIK=0001803805" TargetMode="External"/><Relationship Id="rId20" Type="http://schemas.openxmlformats.org/officeDocument/2006/relationships/hyperlink" Target="http://www.sec.gov/cgi-bin/browse-edgar?action=getcompany&amp;CIK=0001102444" TargetMode="External"/><Relationship Id="rId21" Type="http://schemas.openxmlformats.org/officeDocument/2006/relationships/hyperlink" Target="http://www.sec.gov/cgi-bin/browse-edgar?action=getcompany&amp;CIK=0001803806" TargetMode="External"/><Relationship Id="rId22" Type="http://schemas.openxmlformats.org/officeDocument/2006/relationships/hyperlink" Target="http://www.sec.gov/cgi-bin/browse-edgar?action=getcompany&amp;CIK=0001660683" TargetMode="External"/><Relationship Id="rId23" Type="http://schemas.openxmlformats.org/officeDocument/2006/relationships/hyperlink" Target="http://www.sec.gov/cgi-bin/browse-edgar?action=getcompany&amp;CIK=0001660684" TargetMode="External"/><Relationship Id="rId24" Type="http://schemas.openxmlformats.org/officeDocument/2006/relationships/hyperlink" Target="http://www.sec.gov/cgi-bin/browse-edgar?action=getcompany&amp;CIK=0001803809" TargetMode="External"/><Relationship Id="rId25" Type="http://schemas.openxmlformats.org/officeDocument/2006/relationships/hyperlink" Target="http://www.sec.gov/cgi-bin/browse-edgar?action=getcompany&amp;CIK=0001056807" TargetMode="External"/><Relationship Id="rId26" Type="http://schemas.openxmlformats.org/officeDocument/2006/relationships/hyperlink" Target="http://www.sec.gov/cgi-bin/browse-edgar?action=getcompany&amp;CIK=0001233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2026-01-30T18:29:33Z</dcterms:created>
  <dcterms:modified xsi:type="dcterms:W3CDTF">2026-01-30T18:29:33Z</dcterms:modified>
</cp:coreProperties>
</file>