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79175ds3.htm"/>
        <w:bookmarkStart w:id="1" w:name="ksd879175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August 6, 2024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REPARE THERAPEUTICS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Québec</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Not applicable</w:t>
            </w:r>
          </w:p>
        </w:tc>
      </w:tr>
      <w:tr>
        <w:trPr/>
        <w:tc>
          <w:tcPr>
            <w:tcW w:w="5153" w:type="dxa"/>
            <w:tcBorders/>
          </w:tcPr>
          <w:p>
            <w:pPr>
              <w:pStyle w:val="TableContents"/>
              <w:bidi w:val="0"/>
              <w:spacing w:before="0" w:after="0"/>
              <w:jc w:val="center"/>
              <w:rPr>
                <w:rFonts w:ascii="Times New Roman" w:hAnsi="Times New Roman"/>
                <w:b/>
                <w:sz w:val="15"/>
              </w:rPr>
            </w:pPr>
            <w:r>
              <w:rPr>
                <w:rFonts w:ascii="Times New Roman" w:hAnsi="Times New Roman"/>
                <w:b/>
                <w:sz w:val="15"/>
              </w:rPr>
              <w:t>(State or other jurisdiction of</w:t>
            </w:r>
          </w:p>
          <w:p>
            <w:pPr>
              <w:pStyle w:val="TableContents"/>
              <w:bidi w:val="0"/>
              <w:spacing w:before="0" w:after="20"/>
              <w:jc w:val="center"/>
              <w:rPr>
                <w:rFonts w:ascii="Times New Roman" w:hAnsi="Times New Roman"/>
                <w:b/>
                <w:sz w:val="15"/>
              </w:rPr>
            </w:pPr>
            <w:r>
              <w:rPr>
                <w:rFonts w:ascii="Times New Roman" w:hAnsi="Times New Roman"/>
                <w:b/>
                <w:sz w:val="15"/>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5"/>
              </w:rPr>
            </w:pPr>
            <w:r>
              <w:rPr>
                <w:rFonts w:ascii="Times New Roman" w:hAnsi="Times New Roman"/>
                <w:b/>
                <w:sz w:val="15"/>
              </w:rPr>
              <w:t>(I.R.S. Employer</w:t>
            </w:r>
          </w:p>
          <w:p>
            <w:pPr>
              <w:pStyle w:val="TableContents"/>
              <w:bidi w:val="0"/>
              <w:spacing w:before="0" w:after="20"/>
              <w:jc w:val="center"/>
              <w:rPr>
                <w:rFonts w:ascii="Times New Roman" w:hAnsi="Times New Roman"/>
                <w:b/>
                <w:sz w:val="15"/>
              </w:rPr>
            </w:pPr>
            <w:r>
              <w:rPr>
                <w:rFonts w:ascii="Times New Roman" w:hAnsi="Times New Roman"/>
                <w:b/>
                <w:sz w:val="15"/>
              </w:rPr>
              <w:t>Identification Number)</w:t>
            </w:r>
          </w:p>
        </w:tc>
      </w:tr>
    </w:tbl>
    <w:p>
      <w:pPr>
        <w:pStyle w:val="TextBody"/>
        <w:bidi w:val="0"/>
        <w:spacing w:before="60" w:after="0"/>
        <w:jc w:val="center"/>
        <w:rPr>
          <w:rFonts w:ascii="Times New Roman" w:hAnsi="Times New Roman"/>
          <w:b/>
          <w:sz w:val="17"/>
        </w:rPr>
      </w:pPr>
      <w:r>
        <w:rPr>
          <w:rFonts w:ascii="Times New Roman" w:hAnsi="Times New Roman"/>
          <w:b/>
          <w:sz w:val="17"/>
        </w:rPr>
        <w:t xml:space="preserve">7171 Frederick-Banting, Building 2, Suite 270 </w:t>
      </w:r>
    </w:p>
    <w:p>
      <w:pPr>
        <w:pStyle w:val="TextBody"/>
        <w:bidi w:val="0"/>
        <w:spacing w:before="0" w:after="0"/>
        <w:jc w:val="center"/>
        <w:rPr>
          <w:rFonts w:ascii="Times New Roman" w:hAnsi="Times New Roman"/>
          <w:b/>
          <w:sz w:val="17"/>
        </w:rPr>
      </w:pPr>
      <w:r>
        <w:rPr>
          <w:rFonts w:ascii="Times New Roman" w:hAnsi="Times New Roman"/>
          <w:b/>
          <w:sz w:val="17"/>
        </w:rPr>
        <w:t xml:space="preserve">St-Laurent, Québec, Canada H4S 1Z9 </w:t>
      </w:r>
    </w:p>
    <w:p>
      <w:pPr>
        <w:pStyle w:val="TextBody"/>
        <w:bidi w:val="0"/>
        <w:spacing w:before="0" w:after="0"/>
        <w:jc w:val="center"/>
        <w:rPr>
          <w:rFonts w:ascii="Times New Roman" w:hAnsi="Times New Roman"/>
          <w:b/>
          <w:sz w:val="17"/>
        </w:rPr>
      </w:pPr>
      <w:r>
        <w:rPr>
          <w:rFonts w:ascii="Times New Roman" w:hAnsi="Times New Roman"/>
          <w:b/>
          <w:sz w:val="17"/>
        </w:rPr>
        <w:t xml:space="preserve">(857) 412-7018 </w:t>
      </w:r>
    </w:p>
    <w:p>
      <w:pPr>
        <w:pStyle w:val="TextBody"/>
        <w:bidi w:val="0"/>
        <w:spacing w:before="0" w:after="0"/>
        <w:jc w:val="center"/>
        <w:rPr>
          <w:rFonts w:ascii="Times New Roman" w:hAnsi="Times New Roman"/>
          <w:b/>
          <w:sz w:val="15"/>
        </w:rPr>
      </w:pPr>
      <w:r>
        <w:rPr>
          <w:rFonts w:ascii="Times New Roman" w:hAnsi="Times New Roman"/>
          <w:b/>
          <w:sz w:val="15"/>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7"/>
        </w:rPr>
      </w:pPr>
      <w:r>
        <w:rPr>
          <w:rFonts w:ascii="Times New Roman" w:hAnsi="Times New Roman"/>
          <w:b/>
          <w:sz w:val="17"/>
        </w:rPr>
        <w:t xml:space="preserve">Lloyd M. Segal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Repare Therapeutics Inc. </w:t>
      </w:r>
    </w:p>
    <w:p>
      <w:pPr>
        <w:pStyle w:val="TextBody"/>
        <w:bidi w:val="0"/>
        <w:spacing w:before="0" w:after="0"/>
        <w:jc w:val="center"/>
        <w:rPr>
          <w:rFonts w:ascii="Times New Roman" w:hAnsi="Times New Roman"/>
          <w:b/>
          <w:sz w:val="17"/>
        </w:rPr>
      </w:pPr>
      <w:r>
        <w:rPr>
          <w:rFonts w:ascii="Times New Roman" w:hAnsi="Times New Roman"/>
          <w:b/>
          <w:sz w:val="17"/>
        </w:rPr>
        <w:t xml:space="preserve">1 Broadway, 15th Floor </w:t>
      </w:r>
    </w:p>
    <w:p>
      <w:pPr>
        <w:pStyle w:val="TextBody"/>
        <w:bidi w:val="0"/>
        <w:spacing w:before="0" w:after="0"/>
        <w:jc w:val="center"/>
        <w:rPr>
          <w:rFonts w:ascii="Times New Roman" w:hAnsi="Times New Roman"/>
          <w:b/>
          <w:sz w:val="17"/>
        </w:rPr>
      </w:pPr>
      <w:r>
        <w:rPr>
          <w:rFonts w:ascii="Times New Roman" w:hAnsi="Times New Roman"/>
          <w:b/>
          <w:sz w:val="17"/>
        </w:rPr>
        <w:t xml:space="preserve">Cambridge, MA 02142 </w:t>
      </w:r>
    </w:p>
    <w:p>
      <w:pPr>
        <w:pStyle w:val="TextBody"/>
        <w:bidi w:val="0"/>
        <w:spacing w:before="0" w:after="0"/>
        <w:jc w:val="center"/>
        <w:rPr>
          <w:rFonts w:ascii="Times New Roman" w:hAnsi="Times New Roman"/>
          <w:b/>
          <w:sz w:val="17"/>
        </w:rPr>
      </w:pPr>
      <w:r>
        <w:rPr>
          <w:rFonts w:ascii="Times New Roman" w:hAnsi="Times New Roman"/>
          <w:b/>
          <w:sz w:val="17"/>
        </w:rPr>
        <w:t xml:space="preserve">(857) 412-7018 </w:t>
      </w:r>
    </w:p>
    <w:p>
      <w:pPr>
        <w:pStyle w:val="TextBody"/>
        <w:bidi w:val="0"/>
        <w:spacing w:before="0" w:after="0"/>
        <w:jc w:val="center"/>
        <w:rPr>
          <w:rFonts w:ascii="Times New Roman" w:hAnsi="Times New Roman"/>
          <w:b/>
          <w:sz w:val="15"/>
        </w:rPr>
      </w:pPr>
      <w:r>
        <w:rPr>
          <w:rFonts w:ascii="Times New Roman" w:hAnsi="Times New Roman"/>
          <w:b/>
          <w:sz w:val="15"/>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17"/>
              </w:rPr>
            </w:pPr>
            <w:r>
              <w:rPr>
                <w:rFonts w:ascii="Times New Roman" w:hAnsi="Times New Roman"/>
                <w:b/>
                <w:sz w:val="17"/>
              </w:rPr>
              <w:t>Divakar Gupta</w:t>
            </w:r>
          </w:p>
          <w:p>
            <w:pPr>
              <w:pStyle w:val="TableContents"/>
              <w:bidi w:val="0"/>
              <w:spacing w:before="0" w:after="0"/>
              <w:jc w:val="center"/>
              <w:rPr>
                <w:rFonts w:ascii="Times New Roman" w:hAnsi="Times New Roman"/>
                <w:b/>
                <w:sz w:val="17"/>
              </w:rPr>
            </w:pPr>
            <w:r>
              <w:rPr>
                <w:rFonts w:ascii="Times New Roman" w:hAnsi="Times New Roman"/>
                <w:b/>
                <w:sz w:val="17"/>
              </w:rPr>
              <w:t>Courtney T. Thorne</w:t>
            </w:r>
          </w:p>
          <w:p>
            <w:pPr>
              <w:pStyle w:val="TableContents"/>
              <w:bidi w:val="0"/>
              <w:spacing w:before="0" w:after="0"/>
              <w:jc w:val="center"/>
              <w:rPr>
                <w:rFonts w:ascii="Times New Roman" w:hAnsi="Times New Roman"/>
                <w:b/>
                <w:sz w:val="17"/>
              </w:rPr>
            </w:pPr>
            <w:r>
              <w:rPr>
                <w:rFonts w:ascii="Times New Roman" w:hAnsi="Times New Roman"/>
                <w:b/>
                <w:sz w:val="17"/>
              </w:rPr>
              <w:t>Cooley LLP</w:t>
            </w:r>
          </w:p>
          <w:p>
            <w:pPr>
              <w:pStyle w:val="TableContents"/>
              <w:bidi w:val="0"/>
              <w:spacing w:before="0" w:after="0"/>
              <w:jc w:val="center"/>
              <w:rPr>
                <w:rFonts w:ascii="Times New Roman" w:hAnsi="Times New Roman"/>
                <w:b/>
                <w:sz w:val="17"/>
              </w:rPr>
            </w:pPr>
            <w:r>
              <w:rPr>
                <w:rFonts w:ascii="Times New Roman" w:hAnsi="Times New Roman"/>
                <w:b/>
                <w:sz w:val="17"/>
              </w:rPr>
              <w:t>500 Boylston Street, 14th Floor</w:t>
            </w:r>
          </w:p>
          <w:p>
            <w:pPr>
              <w:pStyle w:val="TableContents"/>
              <w:bidi w:val="0"/>
              <w:spacing w:before="0" w:after="0"/>
              <w:jc w:val="center"/>
              <w:rPr>
                <w:rFonts w:ascii="Times New Roman" w:hAnsi="Times New Roman"/>
                <w:b/>
                <w:sz w:val="17"/>
              </w:rPr>
            </w:pPr>
            <w:r>
              <w:rPr>
                <w:rFonts w:ascii="Times New Roman" w:hAnsi="Times New Roman"/>
                <w:b/>
                <w:sz w:val="17"/>
              </w:rPr>
              <w:t>Boston, MA 02116</w:t>
            </w:r>
          </w:p>
          <w:p>
            <w:pPr>
              <w:pStyle w:val="TableContents"/>
              <w:bidi w:val="0"/>
              <w:spacing w:before="0" w:after="20"/>
              <w:jc w:val="center"/>
              <w:rPr>
                <w:rFonts w:ascii="Times New Roman" w:hAnsi="Times New Roman"/>
                <w:b/>
                <w:sz w:val="17"/>
              </w:rPr>
            </w:pPr>
            <w:r>
              <w:rPr>
                <w:rFonts w:ascii="Times New Roman" w:hAnsi="Times New Roman"/>
                <w:b/>
                <w:sz w:val="17"/>
              </w:rPr>
              <w:t>(617) 937-2300</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7"/>
              </w:rPr>
            </w:pPr>
            <w:r>
              <w:rPr>
                <w:rFonts w:ascii="Times New Roman" w:hAnsi="Times New Roman"/>
                <w:b/>
                <w:sz w:val="17"/>
              </w:rPr>
              <w:t>Robert Carelli</w:t>
            </w:r>
          </w:p>
          <w:p>
            <w:pPr>
              <w:pStyle w:val="TableContents"/>
              <w:bidi w:val="0"/>
              <w:spacing w:before="0" w:after="0"/>
              <w:jc w:val="center"/>
              <w:rPr>
                <w:rFonts w:ascii="Times New Roman" w:hAnsi="Times New Roman"/>
                <w:b/>
                <w:sz w:val="17"/>
              </w:rPr>
            </w:pPr>
            <w:r>
              <w:rPr>
                <w:rFonts w:ascii="Times New Roman" w:hAnsi="Times New Roman"/>
                <w:b/>
                <w:sz w:val="17"/>
              </w:rPr>
              <w:t>Jeremy Sculnick</w:t>
            </w:r>
          </w:p>
          <w:p>
            <w:pPr>
              <w:pStyle w:val="TableContents"/>
              <w:bidi w:val="0"/>
              <w:spacing w:before="0" w:after="0"/>
              <w:jc w:val="center"/>
              <w:rPr>
                <w:rFonts w:ascii="Times New Roman" w:hAnsi="Times New Roman"/>
                <w:b/>
                <w:sz w:val="17"/>
              </w:rPr>
            </w:pPr>
            <w:r>
              <w:rPr>
                <w:rFonts w:ascii="Times New Roman" w:hAnsi="Times New Roman"/>
                <w:b/>
                <w:sz w:val="17"/>
              </w:rPr>
              <w:t>Stikeman Elliott LLP</w:t>
            </w:r>
          </w:p>
          <w:p>
            <w:pPr>
              <w:pStyle w:val="TableContents"/>
              <w:bidi w:val="0"/>
              <w:spacing w:before="0" w:after="0"/>
              <w:jc w:val="center"/>
              <w:rPr>
                <w:rFonts w:ascii="Times New Roman" w:hAnsi="Times New Roman"/>
                <w:b/>
                <w:sz w:val="17"/>
              </w:rPr>
            </w:pPr>
            <w:r>
              <w:rPr>
                <w:rFonts w:ascii="Times New Roman" w:hAnsi="Times New Roman"/>
                <w:b/>
                <w:sz w:val="17"/>
              </w:rPr>
              <w:t>1155 René-Lévesque Blvd. West</w:t>
            </w:r>
          </w:p>
          <w:p>
            <w:pPr>
              <w:pStyle w:val="TableContents"/>
              <w:bidi w:val="0"/>
              <w:spacing w:before="0" w:after="0"/>
              <w:jc w:val="center"/>
              <w:rPr>
                <w:rFonts w:ascii="Times New Roman" w:hAnsi="Times New Roman"/>
                <w:b/>
                <w:sz w:val="17"/>
              </w:rPr>
            </w:pPr>
            <w:r>
              <w:rPr>
                <w:rFonts w:ascii="Times New Roman" w:hAnsi="Times New Roman"/>
                <w:b/>
                <w:sz w:val="17"/>
              </w:rPr>
              <w:t>41st Floor</w:t>
            </w:r>
          </w:p>
          <w:p>
            <w:pPr>
              <w:pStyle w:val="TableContents"/>
              <w:bidi w:val="0"/>
              <w:spacing w:before="0" w:after="0"/>
              <w:jc w:val="center"/>
              <w:rPr>
                <w:rFonts w:ascii="Times New Roman" w:hAnsi="Times New Roman"/>
                <w:b/>
                <w:sz w:val="17"/>
              </w:rPr>
            </w:pPr>
            <w:r>
              <w:rPr>
                <w:rFonts w:ascii="Times New Roman" w:hAnsi="Times New Roman"/>
                <w:b/>
                <w:sz w:val="17"/>
              </w:rPr>
              <w:t>Montréal, Québec, Canada H3B 3V2</w:t>
            </w:r>
          </w:p>
          <w:p>
            <w:pPr>
              <w:pStyle w:val="TableContents"/>
              <w:bidi w:val="0"/>
              <w:spacing w:before="0" w:after="20"/>
              <w:jc w:val="center"/>
              <w:rPr>
                <w:rFonts w:ascii="Times New Roman" w:hAnsi="Times New Roman"/>
                <w:b/>
                <w:sz w:val="17"/>
              </w:rPr>
            </w:pPr>
            <w:r>
              <w:rPr>
                <w:rFonts w:ascii="Times New Roman" w:hAnsi="Times New Roman"/>
                <w:b/>
                <w:sz w:val="17"/>
              </w:rPr>
              <w:t>(514) 397-3222</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7"/>
        </w:rPr>
      </w:pPr>
      <w:r>
        <w:rPr>
          <w:rFonts w:ascii="Times New Roman" w:hAnsi="Times New Roman"/>
          <w:b/>
          <w:sz w:val="17"/>
        </w:rPr>
        <w:t xml:space="preserve">Approximate date of commencement of proposed sale to the public: From time to time after this Registration Statement becomes effective.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3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3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18"/>
        </w:rPr>
      </w:pPr>
      <w:r>
        <w:rPr>
          <w:rFonts w:ascii="Times New Roman" w:hAnsi="Times New Roman"/>
          <w:b/>
          <w:color w:val="FF4338"/>
          <w:sz w:val="18"/>
        </w:rPr>
        <w:t xml:space="preserve">SUBJECT TO COMPLETION, DATED AUGUST 6, 2024 </w:t>
      </w:r>
    </w:p>
    <w:p>
      <w:pPr>
        <w:pStyle w:val="TextBody"/>
        <w:bidi w:val="0"/>
        <w:spacing w:before="240" w:after="0"/>
        <w:jc w:val="left"/>
        <w:rPr>
          <w:rFonts w:ascii="Times New Roman" w:hAnsi="Times New Roman"/>
          <w:b/>
          <w:sz w:val="18"/>
        </w:rPr>
      </w:pPr>
      <w:r>
        <w:rPr>
          <w:rFonts w:ascii="Times New Roman" w:hAnsi="Times New Roman"/>
          <w:b/>
          <w:sz w:val="18"/>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$350,000,000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892935" cy="5835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2935" cy="5835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18"/>
        </w:rPr>
      </w:pPr>
      <w:r>
        <w:rPr>
          <w:rFonts w:ascii="Times New Roman" w:hAnsi="Times New Roman"/>
          <w:sz w:val="18"/>
        </w:rPr>
        <w:t xml:space="preserve">From time to time, we may offer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 The aggregate initial offering price of the securities that we may offer and sell under this prospectus will not exceed $350,000,000. </w:t>
      </w:r>
    </w:p>
    <w:p>
      <w:pPr>
        <w:pStyle w:val="TextBody"/>
        <w:bidi w:val="0"/>
        <w:spacing w:before="240" w:after="0"/>
        <w:jc w:val="left"/>
        <w:rPr>
          <w:rFonts w:ascii="Times New Roman" w:hAnsi="Times New Roman"/>
          <w:sz w:val="18"/>
        </w:rPr>
      </w:pPr>
      <w:r>
        <w:rPr>
          <w:rFonts w:ascii="Times New Roman" w:hAnsi="Times New Roman"/>
          <w:sz w:val="18"/>
        </w:rPr>
        <w:t xml:space="preserve">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before="240" w:after="0"/>
        <w:jc w:val="left"/>
        <w:rPr>
          <w:rFonts w:ascii="Times New Roman" w:hAnsi="Times New Roman"/>
          <w:b/>
          <w:sz w:val="18"/>
        </w:rPr>
      </w:pPr>
      <w:r>
        <w:rPr>
          <w:rFonts w:ascii="Times New Roman" w:hAnsi="Times New Roman"/>
          <w:b/>
          <w:sz w:val="18"/>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18"/>
        </w:rPr>
      </w:pPr>
      <w:r>
        <w:rPr>
          <w:rFonts w:ascii="Times New Roman" w:hAnsi="Times New Roman"/>
          <w:sz w:val="18"/>
        </w:rPr>
        <w:t xml:space="preserve">Our common shares are listed on the Nasdaq Global Select Market under the symbol RPTX. On August 5, 2024, the last reported sale price of our common shares was $3.12 per share. The applicable prospectus supplement will contain information, where applicable, as to any other listing on the Nasdaq Global Select Market or any securities market or other exchange of the securities, if any, covered by the prospectus supplement. </w:t>
      </w:r>
    </w:p>
    <w:p>
      <w:pPr>
        <w:pStyle w:val="TextBody"/>
        <w:bidi w:val="0"/>
        <w:spacing w:before="240" w:after="0"/>
        <w:jc w:val="left"/>
        <w:rPr>
          <w:rFonts w:ascii="Times New Roman" w:hAnsi="Times New Roman"/>
          <w:sz w:val="18"/>
        </w:rPr>
      </w:pPr>
      <w:r>
        <w:rPr>
          <w:rFonts w:ascii="Times New Roman" w:hAnsi="Times New Roman"/>
          <w:sz w:val="18"/>
        </w:rPr>
        <w:t xml:space="preserve">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0"/>
        </w:rPr>
        <w:t>Investing in our securities involves a high degree of risk. You should review carefully the risks and uncertainties described under the heading </w:t>
      </w:r>
      <w:hyperlink w:anchor="tx879175_3">
        <w:r>
          <w:rPr>
            <w:rStyle w:val="InternetLink"/>
            <w:rFonts w:ascii="Times New Roman" w:hAnsi="Times New Roman"/>
            <w:b/>
            <w:sz w:val="20"/>
          </w:rPr>
          <w:t>Risk Factors</w:t>
        </w:r>
      </w:hyperlink>
      <w:r>
        <w:rPr>
          <w:rFonts w:ascii="Times New Roman" w:hAnsi="Times New Roman"/>
          <w:b/>
          <w:sz w:val="20"/>
        </w:rPr>
        <w:t xml:space="preserve"> contained in the applicable prospectus supplement and any related free writing prospectus, and under similar headings in the other documents that are incorporated by reference into this prospectus as described on page 4 of this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8791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 </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2">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6">
              <w:r>
                <w:rPr>
                  <w:rStyle w:val="InternetLink"/>
                  <w:rFonts w:ascii="Times New Roman" w:hAnsi="Times New Roman"/>
                  <w:sz w:val="20"/>
                </w:rPr>
                <w:t>DESCRIPTION OF SHARE CAPITAL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8">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9">
              <w:r>
                <w:rPr>
                  <w:rStyle w:val="InternetLink"/>
                  <w:rFonts w:ascii="Times New Roman" w:hAnsi="Times New Roman"/>
                  <w:sz w:val="20"/>
                </w:rPr>
                <w:t>MATERIAL DIFFERENCES BETWEEN THE BUSINESS CORPORATIONS ACT (QUÉBEC) AND THE DELAWARE GENERAL CORPORATION LAW</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10">
              <w:r>
                <w:rPr>
                  <w:rStyle w:val="InternetLink"/>
                  <w:rFonts w:ascii="Times New Roman" w:hAnsi="Times New Roman"/>
                  <w:sz w:val="20"/>
                </w:rPr>
                <w:t>LEGAL OWNERSHIP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79175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87917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that we filed with the U.S. Securities and Exchange Commission, or the SEC, utilizing a shelf registration process. Under this shelf registration process, we may offer and sell from time to time in one or more offerings the securities described in this prospectus, for an aggregate offering price of up to $350,000,000.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any documents that we have incorporated by reference into this prospectus. We urge you to read carefully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879175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contained elsewhere in this prospectus. This summary is not complete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the context otherwise requires, the terms Repare, Repare Therapeutics, we, us, our and similar references in this prospectus refer to Repare Therapeutics Inc. and its consolidated subsidiary. </w:t>
      </w:r>
    </w:p>
    <w:p>
      <w:pPr>
        <w:pStyle w:val="TextBody"/>
        <w:bidi w:val="0"/>
        <w:spacing w:before="480" w:after="0"/>
        <w:jc w:val="center"/>
        <w:rPr>
          <w:rFonts w:ascii="Times New Roman" w:hAnsi="Times New Roman"/>
          <w:b/>
          <w:sz w:val="16"/>
          <w:bdr w:val="single" w:sz="8" w:space="1" w:color="000000"/>
        </w:rPr>
      </w:pPr>
      <w:r>
        <w:rPr>
          <w:rFonts w:ascii="Times New Roman" w:hAnsi="Times New Roman"/>
          <w:b/>
          <w:sz w:val="16"/>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that preferentially treat cancers due to mechanisms of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governed by the Business Corporations Act (Québec), or the QBCA. Our principal executive offices are located at 7171 Frederick-Banting, Building 2, Suite 270, St-Laurent, Quebec, H4S 1Z9 and our telephone number is 857-412-7018. In June 2017, we incorporated our wholly-owned subsidiary, Repare Therapeutics USA Inc., a Delaware corporation. Our corporate website address is www.reparerx.com. Information contained on, or accessible through, our website is not a part of this prospectus. We have included our website in this prospectus solely as an inactive textual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our common shares and preferred shares, various series of debt securities and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and Canadian federal income tax considerations.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underwriters or agents;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Common Shares</w:t>
      </w:r>
      <w:r>
        <w:rPr>
          <w:rFonts w:ascii="Times New Roman" w:hAnsi="Times New Roman"/>
          <w:sz w:val="20"/>
          <w:bdr w:val="single" w:sz="8" w:space="1" w:color="000000"/>
        </w:rPr>
        <w:t xml:space="preserve">. We may issue common shares from time to time. Under our articles of continuance, each holder of common shares is entitled to receive notice of, to attend and to vote at, all annual and special meetings of our shareholders. Each common share entitles the holder thereof to one vote at all meetings, other than meetings at which only holders of another specified class or series of shares have the right to vote. Subject and subordinate to the prior rights, privileges conditions and restrictions of the holders of our preferred shares ranking before common shares, the holders of common shares are entitled to receive dividends as and when declared by our board of directors. Subject and subordinate to the prior payment to the holders of our preferred shares ranking before common shares, in the event of our liquidation, dissolution or winding-up, whether voluntary or involuntary, or other distribution of our assets among our shareholders for the purposes of winding up our affairs, the holders of common shares are entitled to share pro rata in the distribution of our remaining property and assets. The holders of common shares have no preemptive, conversion rights or other subscription rights. There are no redemption or sinking fund provisions applicable to our common shares. There is no provision in our articles of continuance requiring the holders of common shares to contribute additional capital or permitting or restricting the issuance of additional securities or any other material restrictions. The rights, privileges, conditions and restrictions of the holders of common shares will be subject to and may be adversely affected by, the rights, privileges, conditions and restrictions of the holders of any series of preferred shares that we may designate in the future or any other class or series of shares that may be created and that would rank senior to the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Preferred Shares</w:t>
      </w:r>
      <w:r>
        <w:rPr>
          <w:rFonts w:ascii="Times New Roman" w:hAnsi="Times New Roman"/>
          <w:sz w:val="20"/>
          <w:bdr w:val="single" w:sz="8" w:space="1" w:color="000000"/>
        </w:rPr>
        <w:t xml:space="preserve">. Pursuant to our articles of continuance, we may issue preferred shares at any time and from time to time, in one or more series. Under our articles of continuance, we are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privileges, conditions and restrictions, including dividend and voting rights, may be superior to those of the common shares.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sell any series of preferred shares under this prospectus, we will fix the designations, voting powers, preferences and rights of such series of preferred shares, as well as the qualifications, limitations or restrictions thereof, in the articles of amendment containing a description of such series. Before issuing a series of preferred shares, we will file as an exhibit to the registration statement of which this prospectus is a part, or will incorporate by reference from reports that we file with the SEC, any articles and certificates of amendment that describe the terms of the series of preferred shares that we are offering. We urge you to read the applicable prospectus supplement (and any free writing prospectus that we may authorize to be provided to you) related to the series of preferred shares being offered, as well as the complete articles and certificates of amendment that contain the terms of the applicable series of preferred shares. </w:t>
      </w:r>
    </w:p>
    <w:p>
      <w:pPr>
        <w:pStyle w:val="TextBody"/>
        <w:bidi w:val="0"/>
        <w:spacing w:before="200" w:after="0"/>
        <w:jc w:val="left"/>
        <w:rPr>
          <w:rFonts w:ascii="Times New Roman" w:hAnsi="Times New Roman"/>
          <w:sz w:val="20"/>
          <w:bdr w:val="single" w:sz="8" w:space="1" w:color="000000"/>
        </w:rPr>
      </w:pPr>
      <w:r>
        <w:rPr>
          <w:rFonts w:ascii="Times New Roman" w:hAnsi="Times New Roman"/>
          <w:b/>
          <w:i/>
          <w:sz w:val="20"/>
          <w:bdr w:val="single" w:sz="8" w:space="1" w:color="000000"/>
        </w:rPr>
        <w:t>Debt Securities</w:t>
      </w:r>
      <w:r>
        <w:rPr>
          <w:rFonts w:ascii="Times New Roman" w:hAnsi="Times New Roman"/>
          <w:sz w:val="20"/>
          <w:bdr w:val="single" w:sz="8" w:space="1" w:color="000000"/>
        </w:rPr>
        <w:t xml:space="preserve">. From time to time, we may issue debt securities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shares or other securities. Conversion may be mandatory or at the holders option and would be at prescribed conversion rates.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indenture(s) and any supplemental indentures that contain the terms of the debt securities. We have filed a form of indenture as an exhibit to the registration statement of which this prospectus is a part. We will file as exhibits to the registration statement of which this prospectus is a part, or will be incorporated by reference from reports that we file with the SEC, supplemental indentures and forms of debt securities containing the terms of the debt securities being offered. </w:t>
      </w:r>
    </w:p>
    <w:p>
      <w:pPr>
        <w:pStyle w:val="TextBody"/>
        <w:bidi w:val="0"/>
        <w:spacing w:before="200" w:after="0"/>
        <w:jc w:val="left"/>
        <w:rPr>
          <w:rFonts w:ascii="Times New Roman" w:hAnsi="Times New Roman"/>
          <w:sz w:val="20"/>
          <w:bdr w:val="single" w:sz="8" w:space="1" w:color="000000"/>
        </w:rPr>
      </w:pPr>
      <w:r>
        <w:rPr>
          <w:rFonts w:ascii="Times New Roman" w:hAnsi="Times New Roman"/>
          <w:b/>
          <w:i/>
          <w:sz w:val="20"/>
          <w:bdr w:val="single" w:sz="8" w:space="1" w:color="000000"/>
        </w:rPr>
        <w:t>Warrants</w:t>
      </w:r>
      <w:r>
        <w:rPr>
          <w:rFonts w:ascii="Times New Roman" w:hAnsi="Times New Roman"/>
          <w:i/>
          <w:sz w:val="20"/>
          <w:bdr w:val="single" w:sz="8" w:space="1" w:color="000000"/>
        </w:rPr>
        <w:t>.</w:t>
      </w:r>
      <w:r>
        <w:rPr>
          <w:rFonts w:ascii="Times New Roman" w:hAnsi="Times New Roman"/>
          <w:sz w:val="20"/>
          <w:bdr w:val="single" w:sz="8" w:space="1" w:color="000000"/>
        </w:rPr>
        <w:t xml:space="preserve"> From time to time, we may issue warrants for the purchase of common shares, preferred shares and/or debt securities, in one or more series, from time to time. We may issue warrants independently or in combination with common shares, preferred shares and/or debt securities, and the warrants may be attached to or separate from these securities. In this prospectus, we have summarized certain general features of the warrants under the heading Description of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We have filed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be incorporated by reference from reports that we file with the SEC, the form of warrant or the warrant agreement and warrant certificate, as applicable, that contain the terms of the particular series of warrants we are offering, and any supplemental agreements, before the issuance of such warrants.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warrants issued under this prospectus may be evidenced by warrant certificates. Warrants may be issued under a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879175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titled Risk Factors contained in our most recent Annual Report on Form 10-K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below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879175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or the Exchange Act. These forward-looking statements are subject to the safe harbor created by Section 27A of the Securities Act and Section 21E of the Exchange Act and may include, but are not limited to, statements related to future events or to our future operating or financial performance and involve known and unknown risks, uncertainties and other factors that may cause our actual results, performance or achievements to be materially different from any future results, performance or achievements expressed or implied by the forward-looking statements. All statements other than statements of historical facts contained in this prospectus or in the documents incorporated by reference herein and in any prospectus supplement, including statements regarding our strategy, future financial condition, future operations, research and development, planned clinical trials and preclinical studies, technology platforms, the timing and likelihood of regulatory filings and approvals for our product candidates, our ability to commercialize our product candidates, the potential benefits of collaborations, projected costs, prospects, plans, objectives of management and expected market growth,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879175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Except as described in any applicable prospectus supplement or in any related free writing prospectus that we may authorize to be provided to you in connection with a specific offering, we currently intend to use the net proceeds from the sale of the securities offered hereby, if any, for general corporate purposes, including research and development expenses, general and administrative expenses, sales and marketing expenses, capital expenditures, which may include costs of funding future acquisitions, and working capital or for any other purpose we describe in the applicable prospectus supplement. We will set forth in the applicable prospectus supplement or free writing prospectus our intended use for the net proceeds received from the sale of any securities sold pursuant to the prospectus supplement or free writing prospectus. Pending the use of net proceeds, we plan to invest the net proceeds in short- and intermediate-term interest-bearing obligations, investment-grade securities, certificates of deposit or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879175_6"/>
      <w:bookmarkEnd w:id="8"/>
      <w:r>
        <w:rPr>
          <w:rFonts w:ascii="Times New Roman" w:hAnsi="Times New Roman"/>
          <w:b/>
          <w:sz w:val="20"/>
        </w:rPr>
        <w:t xml:space="preserve">DESCRIPTION OF SHARE CAPITAL </w:t>
      </w:r>
    </w:p>
    <w:p>
      <w:pPr>
        <w:pStyle w:val="TextBody"/>
        <w:bidi w:val="0"/>
        <w:spacing w:before="240" w:after="0"/>
        <w:jc w:val="left"/>
        <w:rPr>
          <w:rFonts w:ascii="Times New Roman" w:hAnsi="Times New Roman"/>
          <w:sz w:val="20"/>
        </w:rPr>
      </w:pPr>
      <w:r>
        <w:rPr>
          <w:rFonts w:ascii="Times New Roman" w:hAnsi="Times New Roman"/>
          <w:i/>
          <w:sz w:val="20"/>
        </w:rPr>
        <w:t>The following is a description of the material terms of our common shares and preferred shares as set forth in our articles of continuance. The following description of our share capital is intended as a summary only and is qualified in its entirety by reference to the provisions of Québec law and the complete text of our articles of continuance and amended and restated bylaws, which are filed as exhibits to the registration statement of which this prospectus is a part, and to the applicable provisions of the QBCA</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share capital consists of an unlimited number of common shares, no par value per share, and an unlimited number of preferred shares, no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Under our articles of continuance, the holders of our common shares are entitled to one vote for each share held at any meeting of the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shares, the holders of our common shares are entitled to receive dividends as and when declared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payments that may be payable to the holders of any then-outstanding preferred shares, in the event of our liquidation, dissolution or winding-up or other distribution of its assets among our shareholders, the holders of common shares are entitled to share pro rata in the distribution of the balance of our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shares have no preemptive, conversion rights or other subscription rights. There are no redemption or sinking fund provisions applicable to our common shares. There is no provision in our articles of continuance requiring the holders of common shares to contribute additional capital or permitting or restricting the issuance of additional securities or any other material restrictions. The rights, preferences and privileges of the holders of common shares are subject to and may be adversely affected by, the rights of the holders of any series of preferred shares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preferred shares issued and outstanding. Under our articles of continuance, we are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and privileges, including dividend and voting rights, may be superior to those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filing with the applicable enterprise registrar of the articles of amendment containing a description of such series of preferred shares and the issuance of the certificate of amendment by the enterprise registrar, preferred shares could be issued relatively quickly with terms designed to delay or prevent a change in control of our company or make removal of management more difficult. Additionally, the issuance of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may have the effect of decreasing the market price of the common shares and may adversely affect the voting power of holders of common shares and reduce the likelihood that common shareholders will receive dividend payments and payments upon liquidation, dissolution, winding-up or other distribution of assets.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and rights of each series, as well as the qualifications, limitations or restrictions thereof, of the preferred shares of each series that we offer under this prospectus and applicable prospectus supplements in the articles of amendment relating to that series. Before issuing a series of preferred shares, we will file as an exhibit to the registration statement of which this prospectus is a part, or will incorporate by reference from reports that we file with the SEC, any articles and certificate of amendment that describes the terms of such series of preferred shares. The description of such series of preferred shares in any applicable registration statement, prospectus supplement or report filed with the SEC will include,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shares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shares will be convertible into our common shares or other securities of ours, including depositary shares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shares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shares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and Canadian federal income tax considerations applicable to the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shares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shares ranking senior to or on a parity with the series of preferred shares being issued as to dividend rights and rights if we liquidate, dissolve or wind up our affairs;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191 of the QBCA provides for a general rule that a special resolution that favors certain shareholders of a class or series of shares or changes prejudicially the rights attaching to all the shares of a class or series of shares must be approved by the shareholders of that class or series. The same applies to a special resolution authorizing the articles to be amended in order to allow the board of directors to change prejudicially the rights attaching to all the shares of a class or series of shares without shareholder authorization. Such approval is given by a special resolution adopted separately by the holders of each class or series of shares concerned, whether or not the shares otherwise carry voting rights. Such approval is not required if (i) the special resolution changes prejudicially in the same manner the rights attaching to all the shares issued by the corporation or (ii) under the amendment to the articles authorized by the special resolution, it is only possible to change prejudicially the rights attaching to all the shares issued by the corporation. This general rule in Section 191 of the QBCA may give rise to separate class or series votes in addition to any other vote or approval requirement set out in the QBCA or the articles. Therefore, to the extent provided for in the QBCA, the holders of preferred shares or series of preferred shares, as holders of distinct class or series of shares, would in certain circumstances have the right to vote separately as a class or as a series,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the courts of the Province of Québec and the appellate courts therefrom shall, to the fullest extent permitted by law, be the sole and exclusive forum for: (i) any derivative action or proceeding brought on our behalf; (ii) any action or proceeding asserting a claim for breach of a fiduciary duty owed to us by any of our directors, officers or other employees; (iii) any action or proceeding asserting a claim arising pursuant to any provision of the QBCA or our articles of continuance or amended and restated bylaws (as either may be amended from time to time); or (iv) any action or proceeding asserting a claim otherwise related to our affairs, provided that, the exclusive forum provision does not apply to suits brought to enforce any liability or duty created by the Securities Act, the Exchange Act or any other claim for which the U.S. federal courts have exclusive jurisdiction. Our amended and restated bylaws further provide that unless we consent in writing to the selection of an alternative forum, the federal district courts of the United States of America shall be the exclusive forum for the resolution of any complaint asserting a cause of action arising under the Securities Act. It is possible that a court of law could rule that the choice of forum provision contained in our amended and restated bylaws is inapplicable or unenforceable if it is challenged in a proceeding or otherwise.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shares is Computershare Investor Services Inc. The transfer agents address is 650 de Maisonneuve Boulevard West, 7th Floor, Montréal, Québec H3A 3T2. Nasdaq Global Select Market Listing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shares are listed on the Nasdaq Global Select Market under the symbol RPTX.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879175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The applicable prospectus supplement may also describe material Canadian federal income tax considerations generally applicable to investors described therein of purchasing, holding and disposing of debt securities that we may issue, including, in the case of an investor who is not a resident of Canada, Canadian withholding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U.S. federal tax purposes or any holder that is not a resident of Canada for Canadian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shares or our other securities. We will include provisions as to settlement upon conversion or exchange and whether conversion or exchange is mandatory, at the option of the holder or at our option. We may include provisions pursuant to which the number of our common shares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or, generally, with respect to, among other things, corporate law operations, in which case the QBCA may be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879175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shares, preferred shares or debt securities and may be issued in one or more series. Warrants may be issued independently or together with common shares, preferred shares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the applicable prospectus supplement, we will describe the terms of the series of warrants being offered,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shares or preferred shares, the number of common shares or preferred shares,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shares or preferred shares, the right to receive dividends, if any, or payments upon our liquidation, dissolution or winding up or to exercise voting rights, if 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on such exercise. If less than all of the warrants (or the warrants represented by such warrant certificate) are exercised, a new warrant or a new warrant certificate, as applicable, will be issued for the remaining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or, generally, with respect to, among other things, corporate law operations, in which case the QBCA may be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11" w:name="tx879175_9"/>
      <w:bookmarkEnd w:id="11"/>
      <w:r>
        <w:rPr>
          <w:rFonts w:ascii="Times New Roman" w:hAnsi="Times New Roman"/>
          <w:b/>
          <w:sz w:val="20"/>
        </w:rPr>
        <w:t xml:space="preserve">MATERIAL DIFFERENCES BETWEEN THE </w:t>
      </w:r>
      <w:r>
        <w:rPr>
          <w:rFonts w:ascii="Times New Roman" w:hAnsi="Times New Roman"/>
          <w:b/>
          <w:i/>
          <w:sz w:val="20"/>
        </w:rPr>
        <w:t>BUSINESS CORPORATIONS ACT</w:t>
      </w:r>
      <w:r>
        <w:rPr>
          <w:rFonts w:ascii="Times New Roman" w:hAnsi="Times New Roman"/>
          <w:sz w:val="20"/>
        </w:rPr>
        <w:t xml:space="preserve"> </w:t>
      </w:r>
      <w:r>
        <w:rPr>
          <w:rFonts w:ascii="Times New Roman" w:hAnsi="Times New Roman"/>
          <w:b/>
          <w:sz w:val="20"/>
        </w:rPr>
        <w:t xml:space="preserve">(QUÉBEC) AND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are governed by the </w:t>
      </w:r>
      <w:r>
        <w:rPr>
          <w:rFonts w:ascii="Times New Roman" w:hAnsi="Times New Roman"/>
          <w:i/>
          <w:sz w:val="20"/>
        </w:rPr>
        <w:t>Business Corporations Act</w:t>
      </w:r>
      <w:r>
        <w:rPr>
          <w:rFonts w:ascii="Times New Roman" w:hAnsi="Times New Roman"/>
          <w:sz w:val="20"/>
        </w:rPr>
        <w:t xml:space="preserve"> (Québec), or the QBCA, which is generally similar to laws applicable to U.S. corporations. Significant differences between the QBCA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3"/>
        <w:gridCol w:w="204"/>
        <w:gridCol w:w="3572"/>
        <w:gridCol w:w="204"/>
        <w:gridCol w:w="3572"/>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Number and Election of Directors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Under the DGCL, the board of directors must consist of at least one director. The number of directors shall be fixed by the bylaws of the corporation, unless the certificate of incorporation fixes the number of directors, in which case a change in the number of directors shall only be made by an amendment of the certificate of incorporation. Under the DGCL, directors are elected at annual stockholder meetings by plurality vote of the stockholders, unless a shareholder-adopted bylaw prescribes a different required vote.</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the board of directors of a corporation whose securities are publicly traded must consist of at least three members, at least two of whom must not be officers or employees of the corporation or an affiliate of the corporation, so long as the corporation remains a reporting issuer for purposes of the QBCA, which includes a corporation that has made a distribution of securities to the public.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QBCA, directors are elected by the shareholders, in the manner and for the term, not exceeding three years, set out in the corporations bylaws.</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Constitution and Residency of Directors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The DGCL does not have residency requirements, but a corporation may prescribe qualifications for directors under its certificate of incorporation or bylaws.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The QBCA does not have residency requirements.</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Removal of Directors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Under the DGCL,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Under the QBCA, unless the articles of a corporation provide for cumulative voting (which is not the case for us), shareholders of the corporation may, by resolution passed by a majority of the votes cast thereon at a special meeting of shareholders, remove any or all directors from office and may elect any qualified person to fill the resulting vacancy.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3"/>
        <w:gridCol w:w="3573"/>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the entire board of directors, or, if there are classes of directors, at an election of the class of directors of which he is a part.</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Vacancies on the Board of Directors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DGCL,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QBCA, vacancies that exist on the board of directors may generally be filled by the board if the remaining directors constitute a quorum. In the absence of a quorum, the remaining directors shall call a meeting of shareholders to fill the vacancy.</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Board of Director Quorum and Vote Requirements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Under the DGCL, a majority of the total number of directors shall constitute a quorum for the transaction of business unless the certificate of incorporation or bylaws require a greater number. The bylaws may lower the number required for a quorum to one-third the number of directors, but no less.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DGCL, the board of directors may take action by the majority vote of the directors present at a meeting at which a quorum is present unless the certificate of incorporation or bylaws require a greater vote.</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subject to the corporations bylaws, a majority of the directors in office constitutes a quorum at any meeting of the board. Our amended and restated bylaws also provide that a majority of the directors in office constitutes a quorum at any meeting of the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QBCA, a quorum of directors may exercise all the powers of the directors despite any vacancy on the board.</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Transactions with Directors and Officers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The DGCL generally provides that no transaction between a corporation and one or more of its directors or officers, or between a corporation and any other corporation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which authorizes the transaction, or solely because any such directors or</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QBCA, every director or officer of a corporation must disclose the nature and value of any interest he or she has in a contract or transaction to which the corporation is a party. For the purposes of this rule, interest means any financial stake in a contract or transaction that may reasonably be considered likely to influence decision-making. Furthermore, a proposed contract or a proposed transaction, including related negotiations, is considered a contract or transaction. In addition, a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4"/>
        <w:gridCol w:w="3572"/>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 (iii) the transaction is fair as to the corporation as of the time it is authorized, approved or ratified, by the board of directors, a committee or the stockholders.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or an officer must disclose any contract or transaction to which the corporation and any of the following are a party: (i) an associate of the director or officer; (ii) a group of which the director or officer is a director or officer; or (iii) a group in which the director or officer or an associate of the director or officer has an interest. Such disclosure is required even for a contract or transaction that does not require approval by the board of directors. If a director is required to disclose his or her interest in a contract or transaction, such director is not allowed to vote on any resolution to approve, amend or terminate the contract or transaction or be present during deliberations concerning the approval, amendment or termination of such contract or transaction, unless the contract or transaction (i) relates primarily to the remuneration of the director or an associate of the director as a director, officer, employee or mandatory of the corporation or an affiliate of the corporation, (ii) is for indemnity or liability insurance under the QBCA, or (iii) is with an affiliate of the corporation, and the sole interest of the director is as a director or officer of the affiliate.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director or officer does not disclose his or her interest in accordance with the QBCA, or (in the case of a director) votes in respect of a resolution on a contract or transaction in which he or she is interested contrary to the QBCA, the corporation or a shareholder may ask the court to declare the contract or transaction null and to require the director or officer to account to the corporation for any profit or gain realized on it by the director or officer or the associates of the director or officer, and to remit the profit or gain to the corporation, according to the conditions the court considers appropriate. However, the contract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4"/>
        <w:gridCol w:w="3572"/>
        <w:gridCol w:w="204"/>
        <w:gridCol w:w="3572"/>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transaction may not be declared null if it was approved by the board of directors and the contract or transaction was in the interest of the corporation when it was approved, nor may the director or officer concerned, in such a case, be required to account for any profit or gain realized or to remit the profit or gain to the corporation. In addition, the contract or transaction may not be declared null if it was approved by ordinary resolution by the shareholders entitled to vote who do not have an interest in the contract or transaction, the required disclosure was made to the shareholders and the contract or transaction was in the best interests of the corporation when it was approved, and if the director or officer acted honestly and in good faith, he or she may not be required to account for the profit or gain realized and to remit the profit or gain to the corporation.</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Limitation on Liability of Directors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Under the DGCL,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  breach of the directors duty of loyalty to the corporation or its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  acts or omissions not in good faith or which involve intentional misconduct or a knowing violation of the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  intentional or negligent payment of unlawful dividends or stock purchases or redemptions;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  for any transaction from which the director derived an improper personal benefit.</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The QBCA does not permit the limitation of a directors liability as the DGCL does.</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Indemnification of Directors and Officers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The DGCL permits indemnification for derivative suits only for expenses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Under the QBCA, a corporation must indemnify a director or officer,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4"/>
        <w:gridCol w:w="3572"/>
        <w:gridCol w:w="204"/>
        <w:gridCol w:w="3572"/>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(including legal fees) and only if the person is not found liable, unless a court determines the person is fairly and reasonably entitled to the indemnification.</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former director or officer or a person who acts or acted at the corporations request as a director or officer, or an individual acting in a similar capacity of another group (who is referred to in this document as an indemnifiable person) against all costs, charges and expenses reasonably incurred in the exercise of their functions, including an amount paid to settle an action or satisfy a judgment, reasonably incurred by the indemnifiable person on the exercise of the persons functions or arising from any investigative or other proceeding in which the person is involved if: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person acted with honesty and loyalty in the interest of the corporation or other group,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 the case of a proceeding enforceable by a monetary penalty, the person had reasonable grounds for believing the persons conduct was lawful.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QBCA also provides that a corporation must advance moneys to an indemnifiable person for the costs, charges and expenses incurred in connection with such proceeding. In the case of a derivative action, indemnity may be made only with court approval.</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Call and Notice of Stockholder Meetings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Under the DGCL, an annual or special stockholder meeting is held on such date, at such time and at such 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 directors in lieu of an annual meeting has not been taken within 30 days after the date designated for the annual meeting, or if no date has been designated, for a period of 13 months after the later of the last annual</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an annual meeting of shareholders must be held no later than 15 months after holding the last preceding annual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QBCA, the directors of a corporation may call a special meeting at any time. In addition, holders of not less than 10 percent of the issued shares of a corporation that carry the right to vote at a meeting sought to be held may requisition the directors to call a meeting of shareholders.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4"/>
        <w:gridCol w:w="3572"/>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meeting or the last action by written consent to elect directors in lieu of an annual meeting, the Delaware Court of Chancery may summarily order a meeting to be held upon the application of any stockholder or director.</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Stockholder Action by Written Consent</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Under the DGCL, a majority of the stockholders of a corporation may act by written consent without a meeting unless such action is prohibited by the corporations certificate of incorporation.</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QBCA, a written resolution signed by all the shareholders of a corporation who would have been entitled to vote on the resolution at a meeting is effective to approve the resolution.</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Stockholder Nominations and Proposals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Not applicable.</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a shareholder entitled to vote at a shareholders meeting may submit a shareholder proposal relating to matters which the shareholder wishes to propose and discuss at an annual shareholders meeting and, subject to such shareholders compliance with the prescribed time periods and other requirements of the QBCA pertaining to shareholder proposals, the corporation is required to include such proposal in the information circular pertaining to any annual meeting at which it solicits proxies, subject to certain exceptions. Notice of such a proposal must be provided to the corporation at least 90 days before the anniversary date of the notice of meeting for the last annual shareholders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the QBCA requires that any shareholder proposal that includes nominations for the election of directors must be signed by one or more holders of shares representing in the aggregate not less than five per cent of the shares or five per cent of the shares of a class or series of shares of the corporation entitled to vote at the meeting to which the proposal is to be presented.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Our amended and restated bylaws require shareholders wishing to nominate directors or propose business for a meeting of shareholders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3"/>
        <w:gridCol w:w="3573"/>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to give timely advance notice in writing, as described in our amended and restated bylaws.</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Stockholder Quorum and Vote Requirements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DGCL, quorum for a stock corporation is a majority of the shares entitled to vote at the meeting 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unless the bylaws otherwise provide, the holders of a majority of the shares of a corporation entitled to vote at a meeting of shareholders, whether present in person or represented by proxy, constitute a quorum.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Our amended and restated bylaws to be effective immediately prior to the completion of this offering will provide that holders of 25% of the shares entitled to vote at a meeting of shareholders, whether present in person or represented by proxy, shall constitute quorum.</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Amendment of Certificate of Incorporation</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Generally, under the DGCL, the affirmative vote of the holders of a majority of the outstanding stock entitled 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amendments to the articles of incorporation generally require the approval of not less than two-thirds of the votes cast by shareholders entitled to vote on the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Specified amendments may also require the approval of other classes of shares. If the amendment is of a nature affecting a particular class or series in a manner requiring a separate class or series vote, that class or series is entitled to vote on the amendment whether or not it otherwise carries the right to vote.</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Amendment of Bylaws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DGCL, after a corporation has received any payment for any of its stock, the power to adopt, amend or repeal bylaws shall be vested in the stockholders entitled to vote; provided, however, that any corporation may, in its certificate of incorporation, provide that bylaws may be adopted, amended or repealed by the board of directors. The fact that such power has been conferred upon the board of directors shall not divest</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QBCA, the directors may, by resolution, make, amend or repeal any bylaws that regulate the business or affairs of the corporation. Where the directors make, amend or repeal a bylaw, they are required under the QBCA to submit that action to the shareholders at the next meeting of shareholders and the shareholders may confirm, reject or amend that action by simple majority, or ordinary resolution. If the action is rejected by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4"/>
        <w:gridCol w:w="202"/>
        <w:gridCol w:w="3573"/>
        <w:gridCol w:w="203"/>
        <w:gridCol w:w="3573"/>
      </w:tblGrid>
      <w:tr>
        <w:trPr/>
        <w:tc>
          <w:tcPr>
            <w:tcW w:w="265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4"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the stockholders of the power nor limit their power to adopt, amend or repeal the bylaws.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shareholders, or the directors of a corporation do not submit the action to the shareholders at the next meeting of shareholders, the action will cease to be effective, and no subsequent resolution of the directors to make, amend or repeal a bylaw having substantially the same purpose or effect will he effective until it is confirmed.</w:t>
            </w:r>
          </w:p>
        </w:tc>
      </w:tr>
      <w:tr>
        <w:trPr>
          <w:trHeight w:val="120" w:hRule="atLeast"/>
        </w:trPr>
        <w:tc>
          <w:tcPr>
            <w:tcW w:w="2654"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4" w:type="dxa"/>
            <w:tcBorders/>
          </w:tcPr>
          <w:p>
            <w:pPr>
              <w:pStyle w:val="TableContents"/>
              <w:bidi w:val="0"/>
              <w:spacing w:before="0" w:after="283"/>
              <w:jc w:val="left"/>
              <w:rPr>
                <w:b/>
                <w:i/>
              </w:rPr>
            </w:pPr>
            <w:r>
              <w:rPr>
                <w:b/>
                <w:i/>
              </w:rPr>
              <w:t>Votes on Mergers, Consolidations and Sales of Assets</w:t>
            </w:r>
          </w:p>
        </w:tc>
        <w:tc>
          <w:tcPr>
            <w:tcW w:w="202"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The DGCL provides that, unless otherwise provided in the certificate of incorporation or bylaws, the adoption of a merger agreement requires the approval of a majority of the outstanding stock of the corporation entitled to vote thereon.</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certain extraordinary corporate actions, such as amalgamations (other than with certain affiliated corporations), continuances and sales, leases or exchanges of the property of a corporation if as a result of such alienation the corporation would be unable to retain a significant part of its business activities, and other extraordinary corporate actions such as liquidations, dissolutions and (if ordered by a court) arrangements, are required to be approved by special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special resolution is a resolution passed by not less than two-thirds of the votes cast by the shareholders who voted in respect of the resolution or signed by all shareholders entitled to vote on the resolution. In specified cases, a special resolution to approve the extraordinary corporate action is also required to be approved separately by the holders of a class or series of shares, including in certain cases a class or series of shares not otherwise carrying voting rights.</w:t>
            </w:r>
          </w:p>
        </w:tc>
      </w:tr>
      <w:tr>
        <w:trPr>
          <w:trHeight w:val="120" w:hRule="atLeast"/>
        </w:trPr>
        <w:tc>
          <w:tcPr>
            <w:tcW w:w="2654"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4" w:type="dxa"/>
            <w:tcBorders/>
          </w:tcPr>
          <w:p>
            <w:pPr>
              <w:pStyle w:val="TableContents"/>
              <w:bidi w:val="0"/>
              <w:spacing w:before="0" w:after="283"/>
              <w:jc w:val="left"/>
              <w:rPr>
                <w:b/>
                <w:i/>
              </w:rPr>
            </w:pPr>
            <w:r>
              <w:rPr>
                <w:b/>
                <w:i/>
              </w:rPr>
              <w:t>Dissenters Rights of Appraisal</w:t>
            </w:r>
          </w:p>
        </w:tc>
        <w:tc>
          <w:tcPr>
            <w:tcW w:w="202"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Under the DGCL, a stockholder of a Delaware corporation generally has the right to dissent flume, merger or consolidation in which the Delaware corporation is participating, subject to specified procedural requirements, including that such dissenting stockholder does not vote in favor of the merger or consolidation. However, the DGCL does not confer appraisal rights, in certain circumstances,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The QBCA provides that shareholders of a corporation are entitled to exercise dissent rights (called the right to demand the repurchase of shares) and to be paid the fair value of their shares in connection with specified matters, including: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squeeze-out transaction;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  an amendment to the articles to add, change or remove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4"/>
        <w:gridCol w:w="3572"/>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4"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restriction on the corporations business activity or on the transfer of the corporations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  an alienation of corporation property if, as a result of the alienation, the corporation is unable to retain a significant part of its business activity;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corporation to permit the alienation of property of its subsidiary;</w:t>
            </w:r>
          </w:p>
        </w:tc>
      </w:tr>
      <w:tr>
        <w:trPr/>
        <w:tc>
          <w:tcPr>
            <w:tcW w:w="2653" w:type="dxa"/>
            <w:tcBorders/>
          </w:tcPr>
          <w:p>
            <w:pPr>
              <w:pStyle w:val="TableContents"/>
              <w:bidi w:val="0"/>
              <w:spacing w:before="0" w:after="283"/>
              <w:jc w:val="left"/>
              <w:rPr>
                <w:sz w:val="4"/>
                <w:szCs w:val="4"/>
              </w:rPr>
            </w:pPr>
            <w:r>
              <w:rPr>
                <w:sz w:val="4"/>
                <w:szCs w:val="4"/>
              </w:rPr>
            </w:r>
          </w:p>
        </w:tc>
        <w:tc>
          <w:tcPr>
            <w:tcW w:w="204" w:type="dxa"/>
            <w:vMerge w:val="continue"/>
            <w:tcBorders/>
            <w:vAlign w:val="bottom"/>
          </w:tcPr>
          <w:p>
            <w:pPr>
              <w:pStyle w:val="Normal"/>
              <w:bidi w:val="0"/>
              <w:jc w:val="left"/>
              <w:rPr/>
            </w:pPr>
            <w:r>
              <w:rPr/>
            </w:r>
          </w:p>
        </w:tc>
        <w:tc>
          <w:tcPr>
            <w:tcW w:w="3572" w:type="dxa"/>
            <w:vMerge w:val="continue"/>
            <w:tcBorders/>
          </w:tcPr>
          <w:p>
            <w:pPr>
              <w:pStyle w:val="Normal"/>
              <w:bidi w:val="0"/>
              <w:jc w:val="left"/>
              <w:rPr/>
            </w:pPr>
            <w:r>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  an amalgamation agreement;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continuance of the corporation under the laws of a jurisdiction other than Québec;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dissolution of the corporation is withdrawn if, as a result of the alienation of property begun during the liquidation of the corporation, the corporation is unable to retain a significant part of its business activity.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However, a shareholder is not entitled to dissent if an amendment to the articles is effected by a court order approving reorganization or by a court order made in connection with an action for an oppression remedy.</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Oppression Remedy</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The DGCL does not provide for a similar remedy.</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The QBCA provides an oppression remedy (called rectification of abuse of power or iniquity) that enables a court to make any order, whether interim or final, to rectify matters that are oppressive or unfairly prejudicial to the interests of any securityholder, director or officer of the corporation if an application is made to a court by an applicant. An applicant with respect to a corporation means any of the following: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 present or former registered holder or beneficiary of securities of the corporation or any of its affiliates;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4"/>
        <w:gridCol w:w="3572"/>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present or former officer or director of the corporation or any of its affiliates;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  any other person who in the discretion of the court has the interest to make the application.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oppression remedy provides the court with very broad and flexible powers to intervene in corporate affairs to protect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 Furthermore, the court may order a corporation to pay the interim expenses of an applicant seeking an oppression remedy, but the applicant may be held accountable for interim costs on final disposition of the complaint (as in the case of a derivative action as described in Shareholder Derivative Actions below).</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Shareholder Derivative Actions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Under the DGCL, stockholders may bring derivative 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 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Under the QBCA, a shareholder of a corporation may apply to a Québec court for leave to bring an action in the name of, and on behalf of, the corporation or any subsidiary, or to intervene in an existing action to which the corporation or any of its subsidiaries is a party, for the purpose of prosecuting, defending or discontinuing an action on behalf of the corporation or its subsidiary. Under the QBCA, no action may be brought and no intervention in an action may be made unless a court is satisfied that: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shareholder has given the required 14-day notice to the directors of the corporation or the subsidiary of the shareholders intention to apply to the court if the directors do not bring,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3"/>
        <w:gridCol w:w="3573"/>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c>
          <w:tcPr>
            <w:tcW w:w="265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diligently prosecute or defend or discontinue the action;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shareholder is acting in good faith;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  it appears to be in the interests of the corporation or the relevant subsidiary that the action be brought. prosecuted, defended or discontinued.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QBCA, the court in a derivative action may make any order it thinks fit. In addition, under the QBCA, a court may order the corporation or its relevant subsidiary to pay the shareholders interim costs, including reasonable legal fees and disbursements. Although the shareholder may he held accountable for the interim costs on final disposition of the complaint, the shareholder is not required to give security for costs in a derivative action.</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i/>
              </w:rPr>
            </w:pPr>
            <w:r>
              <w:rPr>
                <w:b/>
                <w:i/>
              </w:rPr>
              <w:t>Anti-Takeover and Ownership Provisions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Unless an issuer opts out of the provisions of Section 203 of the DGCL, Section 203 generally 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 purposes, the term business combination includes mergers, assets sales and other similar transactions with an interested stockholder.</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 xml:space="preserve">While the QBCA does not contain specific antitakeover provisions with respect to business combinations, rules and policies of certain Canadian securities regulatory authorities, including Multilateral Instrument 61-101 </w:t>
            </w:r>
            <w:r>
              <w:rPr>
                <w:i/>
              </w:rPr>
              <w:t>Protection of Minority Security Holders in Special Transactions</w:t>
            </w:r>
            <w:r>
              <w:rPr/>
              <w:t>, or Multilateral Instrument 61-101, contain requirements in connection with, among other things, related party transactions and business combinations, including, among other 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3"/>
        <w:gridCol w:w="3573"/>
        <w:gridCol w:w="203"/>
        <w:gridCol w:w="3573"/>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203" w:type="dxa"/>
            <w:tcBorders/>
            <w:vAlign w:val="bottom"/>
          </w:tcPr>
          <w:p>
            <w:pPr>
              <w:pStyle w:val="TableContents"/>
              <w:bidi w:val="0"/>
              <w:spacing w:before="0" w:after="283"/>
              <w:jc w:val="left"/>
              <w:rPr/>
            </w:pPr>
            <w:r>
              <w:rPr/>
              <w:t>  </w:t>
            </w:r>
          </w:p>
        </w:tc>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QBCA</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Multilateral Instrument 61-101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61-101 also requires, subject to certain exceptions, that an issuer not engage in a related party transaction unless the shareholders of the issuer, other than the related parties, approve the transaction by a simple majority of the votes cast.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879175_10"/>
      <w:bookmarkEnd w:id="12"/>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New York, New York,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879175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Select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Global Select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offer, other than common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879175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validity of the securities in respect of which this prospectus, and any supplement thereto, is being delivered and certain legal matters with respect to Canadian law will be passed upon by Stikeman Elliott LLP, Montréal, Québec, Canada. The validity of the warrants and certain other matters of U.S. federal law will be passed upon for us by Cooley LLP, Boston, Massachusetts.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5" w:name="tx879175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Repare Therapeutics Inc. appearing in our Annual Report on Form 10-K for the year ended December 31, 2023 have been audited by Ernst &amp; Young LLP, independent registered public accounting firm, as set forth in their reports thereon included therein, and incorporated by reference herein. Such consolidated financial statements are incorporated herein by reference in reliance upon such reports given on the authority of such firm as experts in accounting and auditing. </w:t>
      </w:r>
    </w:p>
    <w:p>
      <w:pPr>
        <w:pStyle w:val="TextBody"/>
        <w:bidi w:val="0"/>
        <w:spacing w:before="480" w:after="0"/>
        <w:jc w:val="center"/>
        <w:rPr>
          <w:rFonts w:ascii="Times New Roman" w:hAnsi="Times New Roman"/>
          <w:b/>
          <w:sz w:val="20"/>
        </w:rPr>
      </w:pPr>
      <w:bookmarkStart w:id="16" w:name="tx879175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must comply with the informational requirements of the Exchange Act, and we are required to file reports and proxy statements and other information with the SEC. You may read and copy these reports, proxy statements and other information on the SECs website at http://www.sec.gov, which contains reports, proxy and information statements and other information regarding issuers like us that file electronically with the SEC. We maintain a website at www.reparerx.com. The information contained in, or that can be accessed through, our website is not incorporated by reference herein and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879175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2023, filed with the SEC on </w:t>
            </w:r>
            <w:hyperlink r:id="rId3">
              <w:r>
                <w:rPr>
                  <w:rStyle w:val="InternetLink"/>
                  <w:rFonts w:ascii="Times New Roman" w:hAnsi="Times New Roman"/>
                  <w:sz w:val="20"/>
                </w:rPr>
                <w:t>February 28,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2023 from our definitive proxy statement on Schedule 14A, filed with the SEC on </w:t>
            </w:r>
            <w:hyperlink r:id="rId4">
              <w:r>
                <w:rPr>
                  <w:rStyle w:val="InternetLink"/>
                  <w:rFonts w:ascii="Times New Roman" w:hAnsi="Times New Roman"/>
                  <w:sz w:val="20"/>
                </w:rPr>
                <w:t>April 26,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 ended March 31, 2024, filed with the SEC on </w:t>
            </w:r>
            <w:hyperlink r:id="rId5">
              <w:r>
                <w:rPr>
                  <w:rStyle w:val="InternetLink"/>
                  <w:rFonts w:ascii="Times New Roman" w:hAnsi="Times New Roman"/>
                  <w:sz w:val="20"/>
                </w:rPr>
                <w:t>May 7, 2024</w:t>
              </w:r>
            </w:hyperlink>
            <w:r>
              <w:rPr>
                <w:rFonts w:ascii="Times New Roman" w:hAnsi="Times New Roman"/>
                <w:sz w:val="20"/>
              </w:rPr>
              <w:t xml:space="preserve">, and the quarterly period ended June  30, 2024, filed with the SEC on </w:t>
            </w:r>
            <w:hyperlink r:id="rId6">
              <w:r>
                <w:rPr>
                  <w:rStyle w:val="InternetLink"/>
                  <w:rFonts w:ascii="Times New Roman" w:hAnsi="Times New Roman"/>
                  <w:sz w:val="20"/>
                </w:rPr>
                <w:t>August 6,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12, 2024</w:t>
              </w:r>
            </w:hyperlink>
            <w:r>
              <w:rPr>
                <w:rFonts w:ascii="Times New Roman" w:hAnsi="Times New Roman"/>
                <w:sz w:val="20"/>
                <w:u w:val="single"/>
              </w:rPr>
              <w:t>,</w:t>
            </w:r>
            <w:r>
              <w:rPr>
                <w:rFonts w:ascii="Times New Roman" w:hAnsi="Times New Roman"/>
                <w:sz w:val="20"/>
              </w:rPr>
              <w:t xml:space="preserve"> </w:t>
            </w:r>
            <w:hyperlink r:id="rId8">
              <w:r>
                <w:rPr>
                  <w:rStyle w:val="InternetLink"/>
                  <w:rFonts w:ascii="Times New Roman" w:hAnsi="Times New Roman"/>
                  <w:sz w:val="20"/>
                </w:rPr>
                <w:t>January  25, 2024</w:t>
              </w:r>
            </w:hyperlink>
            <w:r>
              <w:rPr>
                <w:rFonts w:ascii="Times New Roman" w:hAnsi="Times New Roman"/>
                <w:sz w:val="20"/>
              </w:rPr>
              <w:t xml:space="preserve">, </w:t>
            </w:r>
            <w:hyperlink r:id="rId9">
              <w:r>
                <w:rPr>
                  <w:rStyle w:val="InternetLink"/>
                  <w:rFonts w:ascii="Times New Roman" w:hAnsi="Times New Roman"/>
                  <w:sz w:val="20"/>
                </w:rPr>
                <w:t>February 12, 2024</w:t>
              </w:r>
            </w:hyperlink>
            <w:r>
              <w:rPr>
                <w:rFonts w:ascii="Times New Roman" w:hAnsi="Times New Roman"/>
                <w:sz w:val="20"/>
              </w:rPr>
              <w:t xml:space="preserve">; </w:t>
            </w:r>
            <w:hyperlink r:id="rId10">
              <w:r>
                <w:rPr>
                  <w:rStyle w:val="InternetLink"/>
                  <w:rFonts w:ascii="Times New Roman" w:hAnsi="Times New Roman"/>
                  <w:sz w:val="20"/>
                </w:rPr>
                <w:t>April  26, 2024</w:t>
              </w:r>
            </w:hyperlink>
            <w:r>
              <w:rPr>
                <w:rFonts w:ascii="Times New Roman" w:hAnsi="Times New Roman"/>
                <w:sz w:val="20"/>
              </w:rPr>
              <w:t xml:space="preserve"> (with respect to Item 5.02 only); and </w:t>
            </w:r>
            <w:hyperlink r:id="rId11">
              <w:r>
                <w:rPr>
                  <w:rStyle w:val="InternetLink"/>
                  <w:rFonts w:ascii="Times New Roman" w:hAnsi="Times New Roman"/>
                  <w:sz w:val="20"/>
                </w:rPr>
                <w:t>June 17,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shares contained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with the SEC on June 16, 2020,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securities covered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each person, including any beneficial owner, to whom this prospectus supplement and the accompanying prospectus is delivered, upon written or oral request, a copy of any document incorporated by reference. Requests should be addressed to Repare Therapeutics Inc., Attn: Investor Relations, 7171 Frederick-Banting, Building 2, Suite 270, St-Laurent, Québec, Canada H4S 1Z9. Copies of these filings are also available, without charge, on the SECs website at www.sec.gov and on our website www.reparerx.com as soon as reasonably practicable after they are filed electronically with the SEC. The information contained on our website is not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in this prospectus supplement or the accompanying prospectus shall be deemed modified, superseded or replaced for the purposes of this prospectus supplement or the accompanying prospectus to the extent that a statement contained in this prospectus supplement or the accompanying prospectus or in any other subsequently filed document that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and commissions, payable by us in connection with the offering of the securities being registered. All the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51,660.00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miscellaneous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and expenses are calculated based on the securities offered and the number of issuances and accordingly are not estimated at this time and will be reflected in the applicable prospectus supplement.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registration fee offset pursuant to Rule 457(p).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w:t>
      </w:r>
      <w:r>
        <w:rPr>
          <w:rFonts w:ascii="Times New Roman" w:hAnsi="Times New Roman"/>
          <w:i/>
          <w:sz w:val="20"/>
        </w:rPr>
        <w:t>Business Corporations Act</w:t>
      </w:r>
      <w:r>
        <w:rPr>
          <w:rFonts w:ascii="Times New Roman" w:hAnsi="Times New Roman"/>
          <w:sz w:val="20"/>
        </w:rPr>
        <w:t xml:space="preserve"> (Québec), or the QBCA and our amended and restated bylaws,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Indemnification is prohibited under the QBCA unless the individual: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acted with honesty and loyalty in our interests, or in the interest of the other group for which the individual acted as director or officer or in a similar capacity at our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proceeding that is enforced by a monetary penalty, the individual had reasonable grounds for believing that his or her conduct was lawful.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QBCA and our amended and restated bylaws authorize us to purchase and maintain insurance for the benefit of each of our current or former directors or officers and each person who acts or acted at our request as a director, officer or an individual acting in a similar capacity, of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separate indemnity agreements with all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and currently intend to maintain insurance on behalf of each and every person who is or was a director or officer of our company against any loss arising from any claim asserted against him or her and incurred by him or her in any such capacity, subject to certain exclusions.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underwriting agreement that we may enter into may provide for indemnification by any underwriters, of us, our directors, our officers who sign the registration statement and our controlling persons for some liabilities,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6"/>
        <w:gridCol w:w="178"/>
        <w:gridCol w:w="3011"/>
        <w:gridCol w:w="178"/>
        <w:gridCol w:w="60"/>
        <w:gridCol w:w="594"/>
        <w:gridCol w:w="60"/>
        <w:gridCol w:w="178"/>
        <w:gridCol w:w="60"/>
        <w:gridCol w:w="926"/>
        <w:gridCol w:w="60"/>
        <w:gridCol w:w="178"/>
        <w:gridCol w:w="121"/>
        <w:gridCol w:w="692"/>
        <w:gridCol w:w="60"/>
        <w:gridCol w:w="178"/>
        <w:gridCol w:w="60"/>
        <w:gridCol w:w="1560"/>
        <w:gridCol w:w="60"/>
        <w:gridCol w:w="178"/>
        <w:gridCol w:w="222"/>
        <w:gridCol w:w="808"/>
        <w:gridCol w:w="67"/>
      </w:tblGrid>
      <w:tr>
        <w:trPr/>
        <w:tc>
          <w:tcPr>
            <w:tcW w:w="71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16"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178" w:type="dxa"/>
            <w:vMerge w:val="restart"/>
            <w:tcBorders/>
            <w:vAlign w:val="bottom"/>
          </w:tcPr>
          <w:p>
            <w:pPr>
              <w:pStyle w:val="TableContents"/>
              <w:bidi w:val="0"/>
              <w:spacing w:before="0" w:after="283"/>
              <w:jc w:val="left"/>
              <w:rPr/>
            </w:pPr>
            <w:r>
              <w:rPr/>
              <w:t>  </w:t>
            </w:r>
          </w:p>
        </w:tc>
        <w:tc>
          <w:tcPr>
            <w:tcW w:w="3011"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c>
          <w:tcPr>
            <w:tcW w:w="178" w:type="dxa"/>
            <w:tcBorders/>
            <w:vAlign w:val="bottom"/>
          </w:tcPr>
          <w:p>
            <w:pPr>
              <w:pStyle w:val="TableContents"/>
              <w:bidi w:val="0"/>
              <w:spacing w:before="0" w:after="283"/>
              <w:jc w:val="left"/>
              <w:rPr/>
            </w:pPr>
            <w:r>
              <w:rPr/>
              <w:t>  </w:t>
            </w:r>
          </w:p>
        </w:tc>
        <w:tc>
          <w:tcPr>
            <w:tcW w:w="478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60" w:type="dxa"/>
            <w:tcBorders/>
            <w:vAlign w:val="bottom"/>
          </w:tcPr>
          <w:p>
            <w:pPr>
              <w:pStyle w:val="TableContents"/>
              <w:bidi w:val="0"/>
              <w:spacing w:before="0" w:after="283"/>
              <w:jc w:val="left"/>
              <w:rPr/>
            </w:pPr>
            <w:r>
              <w:rPr/>
              <w:t> </w:t>
            </w:r>
          </w:p>
        </w:tc>
        <w:tc>
          <w:tcPr>
            <w:tcW w:w="178" w:type="dxa"/>
            <w:vMerge w:val="restart"/>
            <w:tcBorders/>
            <w:vAlign w:val="bottom"/>
          </w:tcPr>
          <w:p>
            <w:pPr>
              <w:pStyle w:val="TableContents"/>
              <w:bidi w:val="0"/>
              <w:spacing w:before="0" w:after="283"/>
              <w:jc w:val="left"/>
              <w:rPr/>
            </w:pPr>
            <w:r>
              <w:rPr/>
              <w:t>  </w:t>
            </w:r>
          </w:p>
        </w:tc>
        <w:tc>
          <w:tcPr>
            <w:tcW w:w="10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67" w:type="dxa"/>
            <w:vMerge w:val="restart"/>
            <w:tcBorders/>
            <w:vAlign w:val="bottom"/>
          </w:tcPr>
          <w:p>
            <w:pPr>
              <w:pStyle w:val="TableContents"/>
              <w:bidi w:val="0"/>
              <w:spacing w:before="0" w:after="283"/>
              <w:jc w:val="left"/>
              <w:rPr/>
            </w:pPr>
            <w:r>
              <w:rPr/>
              <w:t> </w:t>
            </w:r>
          </w:p>
        </w:tc>
      </w:tr>
      <w:tr>
        <w:trPr/>
        <w:tc>
          <w:tcPr>
            <w:tcW w:w="716" w:type="dxa"/>
            <w:vMerge w:val="continue"/>
            <w:tcBorders/>
            <w:vAlign w:val="bottom"/>
          </w:tcPr>
          <w:p>
            <w:pPr>
              <w:pStyle w:val="Normal"/>
              <w:bidi w:val="0"/>
              <w:jc w:val="left"/>
              <w:rPr/>
            </w:pPr>
            <w:r>
              <w:rPr/>
            </w:r>
          </w:p>
        </w:tc>
        <w:tc>
          <w:tcPr>
            <w:tcW w:w="178" w:type="dxa"/>
            <w:vMerge w:val="continue"/>
            <w:tcBorders/>
            <w:vAlign w:val="bottom"/>
          </w:tcPr>
          <w:p>
            <w:pPr>
              <w:pStyle w:val="Normal"/>
              <w:bidi w:val="0"/>
              <w:jc w:val="left"/>
              <w:rPr/>
            </w:pPr>
            <w:r>
              <w:rPr/>
            </w:r>
          </w:p>
        </w:tc>
        <w:tc>
          <w:tcPr>
            <w:tcW w:w="3011" w:type="dxa"/>
            <w:vMerge w:val="continue"/>
            <w:tcBorders>
              <w:bottom w:val="single" w:sz="8" w:space="0" w:color="000000"/>
            </w:tcBorders>
            <w:tcMar>
              <w:bottom w:w="28" w:type="dxa"/>
            </w:tcMar>
            <w:vAlign w:val="bottom"/>
          </w:tcPr>
          <w:p>
            <w:pPr>
              <w:pStyle w:val="Normal"/>
              <w:bidi w:val="0"/>
              <w:jc w:val="left"/>
              <w:rPr/>
            </w:pPr>
            <w:r>
              <w:rPr/>
            </w:r>
          </w:p>
        </w:tc>
        <w:tc>
          <w:tcPr>
            <w:tcW w:w="178" w:type="dxa"/>
            <w:tcBorders/>
            <w:vAlign w:val="bottom"/>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0" w:type="dxa"/>
            <w:tcBorders/>
            <w:vAlign w:val="bottom"/>
          </w:tcPr>
          <w:p>
            <w:pPr>
              <w:pStyle w:val="TableContents"/>
              <w:bidi w:val="0"/>
              <w:spacing w:before="0" w:after="283"/>
              <w:jc w:val="left"/>
              <w:rPr/>
            </w:pPr>
            <w:r>
              <w:rPr/>
              <w:t> </w:t>
            </w:r>
          </w:p>
        </w:tc>
        <w:tc>
          <w:tcPr>
            <w:tcW w:w="178" w:type="dxa"/>
            <w:vMerge w:val="continue"/>
            <w:tcBorders/>
            <w:vAlign w:val="bottom"/>
          </w:tcPr>
          <w:p>
            <w:pPr>
              <w:pStyle w:val="Normal"/>
              <w:bidi w:val="0"/>
              <w:jc w:val="left"/>
              <w:rPr/>
            </w:pPr>
            <w:r>
              <w:rPr/>
            </w:r>
          </w:p>
        </w:tc>
        <w:tc>
          <w:tcPr>
            <w:tcW w:w="1030" w:type="dxa"/>
            <w:gridSpan w:val="2"/>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1.1*</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r>
              <w:rPr/>
              <w:t>Form of Underwriting Agreement.</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3.1</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r:id="rId13">
              <w:r>
                <w:rPr>
                  <w:rStyle w:val="InternetLink"/>
                </w:rPr>
                <w:t>Articles of Continuance of Repare Therapeutics Inc.</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001-39335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pPr>
            <w:r>
              <w:rPr/>
              <w:t>June 23, 2020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3.2</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r:id="rId14">
              <w:r>
                <w:rPr>
                  <w:rStyle w:val="InternetLink"/>
                </w:rPr>
                <w:t>Amended and Restated Bylaws of Repare Therapeutics Inc.</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001-39335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pPr>
            <w:r>
              <w:rPr/>
              <w:t>June 23, 2020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4.1</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r:id="rId15">
              <w:r>
                <w:rPr>
                  <w:rStyle w:val="InternetLink"/>
                </w:rPr>
                <w:t>Form of Common Share Certificate of the registrant.</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333-238822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pPr>
            <w:r>
              <w:rPr/>
              <w:t>June 15, 2020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4.2*</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r>
              <w:rPr/>
              <w:t>Specimen Preferred Share Certificate and Form of Certificate of Designation of Preferred Shares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4.3</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r:id="rId16">
              <w:r>
                <w:rPr>
                  <w:rStyle w:val="InternetLink"/>
                </w:rPr>
                <w:t>Amended and Restated Registration Rights Agreement, by and among the registrant and certain of its shareholders, dated September  3, 2019.</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S-1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333-238822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pPr>
            <w:r>
              <w:rPr/>
              <w:t>May 29, 2020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4.4</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r:id="rId17">
              <w:r>
                <w:rPr>
                  <w:rStyle w:val="InternetLink"/>
                </w:rPr>
                <w:t>Description of Registrants Securities.</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10-K</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001-39335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pPr>
            <w:r>
              <w:rPr/>
              <w:t>March 4, 2021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4.5</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45.htm">
              <w:r>
                <w:rPr>
                  <w:rStyle w:val="InternetLink"/>
                </w:rPr>
                <w:t xml:space="preserve">Form of Indenture between the Registrant and one or more trustees to be named.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4.6*</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r>
              <w:rPr/>
              <w:t>Form of Debt Securities.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4.7</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47.htm">
              <w:r>
                <w:rPr>
                  <w:rStyle w:val="InternetLink"/>
                </w:rPr>
                <w:t xml:space="preserve">Form of Common Share Warrant Agreement and Warrant Certificate.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4.8</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48.htm">
              <w:r>
                <w:rPr>
                  <w:rStyle w:val="InternetLink"/>
                </w:rPr>
                <w:t xml:space="preserve">Form of Preferred Share Warrant Agreement and Warrant Certificate.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4.9</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49.htm">
              <w:r>
                <w:rPr>
                  <w:rStyle w:val="InternetLink"/>
                </w:rPr>
                <w:t xml:space="preserve">Form of Debt Securities Warrant Agreement and Warrant Certificate.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5.1</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51.htm">
              <w:r>
                <w:rPr>
                  <w:rStyle w:val="InternetLink"/>
                </w:rPr>
                <w:t xml:space="preserve">Opinion of Stikeman Elliott LLP.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 </w:t>
            </w:r>
            <w:r>
              <w:rPr/>
              <w:t>5.2</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52.htm">
              <w:r>
                <w:rPr>
                  <w:rStyle w:val="InternetLink"/>
                </w:rPr>
                <w:t xml:space="preserve">Opinion of Cooley LLP.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23.1</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231.htm">
              <w:r>
                <w:rPr>
                  <w:rStyle w:val="InternetLink"/>
                </w:rPr>
                <w:t xml:space="preserve">Consent of Ernst &amp; Young LLP, independent registered public accounting firm.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23.2</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51.htm">
              <w:r>
                <w:rPr>
                  <w:rStyle w:val="InternetLink"/>
                </w:rPr>
                <w:t xml:space="preserve">Consent of Stikeman Elliott LLP (included in Exhibit 5.1).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23.3</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52.htm">
              <w:r>
                <w:rPr>
                  <w:rStyle w:val="InternetLink"/>
                </w:rPr>
                <w:t xml:space="preserve">Consent of Cooley LLP (included in Exhibit 5.2).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24.1</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sig">
              <w:r>
                <w:rPr>
                  <w:rStyle w:val="InternetLink"/>
                </w:rPr>
                <w:t xml:space="preserve">Power of Attorney (included on signature page).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25.1**</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r>
              <w:rPr/>
              <w:t>Statement of Eligibility of Trustee under the Indenture.</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16"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107</w:t>
            </w:r>
          </w:p>
        </w:tc>
        <w:tc>
          <w:tcPr>
            <w:tcW w:w="178" w:type="dxa"/>
            <w:tcBorders/>
            <w:vAlign w:val="bottom"/>
          </w:tcPr>
          <w:p>
            <w:pPr>
              <w:pStyle w:val="TableContents"/>
              <w:bidi w:val="0"/>
              <w:spacing w:before="0" w:after="283"/>
              <w:jc w:val="left"/>
              <w:rPr/>
            </w:pPr>
            <w:r>
              <w:rPr/>
              <w:t>  </w:t>
            </w:r>
          </w:p>
        </w:tc>
        <w:tc>
          <w:tcPr>
            <w:tcW w:w="3011" w:type="dxa"/>
            <w:tcBorders/>
          </w:tcPr>
          <w:p>
            <w:pPr>
              <w:pStyle w:val="TableContents"/>
              <w:bidi w:val="0"/>
              <w:spacing w:before="0" w:after="283"/>
              <w:jc w:val="left"/>
              <w:rPr/>
            </w:pPr>
            <w:hyperlink w:anchor="d879175dexfilingfees.htm">
              <w:r>
                <w:rPr>
                  <w:rStyle w:val="InternetLink"/>
                </w:rPr>
                <w:t xml:space="preserve">Filing fee table </w:t>
              </w:r>
            </w:hyperlink>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X</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applicable, by amendment or by a report filed under the Exchange Act and incorporated herein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applicable, in accordance with the requirements of Section 305(b)(2) of the Trust Indenture Act of 1939 and Rule 5b-3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(1)(i), (1)(ii) and (1)(iii)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are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That for purposes of determining any liability under the Securities Act of 1933,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(8)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ig"/>
      <w:bookmarkEnd w:id="1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Montréal, Province of Québec, Canada, on August 6,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REPARE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Lloyd M. Segal</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Lloyd M. Segal</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Lloyd M. Segal and Steve Forte, and each of them, as his or her true and lawful attorney-in-fact and agent, with the full power of substitution and resubstitution, for him or her and in his or her name, place or stead, in any and all capacities, to sign any and all amendments to this Registration Statement (including post-effective amendments) to this Registration Statement (or any other registration statement for the same offering that is to be effective upon filing pursuant to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on Form S-3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1"/>
        <w:gridCol w:w="120"/>
        <w:gridCol w:w="3508"/>
        <w:gridCol w:w="201"/>
        <w:gridCol w:w="1925"/>
      </w:tblGrid>
      <w:tr>
        <w:trPr/>
        <w:tc>
          <w:tcPr>
            <w:tcW w:w="44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44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51" w:type="dxa"/>
            <w:tcBorders/>
            <w:vAlign w:val="center"/>
          </w:tcPr>
          <w:p>
            <w:pPr>
              <w:pStyle w:val="TableContents"/>
              <w:bidi w:val="0"/>
              <w:spacing w:before="0" w:after="283"/>
              <w:jc w:val="left"/>
              <w:rPr>
                <w:sz w:val="4"/>
                <w:szCs w:val="4"/>
              </w:rPr>
            </w:pPr>
            <w:r>
              <w:rPr>
                <w:sz w:val="4"/>
                <w:szCs w:val="4"/>
              </w:rPr>
            </w:r>
          </w:p>
        </w:tc>
        <w:tc>
          <w:tcPr>
            <w:tcW w:w="3628" w:type="dxa"/>
            <w:gridSpan w:val="2"/>
            <w:tcBorders/>
            <w:vAlign w:val="center"/>
          </w:tcPr>
          <w:p>
            <w:pPr>
              <w:pStyle w:val="TableContents"/>
              <w:bidi w:val="0"/>
              <w:spacing w:before="0" w:after="283"/>
              <w:jc w:val="left"/>
              <w:rPr>
                <w:sz w:val="4"/>
                <w:szCs w:val="4"/>
              </w:rPr>
            </w:pPr>
            <w:r>
              <w:rPr>
                <w:sz w:val="4"/>
                <w:szCs w:val="4"/>
              </w:rPr>
            </w:r>
          </w:p>
        </w:tc>
        <w:tc>
          <w:tcPr>
            <w:tcW w:w="2126" w:type="dxa"/>
            <w:gridSpan w:val="2"/>
            <w:tcBorders/>
            <w:vAlign w:val="center"/>
          </w:tcPr>
          <w:p>
            <w:pPr>
              <w:pStyle w:val="TableContents"/>
              <w:bidi w:val="0"/>
              <w:spacing w:before="0" w:after="283"/>
              <w:jc w:val="left"/>
              <w:rPr>
                <w:sz w:val="4"/>
                <w:szCs w:val="4"/>
              </w:rPr>
            </w:pPr>
            <w:r>
              <w:rPr>
                <w:sz w:val="4"/>
                <w:szCs w:val="4"/>
              </w:rPr>
            </w:r>
          </w:p>
        </w:tc>
      </w:tr>
      <w:tr>
        <w:trPr/>
        <w:tc>
          <w:tcPr>
            <w:tcW w:w="44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Lloyd M. Segal</w:t>
            </w:r>
          </w:p>
          <w:p>
            <w:pPr>
              <w:pStyle w:val="TableContents"/>
              <w:bidi w:val="0"/>
              <w:spacing w:before="0" w:after="20"/>
              <w:jc w:val="left"/>
              <w:rPr>
                <w:rFonts w:ascii="Times New Roman" w:hAnsi="Times New Roman"/>
                <w:sz w:val="20"/>
              </w:rPr>
            </w:pPr>
            <w:r>
              <w:rPr>
                <w:rFonts w:ascii="Times New Roman" w:hAnsi="Times New Roman"/>
                <w:sz w:val="20"/>
              </w:rPr>
              <w:t>Lloyd M. Segal</w:t>
            </w:r>
          </w:p>
        </w:tc>
        <w:tc>
          <w:tcPr>
            <w:tcW w:w="120" w:type="dxa"/>
            <w:tcBorders/>
            <w:vAlign w:val="bottom"/>
          </w:tcPr>
          <w:p>
            <w:pPr>
              <w:pStyle w:val="TableContents"/>
              <w:bidi w:val="0"/>
              <w:spacing w:before="0" w:after="283"/>
              <w:jc w:val="left"/>
              <w:rPr/>
            </w:pPr>
            <w:r>
              <w:rPr/>
              <w:t>  </w:t>
            </w:r>
          </w:p>
        </w:tc>
        <w:tc>
          <w:tcPr>
            <w:tcW w:w="3508"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201"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August 6, 2024</w:t>
            </w:r>
          </w:p>
        </w:tc>
      </w:tr>
      <w:tr>
        <w:trPr>
          <w:trHeight w:val="240" w:hRule="atLeast"/>
        </w:trPr>
        <w:tc>
          <w:tcPr>
            <w:tcW w:w="4451" w:type="dxa"/>
            <w:tcBorders/>
            <w:vAlign w:val="center"/>
          </w:tcPr>
          <w:p>
            <w:pPr>
              <w:pStyle w:val="TableContents"/>
              <w:bidi w:val="0"/>
              <w:spacing w:before="0" w:after="283"/>
              <w:jc w:val="left"/>
              <w:rPr>
                <w:sz w:val="4"/>
                <w:szCs w:val="4"/>
              </w:rPr>
            </w:pPr>
            <w:r>
              <w:rPr>
                <w:sz w:val="4"/>
                <w:szCs w:val="4"/>
              </w:rPr>
            </w:r>
          </w:p>
        </w:tc>
        <w:tc>
          <w:tcPr>
            <w:tcW w:w="3628" w:type="dxa"/>
            <w:gridSpan w:val="2"/>
            <w:tcBorders/>
            <w:vAlign w:val="center"/>
          </w:tcPr>
          <w:p>
            <w:pPr>
              <w:pStyle w:val="TableContents"/>
              <w:bidi w:val="0"/>
              <w:spacing w:before="0" w:after="283"/>
              <w:jc w:val="left"/>
              <w:rPr>
                <w:sz w:val="4"/>
                <w:szCs w:val="4"/>
              </w:rPr>
            </w:pPr>
            <w:r>
              <w:rPr>
                <w:sz w:val="4"/>
                <w:szCs w:val="4"/>
              </w:rPr>
            </w:r>
          </w:p>
        </w:tc>
        <w:tc>
          <w:tcPr>
            <w:tcW w:w="2126" w:type="dxa"/>
            <w:gridSpan w:val="2"/>
            <w:tcBorders/>
            <w:vAlign w:val="center"/>
          </w:tcPr>
          <w:p>
            <w:pPr>
              <w:pStyle w:val="TableContents"/>
              <w:bidi w:val="0"/>
              <w:spacing w:before="0" w:after="283"/>
              <w:jc w:val="left"/>
              <w:rPr>
                <w:sz w:val="4"/>
                <w:szCs w:val="4"/>
              </w:rPr>
            </w:pPr>
            <w:r>
              <w:rPr>
                <w:sz w:val="4"/>
                <w:szCs w:val="4"/>
              </w:rPr>
            </w:r>
          </w:p>
        </w:tc>
      </w:tr>
      <w:tr>
        <w:trPr/>
        <w:tc>
          <w:tcPr>
            <w:tcW w:w="44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Forte</w:t>
            </w:r>
          </w:p>
          <w:p>
            <w:pPr>
              <w:pStyle w:val="TableContents"/>
              <w:bidi w:val="0"/>
              <w:spacing w:before="0" w:after="20"/>
              <w:jc w:val="left"/>
              <w:rPr>
                <w:rFonts w:ascii="Times New Roman" w:hAnsi="Times New Roman"/>
                <w:sz w:val="20"/>
              </w:rPr>
            </w:pPr>
            <w:r>
              <w:rPr>
                <w:rFonts w:ascii="Times New Roman" w:hAnsi="Times New Roman"/>
                <w:sz w:val="20"/>
              </w:rPr>
              <w:t>Steve Forte</w:t>
            </w:r>
          </w:p>
        </w:tc>
        <w:tc>
          <w:tcPr>
            <w:tcW w:w="120" w:type="dxa"/>
            <w:tcBorders/>
            <w:vAlign w:val="bottom"/>
          </w:tcPr>
          <w:p>
            <w:pPr>
              <w:pStyle w:val="TableContents"/>
              <w:bidi w:val="0"/>
              <w:spacing w:before="0" w:after="283"/>
              <w:jc w:val="left"/>
              <w:rPr/>
            </w:pPr>
            <w:r>
              <w:rPr/>
              <w:t>  </w:t>
            </w:r>
          </w:p>
        </w:tc>
        <w:tc>
          <w:tcPr>
            <w:tcW w:w="3508"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c>
          <w:tcPr>
            <w:tcW w:w="201"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August 6, 2024</w:t>
            </w:r>
          </w:p>
        </w:tc>
      </w:tr>
      <w:tr>
        <w:trPr>
          <w:trHeight w:val="240" w:hRule="atLeast"/>
        </w:trPr>
        <w:tc>
          <w:tcPr>
            <w:tcW w:w="4451" w:type="dxa"/>
            <w:tcBorders/>
            <w:vAlign w:val="center"/>
          </w:tcPr>
          <w:p>
            <w:pPr>
              <w:pStyle w:val="TableContents"/>
              <w:bidi w:val="0"/>
              <w:spacing w:before="0" w:after="283"/>
              <w:jc w:val="left"/>
              <w:rPr>
                <w:sz w:val="4"/>
                <w:szCs w:val="4"/>
              </w:rPr>
            </w:pPr>
            <w:r>
              <w:rPr>
                <w:sz w:val="4"/>
                <w:szCs w:val="4"/>
              </w:rPr>
            </w:r>
          </w:p>
        </w:tc>
        <w:tc>
          <w:tcPr>
            <w:tcW w:w="3628" w:type="dxa"/>
            <w:gridSpan w:val="2"/>
            <w:tcBorders/>
            <w:vAlign w:val="center"/>
          </w:tcPr>
          <w:p>
            <w:pPr>
              <w:pStyle w:val="TableContents"/>
              <w:bidi w:val="0"/>
              <w:spacing w:before="0" w:after="283"/>
              <w:jc w:val="left"/>
              <w:rPr>
                <w:sz w:val="4"/>
                <w:szCs w:val="4"/>
              </w:rPr>
            </w:pPr>
            <w:r>
              <w:rPr>
                <w:sz w:val="4"/>
                <w:szCs w:val="4"/>
              </w:rPr>
            </w:r>
          </w:p>
        </w:tc>
        <w:tc>
          <w:tcPr>
            <w:tcW w:w="2126" w:type="dxa"/>
            <w:gridSpan w:val="2"/>
            <w:tcBorders/>
            <w:vAlign w:val="center"/>
          </w:tcPr>
          <w:p>
            <w:pPr>
              <w:pStyle w:val="TableContents"/>
              <w:bidi w:val="0"/>
              <w:spacing w:before="0" w:after="283"/>
              <w:jc w:val="left"/>
              <w:rPr>
                <w:sz w:val="4"/>
                <w:szCs w:val="4"/>
              </w:rPr>
            </w:pPr>
            <w:r>
              <w:rPr>
                <w:sz w:val="4"/>
                <w:szCs w:val="4"/>
              </w:rPr>
            </w:r>
          </w:p>
        </w:tc>
      </w:tr>
      <w:tr>
        <w:trPr/>
        <w:tc>
          <w:tcPr>
            <w:tcW w:w="44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Civik</w:t>
            </w:r>
          </w:p>
          <w:p>
            <w:pPr>
              <w:pStyle w:val="TableContents"/>
              <w:bidi w:val="0"/>
              <w:spacing w:before="0" w:after="20"/>
              <w:jc w:val="left"/>
              <w:rPr>
                <w:rFonts w:ascii="Times New Roman" w:hAnsi="Times New Roman"/>
                <w:sz w:val="20"/>
              </w:rPr>
            </w:pPr>
            <w:r>
              <w:rPr>
                <w:rFonts w:ascii="Times New Roman" w:hAnsi="Times New Roman"/>
                <w:sz w:val="20"/>
              </w:rPr>
              <w:t>Thomas Civik</w:t>
            </w:r>
          </w:p>
        </w:tc>
        <w:tc>
          <w:tcPr>
            <w:tcW w:w="120" w:type="dxa"/>
            <w:tcBorders/>
            <w:vAlign w:val="bottom"/>
          </w:tcPr>
          <w:p>
            <w:pPr>
              <w:pStyle w:val="TableContents"/>
              <w:bidi w:val="0"/>
              <w:spacing w:before="0" w:after="283"/>
              <w:jc w:val="left"/>
              <w:rPr/>
            </w:pPr>
            <w:r>
              <w:rPr/>
              <w:t>  </w:t>
            </w:r>
          </w:p>
        </w:tc>
        <w:tc>
          <w:tcPr>
            <w:tcW w:w="3508" w:type="dxa"/>
            <w:tcBorders/>
          </w:tcPr>
          <w:p>
            <w:pPr>
              <w:pStyle w:val="TableContents"/>
              <w:bidi w:val="0"/>
              <w:spacing w:before="0" w:after="283"/>
              <w:jc w:val="center"/>
              <w:rPr/>
            </w:pPr>
            <w:r>
              <w:rPr/>
              <w:t>Chairman of the Board of Directors</w:t>
            </w:r>
          </w:p>
        </w:tc>
        <w:tc>
          <w:tcPr>
            <w:tcW w:w="201"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August 6, 2024</w:t>
            </w:r>
          </w:p>
        </w:tc>
      </w:tr>
      <w:tr>
        <w:trPr>
          <w:trHeight w:val="240" w:hRule="atLeast"/>
        </w:trPr>
        <w:tc>
          <w:tcPr>
            <w:tcW w:w="4451" w:type="dxa"/>
            <w:tcBorders/>
            <w:vAlign w:val="center"/>
          </w:tcPr>
          <w:p>
            <w:pPr>
              <w:pStyle w:val="TableContents"/>
              <w:bidi w:val="0"/>
              <w:spacing w:before="0" w:after="283"/>
              <w:jc w:val="left"/>
              <w:rPr>
                <w:sz w:val="4"/>
                <w:szCs w:val="4"/>
              </w:rPr>
            </w:pPr>
            <w:r>
              <w:rPr>
                <w:sz w:val="4"/>
                <w:szCs w:val="4"/>
              </w:rPr>
            </w:r>
          </w:p>
        </w:tc>
        <w:tc>
          <w:tcPr>
            <w:tcW w:w="3628" w:type="dxa"/>
            <w:gridSpan w:val="2"/>
            <w:tcBorders/>
            <w:vAlign w:val="center"/>
          </w:tcPr>
          <w:p>
            <w:pPr>
              <w:pStyle w:val="TableContents"/>
              <w:bidi w:val="0"/>
              <w:spacing w:before="0" w:after="283"/>
              <w:jc w:val="left"/>
              <w:rPr>
                <w:sz w:val="4"/>
                <w:szCs w:val="4"/>
              </w:rPr>
            </w:pPr>
            <w:r>
              <w:rPr>
                <w:sz w:val="4"/>
                <w:szCs w:val="4"/>
              </w:rPr>
            </w:r>
          </w:p>
        </w:tc>
        <w:tc>
          <w:tcPr>
            <w:tcW w:w="2126" w:type="dxa"/>
            <w:gridSpan w:val="2"/>
            <w:tcBorders/>
            <w:vAlign w:val="center"/>
          </w:tcPr>
          <w:p>
            <w:pPr>
              <w:pStyle w:val="TableContents"/>
              <w:bidi w:val="0"/>
              <w:spacing w:before="0" w:after="283"/>
              <w:jc w:val="left"/>
              <w:rPr>
                <w:sz w:val="4"/>
                <w:szCs w:val="4"/>
              </w:rPr>
            </w:pPr>
            <w:r>
              <w:rPr>
                <w:sz w:val="4"/>
                <w:szCs w:val="4"/>
              </w:rPr>
            </w:r>
          </w:p>
        </w:tc>
      </w:tr>
      <w:tr>
        <w:trPr/>
        <w:tc>
          <w:tcPr>
            <w:tcW w:w="44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Bonita, M.D.</w:t>
            </w:r>
          </w:p>
          <w:p>
            <w:pPr>
              <w:pStyle w:val="TableContents"/>
              <w:bidi w:val="0"/>
              <w:spacing w:before="0" w:after="20"/>
              <w:jc w:val="left"/>
              <w:rPr>
                <w:rFonts w:ascii="Times New Roman" w:hAnsi="Times New Roman"/>
                <w:sz w:val="20"/>
              </w:rPr>
            </w:pPr>
            <w:r>
              <w:rPr>
                <w:rFonts w:ascii="Times New Roman" w:hAnsi="Times New Roman"/>
                <w:sz w:val="20"/>
              </w:rPr>
              <w:t>David Bonita, M.D.</w:t>
            </w:r>
          </w:p>
        </w:tc>
        <w:tc>
          <w:tcPr>
            <w:tcW w:w="120" w:type="dxa"/>
            <w:tcBorders/>
            <w:vAlign w:val="bottom"/>
          </w:tcPr>
          <w:p>
            <w:pPr>
              <w:pStyle w:val="TableContents"/>
              <w:bidi w:val="0"/>
              <w:spacing w:before="0" w:after="283"/>
              <w:jc w:val="left"/>
              <w:rPr/>
            </w:pPr>
            <w:r>
              <w:rPr/>
              <w:t>  </w:t>
            </w:r>
          </w:p>
        </w:tc>
        <w:tc>
          <w:tcPr>
            <w:tcW w:w="3508"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August 6, 2024</w:t>
            </w:r>
          </w:p>
        </w:tc>
      </w:tr>
      <w:tr>
        <w:trPr>
          <w:trHeight w:val="240" w:hRule="atLeast"/>
        </w:trPr>
        <w:tc>
          <w:tcPr>
            <w:tcW w:w="4451" w:type="dxa"/>
            <w:tcBorders/>
            <w:vAlign w:val="center"/>
          </w:tcPr>
          <w:p>
            <w:pPr>
              <w:pStyle w:val="TableContents"/>
              <w:bidi w:val="0"/>
              <w:spacing w:before="0" w:after="283"/>
              <w:jc w:val="left"/>
              <w:rPr>
                <w:sz w:val="4"/>
                <w:szCs w:val="4"/>
              </w:rPr>
            </w:pPr>
            <w:r>
              <w:rPr>
                <w:sz w:val="4"/>
                <w:szCs w:val="4"/>
              </w:rPr>
            </w:r>
          </w:p>
        </w:tc>
        <w:tc>
          <w:tcPr>
            <w:tcW w:w="3628" w:type="dxa"/>
            <w:gridSpan w:val="2"/>
            <w:tcBorders/>
            <w:vAlign w:val="center"/>
          </w:tcPr>
          <w:p>
            <w:pPr>
              <w:pStyle w:val="TableContents"/>
              <w:bidi w:val="0"/>
              <w:spacing w:before="0" w:after="283"/>
              <w:jc w:val="left"/>
              <w:rPr>
                <w:sz w:val="4"/>
                <w:szCs w:val="4"/>
              </w:rPr>
            </w:pPr>
            <w:r>
              <w:rPr>
                <w:sz w:val="4"/>
                <w:szCs w:val="4"/>
              </w:rPr>
            </w:r>
          </w:p>
        </w:tc>
        <w:tc>
          <w:tcPr>
            <w:tcW w:w="2126" w:type="dxa"/>
            <w:gridSpan w:val="2"/>
            <w:tcBorders/>
            <w:vAlign w:val="center"/>
          </w:tcPr>
          <w:p>
            <w:pPr>
              <w:pStyle w:val="TableContents"/>
              <w:bidi w:val="0"/>
              <w:spacing w:before="0" w:after="283"/>
              <w:jc w:val="left"/>
              <w:rPr>
                <w:sz w:val="4"/>
                <w:szCs w:val="4"/>
              </w:rPr>
            </w:pPr>
            <w:r>
              <w:rPr>
                <w:sz w:val="4"/>
                <w:szCs w:val="4"/>
              </w:rPr>
            </w:r>
          </w:p>
        </w:tc>
      </w:tr>
      <w:tr>
        <w:trPr/>
        <w:tc>
          <w:tcPr>
            <w:tcW w:w="44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Samarth Kulkarni, Ph.D.</w:t>
            </w:r>
          </w:p>
          <w:p>
            <w:pPr>
              <w:pStyle w:val="TableContents"/>
              <w:bidi w:val="0"/>
              <w:spacing w:before="0" w:after="20"/>
              <w:jc w:val="left"/>
              <w:rPr>
                <w:rFonts w:ascii="Times New Roman" w:hAnsi="Times New Roman"/>
                <w:sz w:val="20"/>
              </w:rPr>
            </w:pPr>
            <w:r>
              <w:rPr>
                <w:rFonts w:ascii="Times New Roman" w:hAnsi="Times New Roman"/>
                <w:sz w:val="20"/>
              </w:rPr>
              <w:t>Samarth Kulkarni, Ph.D.</w:t>
            </w:r>
          </w:p>
        </w:tc>
        <w:tc>
          <w:tcPr>
            <w:tcW w:w="120" w:type="dxa"/>
            <w:tcBorders/>
            <w:vAlign w:val="bottom"/>
          </w:tcPr>
          <w:p>
            <w:pPr>
              <w:pStyle w:val="TableContents"/>
              <w:bidi w:val="0"/>
              <w:spacing w:before="0" w:after="283"/>
              <w:jc w:val="left"/>
              <w:rPr/>
            </w:pPr>
            <w:r>
              <w:rPr/>
              <w:t>  </w:t>
            </w:r>
          </w:p>
        </w:tc>
        <w:tc>
          <w:tcPr>
            <w:tcW w:w="3508"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August 6, 2024</w:t>
            </w:r>
          </w:p>
        </w:tc>
      </w:tr>
      <w:tr>
        <w:trPr>
          <w:trHeight w:val="240" w:hRule="atLeast"/>
        </w:trPr>
        <w:tc>
          <w:tcPr>
            <w:tcW w:w="4451" w:type="dxa"/>
            <w:tcBorders/>
            <w:vAlign w:val="center"/>
          </w:tcPr>
          <w:p>
            <w:pPr>
              <w:pStyle w:val="TableContents"/>
              <w:bidi w:val="0"/>
              <w:spacing w:before="0" w:after="283"/>
              <w:jc w:val="left"/>
              <w:rPr>
                <w:sz w:val="4"/>
                <w:szCs w:val="4"/>
              </w:rPr>
            </w:pPr>
            <w:r>
              <w:rPr>
                <w:sz w:val="4"/>
                <w:szCs w:val="4"/>
              </w:rPr>
            </w:r>
          </w:p>
        </w:tc>
        <w:tc>
          <w:tcPr>
            <w:tcW w:w="3628" w:type="dxa"/>
            <w:gridSpan w:val="2"/>
            <w:tcBorders/>
            <w:vAlign w:val="center"/>
          </w:tcPr>
          <w:p>
            <w:pPr>
              <w:pStyle w:val="TableContents"/>
              <w:bidi w:val="0"/>
              <w:spacing w:before="0" w:after="283"/>
              <w:jc w:val="left"/>
              <w:rPr>
                <w:sz w:val="4"/>
                <w:szCs w:val="4"/>
              </w:rPr>
            </w:pPr>
            <w:r>
              <w:rPr>
                <w:sz w:val="4"/>
                <w:szCs w:val="4"/>
              </w:rPr>
            </w:r>
          </w:p>
        </w:tc>
        <w:tc>
          <w:tcPr>
            <w:tcW w:w="2126" w:type="dxa"/>
            <w:gridSpan w:val="2"/>
            <w:tcBorders/>
            <w:vAlign w:val="center"/>
          </w:tcPr>
          <w:p>
            <w:pPr>
              <w:pStyle w:val="TableContents"/>
              <w:bidi w:val="0"/>
              <w:spacing w:before="0" w:after="283"/>
              <w:jc w:val="left"/>
              <w:rPr>
                <w:sz w:val="4"/>
                <w:szCs w:val="4"/>
              </w:rPr>
            </w:pPr>
            <w:r>
              <w:rPr>
                <w:sz w:val="4"/>
                <w:szCs w:val="4"/>
              </w:rPr>
            </w:r>
          </w:p>
        </w:tc>
      </w:tr>
      <w:tr>
        <w:trPr/>
        <w:tc>
          <w:tcPr>
            <w:tcW w:w="445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Susan Molineaux, Ph.D.</w:t>
            </w:r>
          </w:p>
          <w:p>
            <w:pPr>
              <w:pStyle w:val="TableContents"/>
              <w:bidi w:val="0"/>
              <w:spacing w:before="0" w:after="20"/>
              <w:jc w:val="left"/>
              <w:rPr>
                <w:rFonts w:ascii="Times New Roman" w:hAnsi="Times New Roman"/>
                <w:sz w:val="20"/>
              </w:rPr>
            </w:pPr>
            <w:r>
              <w:rPr>
                <w:rFonts w:ascii="Times New Roman" w:hAnsi="Times New Roman"/>
                <w:sz w:val="20"/>
              </w:rPr>
              <w:t>Susan Molineaux, Ph.D.</w:t>
            </w:r>
          </w:p>
        </w:tc>
        <w:tc>
          <w:tcPr>
            <w:tcW w:w="120" w:type="dxa"/>
            <w:tcBorders/>
            <w:vAlign w:val="bottom"/>
          </w:tcPr>
          <w:p>
            <w:pPr>
              <w:pStyle w:val="TableContents"/>
              <w:bidi w:val="0"/>
              <w:spacing w:before="0" w:after="283"/>
              <w:jc w:val="left"/>
              <w:rPr/>
            </w:pPr>
            <w:r>
              <w:rPr/>
              <w:t>  </w:t>
            </w:r>
          </w:p>
        </w:tc>
        <w:tc>
          <w:tcPr>
            <w:tcW w:w="3508"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August 6,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28"/>
        <w:gridCol w:w="121"/>
        <w:gridCol w:w="3499"/>
        <w:gridCol w:w="202"/>
        <w:gridCol w:w="1955"/>
      </w:tblGrid>
      <w:tr>
        <w:trPr/>
        <w:tc>
          <w:tcPr>
            <w:tcW w:w="44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44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34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9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c>
          <w:tcPr>
            <w:tcW w:w="215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Ann D. Rhoads</w:t>
            </w:r>
          </w:p>
          <w:p>
            <w:pPr>
              <w:pStyle w:val="TableContents"/>
              <w:bidi w:val="0"/>
              <w:spacing w:before="0" w:after="20"/>
              <w:jc w:val="left"/>
              <w:rPr>
                <w:rFonts w:ascii="Times New Roman" w:hAnsi="Times New Roman"/>
                <w:sz w:val="20"/>
              </w:rPr>
            </w:pPr>
            <w:r>
              <w:rPr>
                <w:rFonts w:ascii="Times New Roman" w:hAnsi="Times New Roman"/>
                <w:sz w:val="20"/>
              </w:rPr>
              <w:t>Ann D. Rhoads</w:t>
            </w:r>
          </w:p>
        </w:tc>
        <w:tc>
          <w:tcPr>
            <w:tcW w:w="121" w:type="dxa"/>
            <w:tcBorders/>
            <w:vAlign w:val="bottom"/>
          </w:tcPr>
          <w:p>
            <w:pPr>
              <w:pStyle w:val="TableContents"/>
              <w:bidi w:val="0"/>
              <w:spacing w:before="0" w:after="283"/>
              <w:jc w:val="left"/>
              <w:rPr/>
            </w:pPr>
            <w:r>
              <w:rPr/>
              <w:t>  </w:t>
            </w:r>
          </w:p>
        </w:tc>
        <w:tc>
          <w:tcPr>
            <w:tcW w:w="3499"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August 6, 2024</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c>
          <w:tcPr>
            <w:tcW w:w="215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Carol A. Schafer</w:t>
            </w:r>
          </w:p>
          <w:p>
            <w:pPr>
              <w:pStyle w:val="TableContents"/>
              <w:bidi w:val="0"/>
              <w:spacing w:before="0" w:after="20"/>
              <w:jc w:val="left"/>
              <w:rPr>
                <w:rFonts w:ascii="Times New Roman" w:hAnsi="Times New Roman"/>
                <w:sz w:val="20"/>
              </w:rPr>
            </w:pPr>
            <w:r>
              <w:rPr>
                <w:rFonts w:ascii="Times New Roman" w:hAnsi="Times New Roman"/>
                <w:sz w:val="20"/>
              </w:rPr>
              <w:t>Carol A. Schafer</w:t>
            </w:r>
          </w:p>
        </w:tc>
        <w:tc>
          <w:tcPr>
            <w:tcW w:w="121" w:type="dxa"/>
            <w:tcBorders/>
            <w:vAlign w:val="bottom"/>
          </w:tcPr>
          <w:p>
            <w:pPr>
              <w:pStyle w:val="TableContents"/>
              <w:bidi w:val="0"/>
              <w:spacing w:before="0" w:after="283"/>
              <w:jc w:val="left"/>
              <w:rPr/>
            </w:pPr>
            <w:r>
              <w:rPr/>
              <w:t>  </w:t>
            </w:r>
          </w:p>
        </w:tc>
        <w:tc>
          <w:tcPr>
            <w:tcW w:w="3499"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August 6, 2024</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c>
          <w:tcPr>
            <w:tcW w:w="215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Steven H. Stein, M.D.</w:t>
            </w:r>
          </w:p>
          <w:p>
            <w:pPr>
              <w:pStyle w:val="TableContents"/>
              <w:bidi w:val="0"/>
              <w:spacing w:before="0" w:after="20"/>
              <w:jc w:val="left"/>
              <w:rPr>
                <w:rFonts w:ascii="Times New Roman" w:hAnsi="Times New Roman"/>
                <w:sz w:val="20"/>
              </w:rPr>
            </w:pPr>
            <w:r>
              <w:rPr>
                <w:rFonts w:ascii="Times New Roman" w:hAnsi="Times New Roman"/>
                <w:sz w:val="20"/>
              </w:rPr>
              <w:t>Steven H. Stein, M.D.</w:t>
            </w:r>
          </w:p>
        </w:tc>
        <w:tc>
          <w:tcPr>
            <w:tcW w:w="121" w:type="dxa"/>
            <w:tcBorders/>
            <w:vAlign w:val="bottom"/>
          </w:tcPr>
          <w:p>
            <w:pPr>
              <w:pStyle w:val="TableContents"/>
              <w:bidi w:val="0"/>
              <w:spacing w:before="0" w:after="283"/>
              <w:jc w:val="left"/>
              <w:rPr/>
            </w:pPr>
            <w:r>
              <w:rPr/>
              <w:t>  </w:t>
            </w:r>
          </w:p>
        </w:tc>
        <w:tc>
          <w:tcPr>
            <w:tcW w:w="3499"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August 6,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U.S. REPRESENTATIVE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the undersigned, the duly authorized representative in the United States of Repare Therapeutics Inc. has signed this Registration Statement on the August 6,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REPARE THERAPEUTICS USA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Lloyd M. Segal</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Lloyd M. Segal</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19" w:name="d879175dex45.htm"/>
      <w:bookmarkStart w:id="20" w:name="ksd879175dex45"/>
      <w:bookmarkEnd w:id="19"/>
      <w:bookmarkEnd w:id="20"/>
      <w:r>
        <w:rPr>
          <w:rFonts w:ascii="Times New Roman" w:hAnsi="Times New Roman"/>
          <w:b/>
          <w:sz w:val="20"/>
        </w:rPr>
        <w:t xml:space="preserve">Exhibit 4.5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REPARE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20__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9"/>
        <w:gridCol w:w="126"/>
        <w:gridCol w:w="7222"/>
        <w:gridCol w:w="178"/>
        <w:gridCol w:w="110"/>
        <w:gridCol w:w="487"/>
        <w:gridCol w:w="63"/>
      </w:tblGrid>
      <w:tr>
        <w:trPr/>
        <w:tc>
          <w:tcPr>
            <w:tcW w:w="201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22"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7" w:type="dxa"/>
            <w:gridSpan w:val="3"/>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97" w:type="dxa"/>
            <w:gridSpan w:val="2"/>
            <w:tcBorders/>
            <w:vAlign w:val="bottom"/>
          </w:tcPr>
          <w:p>
            <w:pPr>
              <w:pStyle w:val="TableContents"/>
              <w:bidi w:val="0"/>
              <w:spacing w:before="0" w:after="283"/>
              <w:jc w:val="center"/>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gridSpan w:val="3"/>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2019"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Definitions of Terms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gridSpan w:val="3"/>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2 ISSUE, DESCRIPTION, TERMS, EXECUTION, REGISTRATION AND EXCHANGE OF SECURITIES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2019"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and Terms of Securities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Form of Securities and Trustees Certificate</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Denominations: Provisions for Payment</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Authentications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of Transfer and Exchange</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Destroyed, Lost or Stolen Securities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Indenture</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Authenticating Agent</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Global Securities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gridSpan w:val="3"/>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3 REDEMPTION OF SECURITIES AND SINKING FUND PROVISIONS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2019"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Redemption</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Payment Upon Redemption</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Sinking Fund</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of Sinking Fund Payments with Securities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Securities for Sinking Fund</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gridSpan w:val="3"/>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4 COVENANTS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2019"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Premium and Interest</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20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6" w:type="dxa"/>
            <w:tcBorders/>
            <w:vAlign w:val="bottom"/>
          </w:tcPr>
          <w:p>
            <w:pPr>
              <w:pStyle w:val="TableContents"/>
              <w:bidi w:val="0"/>
              <w:spacing w:before="0" w:after="283"/>
              <w:jc w:val="left"/>
              <w:rPr/>
            </w:pPr>
            <w:r>
              <w:rPr/>
              <w:t> </w:t>
            </w:r>
          </w:p>
        </w:tc>
        <w:tc>
          <w:tcPr>
            <w:tcW w:w="7222"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to Fill Vacancy in Office of Trustee</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1"/>
        <w:gridCol w:w="126"/>
        <w:gridCol w:w="7229"/>
        <w:gridCol w:w="177"/>
        <w:gridCol w:w="110"/>
        <w:gridCol w:w="488"/>
        <w:gridCol w:w="64"/>
      </w:tblGrid>
      <w:tr>
        <w:trPr/>
        <w:tc>
          <w:tcPr>
            <w:tcW w:w="201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2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366" w:type="dxa"/>
            <w:gridSpan w:val="3"/>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98" w:type="dxa"/>
            <w:gridSpan w:val="2"/>
            <w:tcBorders/>
            <w:vAlign w:val="bottom"/>
          </w:tcPr>
          <w:p>
            <w:pPr>
              <w:pStyle w:val="TableContents"/>
              <w:bidi w:val="0"/>
              <w:spacing w:before="0" w:after="283"/>
              <w:jc w:val="center"/>
              <w:rPr>
                <w:b/>
              </w:rPr>
            </w:pPr>
            <w:r>
              <w:rPr>
                <w:b/>
              </w:rPr>
              <w:t>P</w:t>
            </w:r>
            <w:r>
              <w:rPr>
                <w:b/>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5 SECURITYHOLDERS LISTS AND REPORTS BY THE COMPANY AND THE TRUSTEE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2011" w:type="dxa"/>
            <w:tcBorders/>
            <w:vAlign w:val="center"/>
          </w:tcPr>
          <w:p>
            <w:pPr>
              <w:pStyle w:val="TableContents"/>
              <w:bidi w:val="0"/>
              <w:spacing w:before="0" w:after="283"/>
              <w:jc w:val="left"/>
              <w:rPr>
                <w:sz w:val="4"/>
                <w:szCs w:val="4"/>
              </w:rPr>
            </w:pPr>
            <w:r>
              <w:rPr>
                <w:sz w:val="4"/>
                <w:szCs w:val="4"/>
              </w:rPr>
            </w:r>
          </w:p>
        </w:tc>
        <w:tc>
          <w:tcPr>
            <w:tcW w:w="7355"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Company to Furnish Trustee Names and Addresses of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Preservation of Information; Communications With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Company</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Trustee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6 REMEDIES OF THE TRUSTEE AND SECURITYHOLDERS ON EVENT OF DEFAULT</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2011" w:type="dxa"/>
            <w:tcBorders/>
            <w:vAlign w:val="center"/>
          </w:tcPr>
          <w:p>
            <w:pPr>
              <w:pStyle w:val="TableContents"/>
              <w:bidi w:val="0"/>
              <w:spacing w:before="0" w:after="283"/>
              <w:jc w:val="left"/>
              <w:rPr>
                <w:sz w:val="4"/>
                <w:szCs w:val="4"/>
              </w:rPr>
            </w:pPr>
            <w:r>
              <w:rPr>
                <w:sz w:val="4"/>
                <w:szCs w:val="4"/>
              </w:rPr>
            </w:r>
          </w:p>
        </w:tc>
        <w:tc>
          <w:tcPr>
            <w:tcW w:w="7355"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Collection of Indebtedness and Suits for Enforcement by Trustee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Moneys Collected</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Rights and Remedies Cumulative; Delay or Omission Not Waiver</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Control by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to Pay Costs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2011" w:type="dxa"/>
            <w:tcBorders/>
            <w:vAlign w:val="center"/>
          </w:tcPr>
          <w:p>
            <w:pPr>
              <w:pStyle w:val="TableContents"/>
              <w:bidi w:val="0"/>
              <w:spacing w:before="0" w:after="283"/>
              <w:jc w:val="left"/>
              <w:rPr>
                <w:sz w:val="4"/>
                <w:szCs w:val="4"/>
              </w:rPr>
            </w:pPr>
            <w:r>
              <w:rPr>
                <w:sz w:val="4"/>
                <w:szCs w:val="4"/>
              </w:rPr>
            </w:r>
          </w:p>
        </w:tc>
        <w:tc>
          <w:tcPr>
            <w:tcW w:w="7355"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Certain Duties and Responsibilities of Trustee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Trustee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Trustee Not Responsible for Recitals or Issuance or Securities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May Hold Securities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Moneys Held in Trust</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Reimbursement</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Reliance on Officers Certificate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Disqualification; Conflicting Interests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Corporate Trustee Required; Eligibility</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Appointment of Successor</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Merger, Amalgamation, Conversion, Consolidation or Succession to Business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 Collection of Claims Against the Company</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2011"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26"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02"/>
        <w:gridCol w:w="126"/>
        <w:gridCol w:w="7138"/>
        <w:gridCol w:w="177"/>
        <w:gridCol w:w="110"/>
        <w:gridCol w:w="488"/>
        <w:gridCol w:w="64"/>
      </w:tblGrid>
      <w:tr>
        <w:trPr/>
        <w:tc>
          <w:tcPr>
            <w:tcW w:w="210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13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366" w:type="dxa"/>
            <w:gridSpan w:val="3"/>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98" w:type="dxa"/>
            <w:gridSpan w:val="2"/>
            <w:tcBorders/>
            <w:vAlign w:val="bottom"/>
          </w:tcPr>
          <w:p>
            <w:pPr>
              <w:pStyle w:val="TableContents"/>
              <w:bidi w:val="0"/>
              <w:spacing w:before="0" w:after="283"/>
              <w:jc w:val="center"/>
              <w:rPr>
                <w:b/>
              </w:rPr>
            </w:pPr>
            <w:r>
              <w:rPr>
                <w:b/>
              </w:rPr>
              <w:t>P</w:t>
            </w:r>
            <w:r>
              <w:rPr>
                <w:b/>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8 CONCERNING THE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2102" w:type="dxa"/>
            <w:tcBorders/>
            <w:vAlign w:val="center"/>
          </w:tcPr>
          <w:p>
            <w:pPr>
              <w:pStyle w:val="TableContents"/>
              <w:bidi w:val="0"/>
              <w:spacing w:before="0" w:after="283"/>
              <w:jc w:val="left"/>
              <w:rPr>
                <w:sz w:val="4"/>
                <w:szCs w:val="4"/>
              </w:rPr>
            </w:pPr>
            <w:r>
              <w:rPr>
                <w:sz w:val="4"/>
                <w:szCs w:val="4"/>
              </w:rPr>
            </w:r>
          </w:p>
        </w:tc>
        <w:tc>
          <w:tcPr>
            <w:tcW w:w="7264"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Action by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Proof of Execution by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Who May be Deemed Owners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Certain Securities Owned by Company Disregarded</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Actions Binding on Future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9 SUPPLEMENTAL INDENTURES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2102" w:type="dxa"/>
            <w:tcBorders/>
            <w:vAlign w:val="center"/>
          </w:tcPr>
          <w:p>
            <w:pPr>
              <w:pStyle w:val="TableContents"/>
              <w:bidi w:val="0"/>
              <w:spacing w:before="0" w:after="283"/>
              <w:jc w:val="left"/>
              <w:rPr>
                <w:sz w:val="4"/>
                <w:szCs w:val="4"/>
              </w:rPr>
            </w:pPr>
            <w:r>
              <w:rPr>
                <w:sz w:val="4"/>
                <w:szCs w:val="4"/>
              </w:rPr>
            </w:r>
          </w:p>
        </w:tc>
        <w:tc>
          <w:tcPr>
            <w:tcW w:w="7264"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Without the Consent of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 Consent of Securityholders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Affected by Supplemental Indentures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Supplemental Indentures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10 SUCCESSOR ENTITY</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2102" w:type="dxa"/>
            <w:tcBorders/>
            <w:vAlign w:val="center"/>
          </w:tcPr>
          <w:p>
            <w:pPr>
              <w:pStyle w:val="TableContents"/>
              <w:bidi w:val="0"/>
              <w:spacing w:before="0" w:after="283"/>
              <w:jc w:val="left"/>
              <w:rPr>
                <w:sz w:val="4"/>
                <w:szCs w:val="4"/>
              </w:rPr>
            </w:pPr>
            <w:r>
              <w:rPr>
                <w:sz w:val="4"/>
                <w:szCs w:val="4"/>
              </w:rPr>
            </w:r>
          </w:p>
        </w:tc>
        <w:tc>
          <w:tcPr>
            <w:tcW w:w="7264"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Company May Consolidate, Etc.</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Successor Entity Substituted</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11 SATISFACTION AND DISCHARGE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2102" w:type="dxa"/>
            <w:tcBorders/>
            <w:vAlign w:val="center"/>
          </w:tcPr>
          <w:p>
            <w:pPr>
              <w:pStyle w:val="TableContents"/>
              <w:bidi w:val="0"/>
              <w:spacing w:before="0" w:after="283"/>
              <w:jc w:val="left"/>
              <w:rPr>
                <w:sz w:val="4"/>
                <w:szCs w:val="4"/>
              </w:rPr>
            </w:pPr>
            <w:r>
              <w:rPr>
                <w:sz w:val="4"/>
                <w:szCs w:val="4"/>
              </w:rPr>
            </w:r>
          </w:p>
        </w:tc>
        <w:tc>
          <w:tcPr>
            <w:tcW w:w="7264"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Discharge of Obligations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Deposited Moneys to be Held in Trust</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Moneys Held by Paying Agents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Repayment to Company</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12 IMMUNITY OF INCORPORATORS, STOCKHOLDERS, OFFICERS AND DIRECTORS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2102" w:type="dxa"/>
            <w:tcBorders/>
            <w:vAlign w:val="center"/>
          </w:tcPr>
          <w:p>
            <w:pPr>
              <w:pStyle w:val="TableContents"/>
              <w:bidi w:val="0"/>
              <w:spacing w:before="0" w:after="283"/>
              <w:jc w:val="left"/>
              <w:rPr>
                <w:sz w:val="4"/>
                <w:szCs w:val="4"/>
              </w:rPr>
            </w:pPr>
            <w:r>
              <w:rPr>
                <w:sz w:val="4"/>
                <w:szCs w:val="4"/>
              </w:rPr>
            </w:r>
          </w:p>
        </w:tc>
        <w:tc>
          <w:tcPr>
            <w:tcW w:w="7264"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9366" w:type="dxa"/>
            <w:gridSpan w:val="3"/>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13 MISCELLANEOUS PROVISIONS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2102" w:type="dxa"/>
            <w:tcBorders/>
            <w:vAlign w:val="center"/>
          </w:tcPr>
          <w:p>
            <w:pPr>
              <w:pStyle w:val="TableContents"/>
              <w:bidi w:val="0"/>
              <w:spacing w:before="0" w:after="283"/>
              <w:jc w:val="left"/>
              <w:rPr>
                <w:sz w:val="4"/>
                <w:szCs w:val="4"/>
              </w:rPr>
            </w:pPr>
            <w:r>
              <w:rPr>
                <w:sz w:val="4"/>
                <w:szCs w:val="4"/>
              </w:rPr>
            </w:r>
          </w:p>
        </w:tc>
        <w:tc>
          <w:tcPr>
            <w:tcW w:w="7264" w:type="dxa"/>
            <w:gridSpan w:val="2"/>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Effect on Successors and Assigns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Actions by Successor</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210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26" w:type="dxa"/>
            <w:tcBorders/>
            <w:vAlign w:val="bottom"/>
          </w:tcPr>
          <w:p>
            <w:pPr>
              <w:pStyle w:val="TableContents"/>
              <w:bidi w:val="0"/>
              <w:spacing w:before="0" w:after="283"/>
              <w:jc w:val="left"/>
              <w:rPr/>
            </w:pPr>
            <w:r>
              <w:rPr/>
              <w:t> </w:t>
            </w:r>
          </w:p>
        </w:tc>
        <w:tc>
          <w:tcPr>
            <w:tcW w:w="7138" w:type="dxa"/>
            <w:tcBorders/>
          </w:tcPr>
          <w:p>
            <w:pPr>
              <w:pStyle w:val="TableContents"/>
              <w:bidi w:val="0"/>
              <w:spacing w:before="0" w:after="0"/>
              <w:jc w:val="left"/>
              <w:rPr>
                <w:rFonts w:ascii="Times New Roman" w:hAnsi="Times New Roman"/>
                <w:sz w:val="20"/>
              </w:rPr>
            </w:pPr>
            <w:r>
              <w:rPr>
                <w:rFonts w:ascii="Times New Roman" w:hAnsi="Times New Roman"/>
                <w:sz w:val="20"/>
              </w:rPr>
              <w:t>Surrender of Company Powers</w:t>
            </w:r>
          </w:p>
        </w:tc>
        <w:tc>
          <w:tcPr>
            <w:tcW w:w="17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1"/>
        <w:gridCol w:w="127"/>
        <w:gridCol w:w="7122"/>
        <w:gridCol w:w="178"/>
        <w:gridCol w:w="110"/>
        <w:gridCol w:w="484"/>
        <w:gridCol w:w="63"/>
      </w:tblGrid>
      <w:tr>
        <w:trPr/>
        <w:tc>
          <w:tcPr>
            <w:tcW w:w="212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122"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70" w:type="dxa"/>
            <w:gridSpan w:val="3"/>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94" w:type="dxa"/>
            <w:gridSpan w:val="2"/>
            <w:tcBorders/>
            <w:vAlign w:val="bottom"/>
          </w:tcPr>
          <w:p>
            <w:pPr>
              <w:pStyle w:val="TableContents"/>
              <w:bidi w:val="0"/>
              <w:spacing w:before="0" w:after="283"/>
              <w:jc w:val="center"/>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Jury Trial Waiver</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Securities as Debt</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Certificates and Opinions as to Conditions Precedent</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Business Days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Conflict with Trust Indenture Act</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Patriot Act</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27" w:type="dxa"/>
            <w:tcBorders/>
            <w:vAlign w:val="bottom"/>
          </w:tcPr>
          <w:p>
            <w:pPr>
              <w:pStyle w:val="TableContents"/>
              <w:bidi w:val="0"/>
              <w:spacing w:before="0" w:after="283"/>
              <w:jc w:val="left"/>
              <w:rPr/>
            </w:pPr>
            <w:r>
              <w:rPr/>
              <w:t> </w:t>
            </w:r>
          </w:p>
        </w:tc>
        <w:tc>
          <w:tcPr>
            <w:tcW w:w="7122"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w:t>
            </w:r>
          </w:p>
        </w:tc>
        <w:tc>
          <w:tcPr>
            <w:tcW w:w="1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 20__, among </w:t>
      </w:r>
      <w:r>
        <w:rPr>
          <w:rFonts w:ascii="Times New Roman" w:hAnsi="Times New Roman"/>
          <w:b/>
          <w:sz w:val="20"/>
        </w:rPr>
        <w:t>REPARE THERAPEUTICS INC.</w:t>
      </w:r>
      <w:r>
        <w:rPr>
          <w:rFonts w:ascii="Times New Roman" w:hAnsi="Times New Roman"/>
          <w:sz w:val="20"/>
        </w:rPr>
        <w:t>, a corporation existing under the laws of the province of Québec (the Company), and [</w:t>
      </w:r>
      <w:r>
        <w:rPr>
          <w:rFonts w:ascii="Times New Roman" w:hAnsi="Times New Roman"/>
          <w:b/>
          <w:sz w:val="20"/>
        </w:rPr>
        <w:t>TRUSTEE</w:t>
      </w:r>
      <w:r>
        <w:rPr>
          <w:rFonts w:ascii="Times New Roman" w:hAnsi="Times New Roman"/>
          <w:sz w:val="20"/>
        </w:rPr>
        <w:t xml:space="preserve">], as trustee (the Trustee):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each of the Company and the Trustee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and the Trustee,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the Company and the Trustee mutually covenant and agree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 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Authenticating Agent</w:t>
      </w:r>
      <w:r>
        <w:rPr>
          <w:rFonts w:ascii="Times New Roman" w:hAnsi="Times New Roman"/>
          <w:sz w:val="20"/>
        </w:rPr>
        <w:t xml:space="preserve"> means the Trustee or an authenticating agent with respect to all or any of the series of Securities appointed by the Trustee pursuant to Section 2.10.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Bankruptcy Law</w:t>
      </w:r>
      <w:r>
        <w:rPr>
          <w:rFonts w:ascii="Times New Roman" w:hAnsi="Times New Roman"/>
          <w:sz w:val="20"/>
        </w:rPr>
        <w:t> means Title 11, U.S. Code, any similar federal or state law for the relief of debtors</w:t>
      </w:r>
      <w:r>
        <w:rPr>
          <w:rFonts w:ascii="Times New Roman" w:hAnsi="Times New Roman"/>
          <w:b/>
          <w:sz w:val="20"/>
        </w:rPr>
        <w:t xml:space="preserve">, the </w:t>
      </w:r>
      <w:r>
        <w:rPr>
          <w:rFonts w:ascii="Times New Roman" w:hAnsi="Times New Roman"/>
          <w:b/>
          <w:i/>
          <w:sz w:val="20"/>
        </w:rPr>
        <w:t>Bankruptcy and Insolvency Act</w:t>
      </w:r>
      <w:r>
        <w:rPr>
          <w:rFonts w:ascii="Times New Roman" w:hAnsi="Times New Roman"/>
          <w:sz w:val="20"/>
        </w:rPr>
        <w:t xml:space="preserve"> </w:t>
      </w:r>
      <w:r>
        <w:rPr>
          <w:rFonts w:ascii="Times New Roman" w:hAnsi="Times New Roman"/>
          <w:b/>
          <w:sz w:val="20"/>
        </w:rPr>
        <w:t xml:space="preserve">(Canada) or the </w:t>
      </w:r>
      <w:r>
        <w:rPr>
          <w:rFonts w:ascii="Times New Roman" w:hAnsi="Times New Roman"/>
          <w:b/>
          <w:i/>
          <w:sz w:val="20"/>
        </w:rPr>
        <w:t>Companies Creditors Arrangement Act</w:t>
      </w:r>
      <w:r>
        <w:rPr>
          <w:rFonts w:ascii="Times New Roman" w:hAnsi="Times New Roman"/>
          <w:sz w:val="20"/>
        </w:rPr>
        <w:t xml:space="preserve"> </w:t>
      </w:r>
      <w:r>
        <w:rPr>
          <w:rFonts w:ascii="Times New Roman" w:hAnsi="Times New Roman"/>
          <w:b/>
          <w:sz w:val="20"/>
        </w:rPr>
        <w:t>(Canada), in each case if applicable or as amended or replaced from time to time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(or duly authorized committee thereof) and to be in full force and effect on the date of such certification.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means Repare Therapeutics Inc., a corporation existing under the laws of the province of Québec and, subject to the provisions of Article Ten hereof, shall also include its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Custodian</w:t>
      </w:r>
      <w:r>
        <w:rPr>
          <w:rFonts w:ascii="Times New Roman" w:hAnsi="Times New Roman"/>
          <w:sz w:val="20"/>
        </w:rPr>
        <w:t xml:space="preserve"> means any receiver, receiver manager, interim receiver, trustee, monitor, assignee, sequestrator,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i/>
          <w:sz w:val="20"/>
        </w:rPr>
        <w:t>given</w:t>
      </w:r>
      <w:r>
        <w:rPr>
          <w:rFonts w:ascii="Times New Roman" w:hAnsi="Times New Roman"/>
          <w:sz w:val="20"/>
        </w:rPr>
        <w:t>, </w:t>
      </w:r>
      <w:r>
        <w:rPr>
          <w:rFonts w:ascii="Times New Roman" w:hAnsi="Times New Roman"/>
          <w:b/>
          <w:i/>
          <w:sz w:val="20"/>
        </w:rPr>
        <w:t>mailed</w:t>
      </w:r>
      <w:r>
        <w:rPr>
          <w:rFonts w:ascii="Times New Roman" w:hAnsi="Times New Roman"/>
          <w:sz w:val="20"/>
        </w:rPr>
        <w:t>, </w:t>
      </w:r>
      <w:r>
        <w:rPr>
          <w:rFonts w:ascii="Times New Roman" w:hAnsi="Times New Roman"/>
          <w:b/>
          <w:i/>
          <w:sz w:val="20"/>
        </w:rPr>
        <w:t>notify</w:t>
      </w:r>
      <w:r>
        <w:rPr>
          <w:rFonts w:ascii="Times New Roman" w:hAnsi="Times New Roman"/>
          <w:sz w:val="20"/>
        </w:rPr>
        <w:t> or </w:t>
      </w:r>
      <w:r>
        <w:rPr>
          <w:rFonts w:ascii="Times New Roman" w:hAnsi="Times New Roman"/>
          <w:b/>
          <w:i/>
          <w:sz w:val="20"/>
        </w:rPr>
        <w:t>sent</w:t>
      </w:r>
      <w:r>
        <w:rPr>
          <w:rFonts w:ascii="Times New Roman" w:hAnsi="Times New Roman"/>
          <w:sz w:val="20"/>
        </w:rPr>
        <w:t xml:space="preserve">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b/>
          <w:sz w:val="20"/>
        </w:rPr>
        <w:t></w:t>
      </w:r>
      <w:r>
        <w:rPr>
          <w:rFonts w:ascii="Times New Roman" w:hAnsi="Times New Roman"/>
          <w:sz w:val="20"/>
        </w:rPr>
        <w:t xml:space="preserve">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Predecessor Security</w:t>
      </w:r>
      <w:r>
        <w:rPr>
          <w:rFonts w:ascii="Times New Roman" w:hAnsi="Times New Roman"/>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mutilated</w:t>
      </w:r>
      <w:r>
        <w:rPr>
          <w:rFonts w:ascii="Times New Roman" w:hAnsi="Times New Roman"/>
          <w:b/>
          <w:sz w:val="20"/>
        </w:rPr>
        <w:t>,</w:t>
      </w:r>
      <w:r>
        <w:rPr>
          <w:rFonts w:ascii="Times New Roman" w:hAnsi="Times New Roman"/>
          <w:sz w:val="20"/>
        </w:rPr>
        <w:t xml:space="preserve"> lost, destroyed or stolen Security shall be deemed to evidence the same debt as the mutilated, lost, destroyed or stolen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Responsible Officer</w:t>
      </w:r>
      <w:r>
        <w:rPr>
          <w:rFonts w:ascii="Times New Roman" w:hAnsi="Times New Roman"/>
          <w:sz w:val="20"/>
        </w:rPr>
        <w:t xml:space="preserve">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Trustee</w:t>
      </w:r>
      <w:r>
        <w:rPr>
          <w:rFonts w:ascii="Times New Roman" w:hAnsi="Times New Roman"/>
          <w:sz w:val="20"/>
        </w:rPr>
        <w:t xml:space="preserve"> 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240" w:after="0"/>
        <w:jc w:val="left"/>
        <w:rPr>
          <w:rFonts w:ascii="Times New Roman" w:hAnsi="Times New Roman"/>
          <w:sz w:val="20"/>
        </w:rPr>
      </w:pPr>
      <w:r>
        <w:rPr>
          <w:rFonts w:ascii="Times New Roman" w:hAnsi="Times New Roman"/>
          <w:b/>
          <w:i/>
          <w:sz w:val="20"/>
        </w:rPr>
        <w:t>U.S.A. Patriot Act</w:t>
      </w:r>
      <w:r>
        <w:rPr>
          <w:rFonts w:ascii="Times New Roman" w:hAnsi="Times New Roman"/>
          <w:sz w:val="20"/>
        </w:rPr>
        <w:t xml:space="preserve"> means the Uniting and Strengthening America by Providing Appropriate Tools Required to Intercept and Obstruct Terrorism Act of 2001, Pub. L. 107-56, as amended and signed into law October 26, 2001.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ISSUE, DESCRIPTION, TERMS, EXECUTION, REGISTRATION AND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 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the title of the Securities of the series (which shall distinguish the Securities of that series from all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sz w:val="20"/>
        </w:rPr>
        <w:t xml:space="preserve">the maturity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b/>
          <w:sz w:val="20"/>
        </w:rPr>
        <w:t xml:space="preserve">(4) </w:t>
      </w:r>
      <w:r>
        <w:rPr>
          <w:rFonts w:ascii="Times New Roman" w:hAnsi="Times New Roman"/>
          <w:sz w:val="20"/>
        </w:rPr>
        <w:t xml:space="preserve">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sz w:val="20"/>
        </w:rPr>
        <w:t xml:space="preserve">the applicability of any guarantees;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sz w:val="20"/>
        </w:rPr>
        <w:t xml:space="preserve">whether or not the Securities will be secured or unsecured, and the terms of any secured debt;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sz w:val="20"/>
        </w:rPr>
        <w:t xml:space="preserve">whether the Securities rank as senior debt, senior subordinated debt, subordinated debt or any combination thereof, and the terms of any subordination;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sz w:val="20"/>
        </w:rPr>
        <w:t xml:space="preserve">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240" w:after="0"/>
        <w:jc w:val="left"/>
        <w:rPr>
          <w:rFonts w:ascii="Times New Roman" w:hAnsi="Times New Roman"/>
          <w:sz w:val="20"/>
        </w:rPr>
      </w:pPr>
      <w:r>
        <w:rPr>
          <w:rFonts w:ascii="Times New Roman" w:hAnsi="Times New Roman"/>
          <w:b/>
          <w:sz w:val="20"/>
        </w:rPr>
        <w:t xml:space="preserve">(9) </w:t>
      </w: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240" w:after="0"/>
        <w:jc w:val="left"/>
        <w:rPr>
          <w:rFonts w:ascii="Times New Roman" w:hAnsi="Times New Roman"/>
          <w:sz w:val="20"/>
        </w:rPr>
      </w:pPr>
      <w:r>
        <w:rPr>
          <w:rFonts w:ascii="Times New Roman" w:hAnsi="Times New Roman"/>
          <w:b/>
          <w:sz w:val="20"/>
        </w:rPr>
        <w:t xml:space="preserve">(10) </w:t>
      </w:r>
      <w:r>
        <w:rPr>
          <w:rFonts w:ascii="Times New Roman" w:hAnsi="Times New Roman"/>
          <w:sz w:val="20"/>
        </w:rPr>
        <w:t xml:space="preserve">the Companys right, if any, to defer the payment of interest and the maximum length of any such deferral period; </w:t>
      </w:r>
    </w:p>
    <w:p>
      <w:pPr>
        <w:pStyle w:val="TextBody"/>
        <w:bidi w:val="0"/>
        <w:spacing w:before="240" w:after="0"/>
        <w:jc w:val="left"/>
        <w:rPr>
          <w:rFonts w:ascii="Times New Roman" w:hAnsi="Times New Roman"/>
          <w:sz w:val="20"/>
        </w:rPr>
      </w:pPr>
      <w:r>
        <w:rPr>
          <w:rFonts w:ascii="Times New Roman" w:hAnsi="Times New Roman"/>
          <w:b/>
          <w:sz w:val="20"/>
        </w:rPr>
        <w:t xml:space="preserve">(11) </w:t>
      </w:r>
      <w:r>
        <w:rPr>
          <w:rFonts w:ascii="Times New Roman" w:hAnsi="Times New Roman"/>
          <w:sz w:val="20"/>
        </w:rPr>
        <w:t xml:space="preserve">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240" w:after="0"/>
        <w:jc w:val="left"/>
        <w:rPr>
          <w:rFonts w:ascii="Times New Roman" w:hAnsi="Times New Roman"/>
          <w:sz w:val="20"/>
        </w:rPr>
      </w:pPr>
      <w:r>
        <w:rPr>
          <w:rFonts w:ascii="Times New Roman" w:hAnsi="Times New Roman"/>
          <w:b/>
          <w:sz w:val="20"/>
        </w:rPr>
        <w:t xml:space="preserve">(12) </w:t>
      </w:r>
      <w:r>
        <w:rPr>
          <w:rFonts w:ascii="Times New Roman" w:hAnsi="Times New Roman"/>
          <w:sz w:val="20"/>
        </w:rPr>
        <w:t xml:space="preserve">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240" w:after="0"/>
        <w:jc w:val="left"/>
        <w:rPr>
          <w:rFonts w:ascii="Times New Roman" w:hAnsi="Times New Roman"/>
          <w:sz w:val="20"/>
        </w:rPr>
      </w:pPr>
      <w:r>
        <w:rPr>
          <w:rFonts w:ascii="Times New Roman" w:hAnsi="Times New Roman"/>
          <w:b/>
          <w:sz w:val="20"/>
        </w:rPr>
        <w:t xml:space="preserve">(13) </w:t>
      </w:r>
      <w:r>
        <w:rPr>
          <w:rFonts w:ascii="Times New Roman" w:hAnsi="Times New Roman"/>
          <w:sz w:val="20"/>
        </w:rPr>
        <w:t xml:space="preserve">the denominations in which the Securities of the series shall be issuable, if other than denominations of one thousand U.S. dollars ($1,000) or any integral multiple thereof; </w:t>
      </w:r>
    </w:p>
    <w:p>
      <w:pPr>
        <w:pStyle w:val="TextBody"/>
        <w:bidi w:val="0"/>
        <w:spacing w:before="240" w:after="0"/>
        <w:jc w:val="left"/>
        <w:rPr>
          <w:rFonts w:ascii="Times New Roman" w:hAnsi="Times New Roman"/>
          <w:sz w:val="20"/>
        </w:rPr>
      </w:pPr>
      <w:r>
        <w:rPr>
          <w:rFonts w:ascii="Times New Roman" w:hAnsi="Times New Roman"/>
          <w:b/>
          <w:sz w:val="20"/>
        </w:rPr>
        <w:t xml:space="preserve">(14) </w:t>
      </w:r>
      <w:r>
        <w:rPr>
          <w:rFonts w:ascii="Times New Roman" w:hAnsi="Times New Roman"/>
          <w:sz w:val="20"/>
        </w:rPr>
        <w:t xml:space="preserve">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(15) </w:t>
      </w:r>
      <w:r>
        <w:rPr>
          <w:rFonts w:ascii="Times New Roman" w:hAnsi="Times New Roman"/>
          <w:sz w:val="20"/>
        </w:rPr>
        <w:t xml:space="preserve">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b/>
          <w:sz w:val="20"/>
        </w:rPr>
        <w:t xml:space="preserve">(16) </w:t>
      </w:r>
      <w:r>
        <w:rPr>
          <w:rFonts w:ascii="Times New Roman" w:hAnsi="Times New Roman"/>
          <w:sz w:val="20"/>
        </w:rPr>
        <w:t xml:space="preserve">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automatic,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240" w:after="0"/>
        <w:jc w:val="left"/>
        <w:rPr>
          <w:rFonts w:ascii="Times New Roman" w:hAnsi="Times New Roman"/>
          <w:sz w:val="20"/>
        </w:rPr>
      </w:pPr>
      <w:r>
        <w:rPr>
          <w:rFonts w:ascii="Times New Roman" w:hAnsi="Times New Roman"/>
          <w:b/>
          <w:sz w:val="20"/>
        </w:rPr>
        <w:t xml:space="preserve">(17) </w:t>
      </w:r>
      <w:r>
        <w:rPr>
          <w:rFonts w:ascii="Times New Roman" w:hAnsi="Times New Roman"/>
          <w:sz w:val="20"/>
        </w:rPr>
        <w:t xml:space="preserve">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240" w:after="0"/>
        <w:jc w:val="left"/>
        <w:rPr>
          <w:rFonts w:ascii="Times New Roman" w:hAnsi="Times New Roman"/>
          <w:sz w:val="20"/>
        </w:rPr>
      </w:pPr>
      <w:r>
        <w:rPr>
          <w:rFonts w:ascii="Times New Roman" w:hAnsi="Times New Roman"/>
          <w:b/>
          <w:sz w:val="20"/>
        </w:rPr>
        <w:t xml:space="preserve">(18) </w:t>
      </w:r>
      <w:r>
        <w:rPr>
          <w:rFonts w:ascii="Times New Roman" w:hAnsi="Times New Roman"/>
          <w:sz w:val="20"/>
        </w:rPr>
        <w:t xml:space="preserve">additions to or changes in the covenants applicable to the series of Securities being issued, including, among others, the consolidation, arrangement, amalgamation, merger or sale covenant; </w:t>
      </w:r>
    </w:p>
    <w:p>
      <w:pPr>
        <w:pStyle w:val="TextBody"/>
        <w:bidi w:val="0"/>
        <w:spacing w:before="240" w:after="0"/>
        <w:jc w:val="left"/>
        <w:rPr>
          <w:rFonts w:ascii="Times New Roman" w:hAnsi="Times New Roman"/>
          <w:sz w:val="20"/>
        </w:rPr>
      </w:pPr>
      <w:r>
        <w:rPr>
          <w:rFonts w:ascii="Times New Roman" w:hAnsi="Times New Roman"/>
          <w:b/>
          <w:sz w:val="20"/>
        </w:rPr>
        <w:t xml:space="preserve">(19) </w:t>
      </w:r>
      <w:r>
        <w:rPr>
          <w:rFonts w:ascii="Times New Roman" w:hAnsi="Times New Roman"/>
          <w:sz w:val="20"/>
        </w:rPr>
        <w:t xml:space="preserve">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240" w:after="0"/>
        <w:jc w:val="left"/>
        <w:rPr>
          <w:rFonts w:ascii="Times New Roman" w:hAnsi="Times New Roman"/>
          <w:sz w:val="20"/>
        </w:rPr>
      </w:pPr>
      <w:r>
        <w:rPr>
          <w:rFonts w:ascii="Times New Roman" w:hAnsi="Times New Roman"/>
          <w:b/>
          <w:sz w:val="20"/>
        </w:rPr>
        <w:t xml:space="preserve">(20) </w:t>
      </w:r>
      <w:r>
        <w:rPr>
          <w:rFonts w:ascii="Times New Roman" w:hAnsi="Times New Roman"/>
          <w:sz w:val="20"/>
        </w:rPr>
        <w:t xml:space="preserve">additions to or changes in or deletions of the provisions relating to covenant defeasance and legal defeasance; </w:t>
      </w:r>
    </w:p>
    <w:p>
      <w:pPr>
        <w:pStyle w:val="TextBody"/>
        <w:bidi w:val="0"/>
        <w:spacing w:before="240" w:after="0"/>
        <w:jc w:val="left"/>
        <w:rPr>
          <w:rFonts w:ascii="Times New Roman" w:hAnsi="Times New Roman"/>
          <w:sz w:val="20"/>
        </w:rPr>
      </w:pPr>
      <w:r>
        <w:rPr>
          <w:rFonts w:ascii="Times New Roman" w:hAnsi="Times New Roman"/>
          <w:b/>
          <w:sz w:val="20"/>
        </w:rPr>
        <w:t xml:space="preserve">(21) </w:t>
      </w:r>
      <w:r>
        <w:rPr>
          <w:rFonts w:ascii="Times New Roman" w:hAnsi="Times New Roman"/>
          <w:sz w:val="20"/>
        </w:rPr>
        <w:t xml:space="preserve">additions to or changes in the provisions relating to satisfaction and discharge of this Indenture; </w:t>
      </w:r>
    </w:p>
    <w:p>
      <w:pPr>
        <w:pStyle w:val="TextBody"/>
        <w:bidi w:val="0"/>
        <w:spacing w:before="240" w:after="0"/>
        <w:jc w:val="left"/>
        <w:rPr>
          <w:rFonts w:ascii="Times New Roman" w:hAnsi="Times New Roman"/>
          <w:sz w:val="20"/>
        </w:rPr>
      </w:pPr>
      <w:r>
        <w:rPr>
          <w:rFonts w:ascii="Times New Roman" w:hAnsi="Times New Roman"/>
          <w:b/>
          <w:sz w:val="20"/>
        </w:rPr>
        <w:t xml:space="preserve">(22) </w:t>
      </w:r>
      <w:r>
        <w:rPr>
          <w:rFonts w:ascii="Times New Roman" w:hAnsi="Times New Roman"/>
          <w:sz w:val="20"/>
        </w:rPr>
        <w:t xml:space="preserve">additions to or changes in the provisions relating to the modification of this Indenture both with and without the consent of Securityholders of Securities issued under this Indenture; </w:t>
      </w:r>
    </w:p>
    <w:p>
      <w:pPr>
        <w:pStyle w:val="TextBody"/>
        <w:bidi w:val="0"/>
        <w:spacing w:before="240" w:after="0"/>
        <w:jc w:val="left"/>
        <w:rPr>
          <w:rFonts w:ascii="Times New Roman" w:hAnsi="Times New Roman"/>
          <w:sz w:val="20"/>
        </w:rPr>
      </w:pPr>
      <w:r>
        <w:rPr>
          <w:rFonts w:ascii="Times New Roman" w:hAnsi="Times New Roman"/>
          <w:b/>
          <w:sz w:val="20"/>
        </w:rPr>
        <w:t xml:space="preserve">(23) </w:t>
      </w:r>
      <w:r>
        <w:rPr>
          <w:rFonts w:ascii="Times New Roman" w:hAnsi="Times New Roman"/>
          <w:sz w:val="20"/>
        </w:rPr>
        <w:t xml:space="preserve">the currency of payment of Securities if other than U.S. dollars and the manner of determining the equivalent amount in U.S. dollars; </w:t>
      </w:r>
    </w:p>
    <w:p>
      <w:pPr>
        <w:pStyle w:val="TextBody"/>
        <w:bidi w:val="0"/>
        <w:spacing w:before="240" w:after="0"/>
        <w:jc w:val="left"/>
        <w:rPr>
          <w:rFonts w:ascii="Times New Roman" w:hAnsi="Times New Roman"/>
          <w:sz w:val="20"/>
        </w:rPr>
      </w:pPr>
      <w:r>
        <w:rPr>
          <w:rFonts w:ascii="Times New Roman" w:hAnsi="Times New Roman"/>
          <w:b/>
          <w:sz w:val="20"/>
        </w:rPr>
        <w:t xml:space="preserve">(24) </w:t>
      </w:r>
      <w:r>
        <w:rPr>
          <w:rFonts w:ascii="Times New Roman" w:hAnsi="Times New Roman"/>
          <w:sz w:val="20"/>
        </w:rPr>
        <w:t xml:space="preserve">whether interest will be payable in cash or additional Securities at the Companys or the Securityholders option and the terms and conditions upon which the election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(25) </w:t>
      </w:r>
      <w:r>
        <w:rPr>
          <w:rFonts w:ascii="Times New Roman" w:hAnsi="Times New Roman"/>
          <w:sz w:val="20"/>
        </w:rPr>
        <w:t xml:space="preserve">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240" w:after="0"/>
        <w:jc w:val="left"/>
        <w:rPr>
          <w:rFonts w:ascii="Times New Roman" w:hAnsi="Times New Roman"/>
          <w:sz w:val="20"/>
        </w:rPr>
      </w:pPr>
      <w:r>
        <w:rPr>
          <w:rFonts w:ascii="Times New Roman" w:hAnsi="Times New Roman"/>
          <w:b/>
          <w:sz w:val="20"/>
        </w:rPr>
        <w:t xml:space="preserve">(26) </w:t>
      </w:r>
      <w:r>
        <w:rPr>
          <w:rFonts w:ascii="Times New Roman" w:hAnsi="Times New Roman"/>
          <w:sz w:val="20"/>
        </w:rPr>
        <w:t xml:space="preserve">any restrictions on transfer, sale or assignment of the Securities of the series; and </w:t>
      </w:r>
    </w:p>
    <w:p>
      <w:pPr>
        <w:pStyle w:val="TextBody"/>
        <w:bidi w:val="0"/>
        <w:spacing w:before="240" w:after="0"/>
        <w:jc w:val="left"/>
        <w:rPr>
          <w:rFonts w:ascii="Times New Roman" w:hAnsi="Times New Roman"/>
          <w:sz w:val="20"/>
        </w:rPr>
      </w:pPr>
      <w:r>
        <w:rPr>
          <w:rFonts w:ascii="Times New Roman" w:hAnsi="Times New Roman"/>
          <w:b/>
          <w:sz w:val="20"/>
        </w:rPr>
        <w:t xml:space="preserve">(27) </w:t>
      </w:r>
      <w:r>
        <w:rPr>
          <w:rFonts w:ascii="Times New Roman" w:hAnsi="Times New Roman"/>
          <w:sz w:val="20"/>
        </w:rPr>
        <w:t xml:space="preserve">any other specific terms, preferences, rights or limitations of, or restrictions on, the Securities, any other additions or changes in the provisions of this Indenture, and any terms that may be required by us or advisable under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 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 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 accordance with Section 2.04.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in writing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 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for any reason.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 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Security Registrar for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 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written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 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 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repurchase, exchange (including in accordance with Section 2.07),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 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 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 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 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written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 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If the giving of notice of redemption shall have been completed as provided in Section 3.02,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3.05 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 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 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 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sz w:val="20"/>
        </w:rPr>
        <w:t xml:space="preserve">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(4) </w:t>
      </w:r>
      <w:r>
        <w:rPr>
          <w:rFonts w:ascii="Times New Roman" w:hAnsi="Times New Roman"/>
          <w:sz w:val="20"/>
        </w:rPr>
        <w:t xml:space="preserve">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 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 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 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 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 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If required by Section 313(a) of the Trust Indenture Act, the Trustee, within sixty (60) days after each May 1, shall send to the Securityholders a brief report dated as of such May 1,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 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(3) </w:t>
      </w:r>
      <w:r>
        <w:rPr>
          <w:rFonts w:ascii="Times New Roman" w:hAnsi="Times New Roman"/>
          <w:sz w:val="20"/>
        </w:rPr>
        <w:t xml:space="preserve">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b/>
          <w:sz w:val="20"/>
        </w:rPr>
        <w:t xml:space="preserve">(4) </w:t>
      </w:r>
      <w:r>
        <w:rPr>
          <w:rFonts w:ascii="Times New Roman" w:hAnsi="Times New Roman"/>
          <w:sz w:val="20"/>
        </w:rPr>
        <w:t xml:space="preserve">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sz w:val="20"/>
        </w:rPr>
        <w:t xml:space="preserve">a court of competent jurisdiction enters an order under any Bankruptcy Law that (i) is for relief against the Company in an involuntary case or proceeding, (ii) appoints a Custodian of the Company for all or substantially all of its property or (iii) orders the liquidation of the Company,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 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 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costs and expenses of collection and of all amounts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 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 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 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 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 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b/>
          <w:sz w:val="20"/>
        </w:rPr>
        <w:t xml:space="preserve">(v) </w:t>
      </w:r>
      <w:r>
        <w:rPr>
          <w:rFonts w:ascii="Times New Roman" w:hAnsi="Times New Roman"/>
          <w:sz w:val="20"/>
        </w:rPr>
        <w:t xml:space="preserve">The Trustee shall not be required to give any bond or surety in respect of the performance of its powers or duties hereunder; </w:t>
      </w:r>
    </w:p>
    <w:p>
      <w:pPr>
        <w:pStyle w:val="TextBody"/>
        <w:bidi w:val="0"/>
        <w:spacing w:before="240" w:after="0"/>
        <w:jc w:val="left"/>
        <w:rPr>
          <w:rFonts w:ascii="Times New Roman" w:hAnsi="Times New Roman"/>
          <w:sz w:val="20"/>
        </w:rPr>
      </w:pPr>
      <w:r>
        <w:rPr>
          <w:rFonts w:ascii="Times New Roman" w:hAnsi="Times New Roman"/>
          <w:b/>
          <w:sz w:val="20"/>
        </w:rPr>
        <w:t xml:space="preserve">(vi) </w:t>
      </w:r>
      <w:r>
        <w:rPr>
          <w:rFonts w:ascii="Times New Roman" w:hAnsi="Times New Roman"/>
          <w:sz w:val="20"/>
        </w:rPr>
        <w:t xml:space="preserve">The permissive right of the Trustee to do things enumerated in this Indenture shall not be construed as a duty of the Trustee; and </w:t>
      </w:r>
    </w:p>
    <w:p>
      <w:pPr>
        <w:pStyle w:val="TextBody"/>
        <w:bidi w:val="0"/>
        <w:spacing w:before="240" w:after="0"/>
        <w:jc w:val="left"/>
        <w:rPr>
          <w:rFonts w:ascii="Times New Roman" w:hAnsi="Times New Roman"/>
          <w:sz w:val="20"/>
        </w:rPr>
      </w:pPr>
      <w:r>
        <w:rPr>
          <w:rFonts w:ascii="Times New Roman" w:hAnsi="Times New Roman"/>
          <w:b/>
          <w:sz w:val="20"/>
        </w:rPr>
        <w:t xml:space="preserve">(vii) </w:t>
      </w:r>
      <w:r>
        <w:rPr>
          <w:rFonts w:ascii="Times New Roman" w:hAnsi="Times New Roman"/>
          <w:sz w:val="20"/>
        </w:rPr>
        <w:t xml:space="preserve">No Trustee shall have any duty or responsibility for any act or omission of any other Trustee appointed with respect to a series of Securities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 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b/>
          <w:sz w:val="20"/>
        </w:rPr>
        <w:t xml:space="preserve">(f) </w:t>
      </w:r>
      <w:r>
        <w:rPr>
          <w:rFonts w:ascii="Times New Roman" w:hAnsi="Times New Roman"/>
          <w:sz w:val="20"/>
        </w:rPr>
        <w:t xml:space="preserve">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 xml:space="preserve">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b/>
          <w:sz w:val="20"/>
        </w:rPr>
        <w:t xml:space="preserve">(h) </w:t>
      </w: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(j) </w:t>
      </w:r>
      <w:r>
        <w:rPr>
          <w:rFonts w:ascii="Times New Roman" w:hAnsi="Times New Roman"/>
          <w:sz w:val="20"/>
        </w:rPr>
        <w:t xml:space="preserve">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w:t>
      </w:r>
    </w:p>
    <w:p>
      <w:pPr>
        <w:pStyle w:val="TextBody"/>
        <w:bidi w:val="0"/>
        <w:spacing w:before="240" w:after="0"/>
        <w:jc w:val="left"/>
        <w:rPr>
          <w:rFonts w:ascii="Times New Roman" w:hAnsi="Times New Roman"/>
          <w:sz w:val="20"/>
        </w:rPr>
      </w:pPr>
      <w:r>
        <w:rPr>
          <w:rFonts w:ascii="Times New Roman" w:hAnsi="Times New Roman"/>
          <w:b/>
          <w:sz w:val="20"/>
        </w:rPr>
        <w:t xml:space="preserve">(k) </w:t>
      </w:r>
      <w:r>
        <w:rPr>
          <w:rFonts w:ascii="Times New Roman" w:hAnsi="Times New Roman"/>
          <w:sz w:val="20"/>
        </w:rPr>
        <w:t xml:space="preserve">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 </w:t>
      </w:r>
    </w:p>
    <w:p>
      <w:pPr>
        <w:pStyle w:val="TextBody"/>
        <w:bidi w:val="0"/>
        <w:spacing w:before="240" w:after="0"/>
        <w:jc w:val="left"/>
        <w:rPr>
          <w:rFonts w:ascii="Times New Roman" w:hAnsi="Times New Roman"/>
          <w:sz w:val="20"/>
        </w:rPr>
      </w:pPr>
      <w:r>
        <w:rPr>
          <w:rFonts w:ascii="Times New Roman" w:hAnsi="Times New Roman"/>
          <w:b/>
          <w:sz w:val="20"/>
        </w:rPr>
        <w:t xml:space="preserve">(l) </w:t>
      </w:r>
      <w:r>
        <w:rPr>
          <w:rFonts w:ascii="Times New Roman" w:hAnsi="Times New Roman"/>
          <w:sz w:val="20"/>
        </w:rPr>
        <w:t xml:space="preserve">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 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Trustee makes no representations as to the validity or sufficiency of this Indenture or of the Securities, except, as applicable in each case, in connection with the Trustees signature thereon.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 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 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 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in writing the Company promptly of any claim for which it may seek indemnity. The Company shall defend the claim and the Trustee shall cooperate in the defense. The Trustee may have one separate counsel and the Company shall pay the reasonable fees and expenses of such counsel. The Company shall not pay for any settlement made without its consent, which consent shall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The Company shall not reimburse any expense or indemnify against any loss or liability incurred by the Trustee or by any officer, director, employee, shareholder or agent of the Trustee through negligence or bad faith.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 Reliance on Officers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 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 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 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the Trustee shall cease to be eligible in accordance with the provisions of Section 7.09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of resignation,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The holders of a majority in aggregate principal amount of the Securities of any series at the time Outstanding may at any time remove the Trustee with respect to such series by so notifying in writing each of the Trustee and the Company and may appoint a successor Trustee for such series with the prior written consent of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 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promptly execute and deliver an instrument transferring to such successor trustee all the rights, powers, and trusts of the retiring Trustee and shall promptly and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promptly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promptly and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Upon acceptance of appointment by a successor trustee as provided in this Section, the Company shall send written notice of the succession of such trustee hereunder to the Securityholders. If the Company fails to send such notice within ten days after acceptance of appointment by the successor trustee, the successor trustee shall cause such notice to be sent at the expense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 Merger, Amalgamation,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amalgamated or converted or with which it may be consolidated, or any corporation resulting from any merger, amalgamation,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amalgamation,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 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 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hAnsi="Times New Roman"/>
          <w:i/>
          <w:sz w:val="20"/>
        </w:rPr>
        <w:t>provided, 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 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 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 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 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 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 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to comply with Article Ten hereof;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b/>
          <w:sz w:val="20"/>
        </w:rPr>
        <w:t xml:space="preserve">(f) </w:t>
      </w:r>
      <w:r>
        <w:rPr>
          <w:rFonts w:ascii="Times New Roman" w:hAnsi="Times New Roman"/>
          <w:sz w:val="20"/>
        </w:rPr>
        <w:t xml:space="preserve">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 xml:space="preserve">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b/>
          <w:sz w:val="20"/>
        </w:rPr>
        <w:t xml:space="preserve">(h) </w:t>
      </w:r>
      <w:r>
        <w:rPr>
          <w:rFonts w:ascii="Times New Roman" w:hAnsi="Times New Roman"/>
          <w:sz w:val="20"/>
        </w:rPr>
        <w:t xml:space="preserve">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to comply with any requirements of the Commission or any successor in connection with the qualification of this Indenture under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 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 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Nine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amendments and supplements,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 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9 or of Section 10.01, may bear a notation in form approved by the Company, provided such form meets the requirements of any securities exchange upon which such series may be listed, as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 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send a written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Company May Consolidate, Etc.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shall prevent any consolidation, arrangement, amalgamation, or merger of the Company with or into any other Person (whether or not affiliated with the Company) or successive consolidations, arrangements, amalgamations,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arrangement, amalgamation,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 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In case of any such consolidation, arrangement, amalgamation,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In case of any such consolidation, arrangement, amalgamation,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Nothing contained in this Article Ten shall require any action by the Company in the case of a consolidation, arrangement, amalgamation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 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mutilated,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 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provided that, after such Securities shall mature and be paid, Sections 7.06 and 11.05 shall survive.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 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11.04 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11.05 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12.01 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undertaking, covenant or agreement of this Indenture, or of any Security, or for any claim based thereon or otherwise in respect thereof, shall be had against any incorporator, founder,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founders, shareholders, officers or directors as such, of the Company or of any predecessor or successor corporation, or any of them, because of the creation of the indebtedness hereby authorized, or under or by reason of the obligations, undertakings,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founder, shareholder, officer or director as such, because of the creation of the indebtedness hereby authorized, or under or by reason of the obligations, undertakings,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 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13.02 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13.03 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of its successor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13.04 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r>
        <w:rPr>
          <w:rFonts w:ascii="Times New Roman" w:hAnsi="Times New Roman"/>
          <w:sz w:val="20"/>
          <w:u w:val="single"/>
        </w:rPr>
        <w:t>                       </w:t>
      </w:r>
      <w:r>
        <w:rPr>
          <w:rFonts w:ascii="Times New Roman" w:hAnsi="Times New Roman"/>
          <w:sz w:val="20"/>
        </w:rPr>
        <w:t xml:space="preserve">.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13.05 Governing Law; Jury Trial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governed by, and construed in accordance with, the internal laws of the State of New York,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13.06 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13.07 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13.08 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13.09 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 318(c)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13.10 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13.11 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13.12 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13.13 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13.14 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13.15 Table of Contents; Headings.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intended to be considered a part hereof, and will not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91"/>
        <w:gridCol w:w="134"/>
        <w:gridCol w:w="2557"/>
      </w:tblGrid>
      <w:tr>
        <w:trPr/>
        <w:tc>
          <w:tcPr>
            <w:tcW w:w="139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w:t>
            </w:r>
            <w:r>
              <w:rPr>
                <w:b/>
                <w:sz w:val="20"/>
              </w:rPr>
              <w:t>EPARE</w:t>
            </w:r>
            <w:r>
              <w:rPr>
                <w:b/>
              </w:rPr>
              <w:t xml:space="preserve"> T</w:t>
            </w:r>
            <w:r>
              <w:rPr>
                <w:b/>
                <w:sz w:val="20"/>
              </w:rPr>
              <w:t>HERAPEUTICS</w:t>
            </w:r>
            <w:r>
              <w:rPr>
                <w:b/>
              </w:rPr>
              <w:t xml:space="preserve"> I</w:t>
            </w:r>
            <w:r>
              <w:rPr>
                <w:b/>
                <w:sz w:val="20"/>
              </w:rPr>
              <w:t>NC</w:t>
            </w:r>
            <w:r>
              <w:rPr>
                <w:b/>
              </w:rPr>
              <w:t>.</w:t>
            </w:r>
          </w:p>
        </w:tc>
      </w:tr>
      <w:tr>
        <w:trPr>
          <w:trHeight w:val="240" w:hRule="atLeast"/>
        </w:trPr>
        <w:tc>
          <w:tcPr>
            <w:tcW w:w="1391" w:type="dxa"/>
            <w:tcBorders/>
            <w:vAlign w:val="center"/>
          </w:tcPr>
          <w:p>
            <w:pPr>
              <w:pStyle w:val="TableContents"/>
              <w:bidi w:val="0"/>
              <w:spacing w:before="0" w:after="283"/>
              <w:jc w:val="left"/>
              <w:rPr>
                <w:sz w:val="4"/>
                <w:szCs w:val="4"/>
              </w:rPr>
            </w:pPr>
            <w:r>
              <w:rPr>
                <w:sz w:val="4"/>
                <w:szCs w:val="4"/>
              </w:rPr>
            </w:r>
          </w:p>
        </w:tc>
        <w:tc>
          <w:tcPr>
            <w:tcW w:w="2691" w:type="dxa"/>
            <w:gridSpan w:val="2"/>
            <w:tcBorders/>
            <w:vAlign w:val="center"/>
          </w:tcPr>
          <w:p>
            <w:pPr>
              <w:pStyle w:val="TableContents"/>
              <w:bidi w:val="0"/>
              <w:spacing w:before="0" w:after="283"/>
              <w:jc w:val="left"/>
              <w:rPr>
                <w:sz w:val="4"/>
                <w:szCs w:val="4"/>
              </w:rPr>
            </w:pPr>
            <w:r>
              <w:rPr>
                <w:sz w:val="4"/>
                <w:szCs w:val="4"/>
              </w:rPr>
            </w:r>
          </w:p>
        </w:tc>
      </w:tr>
      <w:tr>
        <w:trPr/>
        <w:tc>
          <w:tcPr>
            <w:tcW w:w="1391" w:type="dxa"/>
            <w:tcBorders/>
          </w:tcPr>
          <w:p>
            <w:pPr>
              <w:pStyle w:val="TableContents"/>
              <w:bidi w:val="0"/>
              <w:spacing w:before="0" w:after="283"/>
              <w:jc w:val="left"/>
              <w:rPr/>
            </w:pPr>
            <w:r>
              <w:rPr/>
              <w:t>By:</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2557" w:type="dxa"/>
            <w:tcBorders>
              <w:bottom w:val="single" w:sz="2" w:space="0" w:color="000000"/>
            </w:tcBorders>
            <w:tcMar>
              <w:bottom w:w="28" w:type="dxa"/>
            </w:tcMar>
          </w:tcPr>
          <w:p>
            <w:pPr>
              <w:pStyle w:val="TableContents"/>
              <w:bidi w:val="0"/>
              <w:spacing w:before="0" w:after="283"/>
              <w:jc w:val="left"/>
              <w:rPr/>
            </w:pPr>
            <w:r>
              <w:rPr/>
              <w:t> </w:t>
            </w:r>
          </w:p>
        </w:tc>
      </w:tr>
      <w:tr>
        <w:trPr/>
        <w:tc>
          <w:tcPr>
            <w:tcW w:w="1391" w:type="dxa"/>
            <w:tcBorders/>
          </w:tcPr>
          <w:p>
            <w:pPr>
              <w:pStyle w:val="TableContents"/>
              <w:bidi w:val="0"/>
              <w:spacing w:before="0" w:after="283"/>
              <w:jc w:val="left"/>
              <w:rPr/>
            </w:pPr>
            <w:r>
              <w:rPr/>
              <w:t>Name:</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2557" w:type="dxa"/>
            <w:tcBorders>
              <w:bottom w:val="single" w:sz="2" w:space="0" w:color="000000"/>
            </w:tcBorders>
            <w:tcMar>
              <w:bottom w:w="28" w:type="dxa"/>
            </w:tcMar>
          </w:tcPr>
          <w:p>
            <w:pPr>
              <w:pStyle w:val="TableContents"/>
              <w:bidi w:val="0"/>
              <w:spacing w:before="0" w:after="283"/>
              <w:jc w:val="left"/>
              <w:rPr/>
            </w:pPr>
            <w:r>
              <w:rPr/>
              <w:t> </w:t>
            </w:r>
          </w:p>
        </w:tc>
      </w:tr>
      <w:tr>
        <w:trPr/>
        <w:tc>
          <w:tcPr>
            <w:tcW w:w="1391" w:type="dxa"/>
            <w:tcBorders/>
          </w:tcPr>
          <w:p>
            <w:pPr>
              <w:pStyle w:val="TableContents"/>
              <w:bidi w:val="0"/>
              <w:spacing w:before="0" w:after="283"/>
              <w:jc w:val="left"/>
              <w:rPr/>
            </w:pPr>
            <w:r>
              <w:rPr/>
              <w:t>Title:</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255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w:t>
            </w:r>
            <w:r>
              <w:rPr>
                <w:b/>
                <w:sz w:val="20"/>
              </w:rPr>
              <w:t>RUSTEE</w:t>
            </w:r>
            <w:r>
              <w:rPr>
                <w:b/>
              </w:rPr>
              <w:t>]</w:t>
            </w:r>
            <w:r>
              <w:rPr/>
              <w:t>, as Trustee</w:t>
            </w:r>
          </w:p>
        </w:tc>
      </w:tr>
      <w:tr>
        <w:trPr>
          <w:trHeight w:val="240" w:hRule="atLeast"/>
        </w:trPr>
        <w:tc>
          <w:tcPr>
            <w:tcW w:w="1391" w:type="dxa"/>
            <w:tcBorders/>
            <w:vAlign w:val="center"/>
          </w:tcPr>
          <w:p>
            <w:pPr>
              <w:pStyle w:val="TableContents"/>
              <w:bidi w:val="0"/>
              <w:spacing w:before="0" w:after="283"/>
              <w:jc w:val="left"/>
              <w:rPr>
                <w:sz w:val="4"/>
                <w:szCs w:val="4"/>
              </w:rPr>
            </w:pPr>
            <w:r>
              <w:rPr>
                <w:sz w:val="4"/>
                <w:szCs w:val="4"/>
              </w:rPr>
            </w:r>
          </w:p>
        </w:tc>
        <w:tc>
          <w:tcPr>
            <w:tcW w:w="2691" w:type="dxa"/>
            <w:gridSpan w:val="2"/>
            <w:tcBorders/>
            <w:vAlign w:val="center"/>
          </w:tcPr>
          <w:p>
            <w:pPr>
              <w:pStyle w:val="TableContents"/>
              <w:bidi w:val="0"/>
              <w:spacing w:before="0" w:after="283"/>
              <w:jc w:val="left"/>
              <w:rPr>
                <w:sz w:val="4"/>
                <w:szCs w:val="4"/>
              </w:rPr>
            </w:pPr>
            <w:r>
              <w:rPr>
                <w:sz w:val="4"/>
                <w:szCs w:val="4"/>
              </w:rPr>
            </w:r>
          </w:p>
        </w:tc>
      </w:tr>
      <w:tr>
        <w:trPr/>
        <w:tc>
          <w:tcPr>
            <w:tcW w:w="1391" w:type="dxa"/>
            <w:tcBorders/>
          </w:tcPr>
          <w:p>
            <w:pPr>
              <w:pStyle w:val="TableContents"/>
              <w:bidi w:val="0"/>
              <w:spacing w:before="0" w:after="283"/>
              <w:jc w:val="left"/>
              <w:rPr/>
            </w:pPr>
            <w:r>
              <w:rPr/>
              <w:t>By:</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2557" w:type="dxa"/>
            <w:tcBorders>
              <w:bottom w:val="single" w:sz="2" w:space="0" w:color="000000"/>
            </w:tcBorders>
            <w:tcMar>
              <w:bottom w:w="28" w:type="dxa"/>
            </w:tcMar>
          </w:tcPr>
          <w:p>
            <w:pPr>
              <w:pStyle w:val="TableContents"/>
              <w:bidi w:val="0"/>
              <w:spacing w:before="0" w:after="283"/>
              <w:jc w:val="left"/>
              <w:rPr/>
            </w:pPr>
            <w:r>
              <w:rPr/>
              <w:t> </w:t>
            </w:r>
          </w:p>
        </w:tc>
      </w:tr>
      <w:tr>
        <w:trPr/>
        <w:tc>
          <w:tcPr>
            <w:tcW w:w="1391" w:type="dxa"/>
            <w:tcBorders/>
          </w:tcPr>
          <w:p>
            <w:pPr>
              <w:pStyle w:val="TableContents"/>
              <w:bidi w:val="0"/>
              <w:spacing w:before="0" w:after="283"/>
              <w:jc w:val="left"/>
              <w:rPr/>
            </w:pPr>
            <w:r>
              <w:rPr/>
              <w:t>Name:</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2557" w:type="dxa"/>
            <w:tcBorders>
              <w:bottom w:val="single" w:sz="2" w:space="0" w:color="000000"/>
            </w:tcBorders>
            <w:tcMar>
              <w:bottom w:w="28" w:type="dxa"/>
            </w:tcMar>
          </w:tcPr>
          <w:p>
            <w:pPr>
              <w:pStyle w:val="TableContents"/>
              <w:bidi w:val="0"/>
              <w:spacing w:before="0" w:after="283"/>
              <w:jc w:val="left"/>
              <w:rPr/>
            </w:pPr>
            <w:r>
              <w:rPr/>
              <w:t> </w:t>
            </w:r>
          </w:p>
        </w:tc>
      </w:tr>
      <w:tr>
        <w:trPr/>
        <w:tc>
          <w:tcPr>
            <w:tcW w:w="1391" w:type="dxa"/>
            <w:tcBorders/>
          </w:tcPr>
          <w:p>
            <w:pPr>
              <w:pStyle w:val="TableContents"/>
              <w:bidi w:val="0"/>
              <w:spacing w:before="0" w:after="283"/>
              <w:jc w:val="left"/>
              <w:rPr/>
            </w:pPr>
            <w:r>
              <w:rPr/>
              <w:t>Title:</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2557"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CROSS-REFERENCE TABLE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76"/>
        <w:gridCol w:w="420"/>
        <w:gridCol w:w="2109"/>
      </w:tblGrid>
      <w:tr>
        <w:trPr/>
        <w:tc>
          <w:tcPr>
            <w:tcW w:w="7676"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76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of Trust Indenture Act of 1939, as Amended</w:t>
            </w:r>
          </w:p>
        </w:tc>
        <w:tc>
          <w:tcPr>
            <w:tcW w:w="420" w:type="dxa"/>
            <w:tcBorders/>
            <w:vAlign w:val="bottom"/>
          </w:tcPr>
          <w:p>
            <w:pPr>
              <w:pStyle w:val="TableContents"/>
              <w:bidi w:val="0"/>
              <w:spacing w:before="0" w:after="283"/>
              <w:jc w:val="left"/>
              <w:rPr/>
            </w:pPr>
            <w:r>
              <w:rPr/>
              <w:t>  </w:t>
            </w:r>
          </w:p>
        </w:tc>
        <w:tc>
          <w:tcPr>
            <w:tcW w:w="2109" w:type="dxa"/>
            <w:tcBorders>
              <w:bottom w:val="single" w:sz="8" w:space="0" w:color="000000"/>
            </w:tcBorders>
            <w:tcMar>
              <w:bottom w:w="28" w:type="dxa"/>
            </w:tcMar>
            <w:vAlign w:val="bottom"/>
          </w:tcPr>
          <w:p>
            <w:pPr>
              <w:pStyle w:val="TableContents"/>
              <w:bidi w:val="0"/>
              <w:spacing w:before="0" w:after="283"/>
              <w:jc w:val="center"/>
              <w:rPr>
                <w:b/>
              </w:rPr>
            </w:pPr>
            <w:r>
              <w:rPr>
                <w:b/>
              </w:rPr>
              <w:t>Section of Indenture</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310(a)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7.09</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310(b)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7.08</w:t>
            </w:r>
          </w:p>
        </w:tc>
      </w:tr>
      <w:tr>
        <w:trPr/>
        <w:tc>
          <w:tcPr>
            <w:tcW w:w="7676" w:type="dxa"/>
            <w:tcBorders/>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7.10</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310(c)</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Inapplicable</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7.13</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311(b)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7.13</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311(c)</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Inapplicable</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5.01</w:t>
            </w:r>
          </w:p>
        </w:tc>
      </w:tr>
      <w:tr>
        <w:trPr/>
        <w:tc>
          <w:tcPr>
            <w:tcW w:w="7676" w:type="dxa"/>
            <w:tcBorders/>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5.02(a)</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312(b)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5.02(c)</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312(c)</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5.02(c)</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5.04(a)</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313(b)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5.04(b)</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313(c)</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5.04(a)</w:t>
            </w:r>
          </w:p>
        </w:tc>
      </w:tr>
      <w:tr>
        <w:trPr/>
        <w:tc>
          <w:tcPr>
            <w:tcW w:w="7676" w:type="dxa"/>
            <w:tcBorders/>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5.04(b)</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313(d)</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5.04(c)</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5.03</w:t>
            </w:r>
          </w:p>
        </w:tc>
      </w:tr>
      <w:tr>
        <w:trPr/>
        <w:tc>
          <w:tcPr>
            <w:tcW w:w="7676" w:type="dxa"/>
            <w:tcBorders/>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13.12</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314(b)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Inapplicable</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314(c)</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13.07(a)</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314(d)</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Inapplicable</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314(e)</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13.07(b)</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314(f)</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Inapplicable</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7.01(a)</w:t>
            </w:r>
          </w:p>
        </w:tc>
      </w:tr>
      <w:tr>
        <w:trPr/>
        <w:tc>
          <w:tcPr>
            <w:tcW w:w="7676" w:type="dxa"/>
            <w:tcBorders/>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7.01(b)</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315(b)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7.14</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315(c)</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7.01</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315(d)</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7.01(b)</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315(e)</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6.07</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316(a)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6.06</w:t>
            </w:r>
          </w:p>
        </w:tc>
      </w:tr>
      <w:tr>
        <w:trPr/>
        <w:tc>
          <w:tcPr>
            <w:tcW w:w="7676" w:type="dxa"/>
            <w:tcBorders/>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8.04</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316(b)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6.04</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316(c)</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8.01</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317(a)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6.02</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317(b)</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4.03</w:t>
            </w:r>
          </w:p>
        </w:tc>
      </w:tr>
      <w:tr>
        <w:trPr/>
        <w:tc>
          <w:tcPr>
            <w:tcW w:w="7676"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42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left"/>
              <w:rPr/>
            </w:pPr>
            <w:r>
              <w:rPr/>
              <w:t>13.09</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right"/>
        <w:rPr>
          <w:rFonts w:ascii="Times New Roman" w:hAnsi="Times New Roman"/>
          <w:b/>
          <w:sz w:val="20"/>
        </w:rPr>
      </w:pPr>
      <w:bookmarkStart w:id="21" w:name="d879175dex47.htm"/>
      <w:bookmarkStart w:id="22" w:name="ksd879175dex47"/>
      <w:bookmarkEnd w:id="21"/>
      <w:bookmarkEnd w:id="22"/>
      <w:r>
        <w:rPr>
          <w:rFonts w:ascii="Times New Roman" w:hAnsi="Times New Roman"/>
          <w:b/>
          <w:sz w:val="20"/>
        </w:rPr>
        <w:t xml:space="preserve">Exhibit 4.7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REPARE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COMMON SHARE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INC. FORM OF COMMON SHARE WARRANT AGREEMENT </w:t>
      </w:r>
    </w:p>
    <w:p>
      <w:pPr>
        <w:pStyle w:val="TextBody"/>
        <w:bidi w:val="0"/>
        <w:spacing w:before="240" w:after="0"/>
        <w:jc w:val="left"/>
        <w:rPr>
          <w:rFonts w:ascii="Times New Roman" w:hAnsi="Times New Roman"/>
          <w:sz w:val="20"/>
        </w:rPr>
      </w:pPr>
      <w:r>
        <w:rPr>
          <w:rFonts w:ascii="Times New Roman" w:hAnsi="Times New Roman"/>
          <w:b/>
          <w:sz w:val="20"/>
        </w:rPr>
        <w:t>THIS COMMON SHARE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REPARE</w:t>
      </w:r>
      <w:r>
        <w:rPr>
          <w:rFonts w:ascii="Times New Roman" w:hAnsi="Times New Roman"/>
          <w:sz w:val="20"/>
        </w:rPr>
        <w:t xml:space="preserve"> </w:t>
      </w:r>
      <w:r>
        <w:rPr>
          <w:rFonts w:ascii="Times New Roman" w:hAnsi="Times New Roman"/>
          <w:b/>
          <w:sz w:val="20"/>
        </w:rPr>
        <w:t>THERAPEUTICS INC.</w:t>
      </w:r>
      <w:r>
        <w:rPr>
          <w:rFonts w:ascii="Times New Roman" w:hAnsi="Times New Roman"/>
          <w:sz w:val="20"/>
        </w:rPr>
        <w:t>, a corporation existing under the laws of the province of Québec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[If Warrants are sold with other securities [title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common shares, no par value per share, in the capital of the Company (such common shares,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the Company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1.1 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[US$[] principal amount] [[] shares] of Other Securities issued.] </w:t>
      </w:r>
    </w:p>
    <w:p>
      <w:pPr>
        <w:pStyle w:val="TextBody"/>
        <w:bidi w:val="0"/>
        <w:spacing w:before="240" w:after="0"/>
        <w:jc w:val="left"/>
        <w:rPr>
          <w:rFonts w:ascii="Times New Roman" w:hAnsi="Times New Roman"/>
          <w:b/>
          <w:sz w:val="20"/>
        </w:rPr>
      </w:pPr>
      <w:r>
        <w:rPr>
          <w:rFonts w:ascii="Times New Roman" w:hAnsi="Times New Roman"/>
          <w:b/>
          <w:sz w:val="20"/>
        </w:rPr>
        <w:t xml:space="preserve">1.2 Execution and 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one of its present or future chief executive officers, presidents, senior vice presidents, vice presidents, chief financial officers, chief legal officers, treasurers, assistant treasurers, controllers, assistant controllers, secretaries or assistant secretaries, as authorized by the board of directors of the Company (the </w:t>
      </w:r>
      <w:r>
        <w:rPr>
          <w:rFonts w:ascii="Times New Roman" w:hAnsi="Times New Roman"/>
          <w:b/>
          <w:i/>
          <w:sz w:val="20"/>
        </w:rPr>
        <w:t>Board</w:t>
      </w:r>
      <w:r>
        <w:rPr>
          <w:rFonts w:ascii="Times New Roman" w:hAnsi="Times New Roman"/>
          <w:sz w:val="20"/>
        </w:rPr>
        <w:t xml:space="preserve">). Such signatures may be manual or facsimile signatures of such authorized officers and may be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In case any officer of the Company who shall have signed any of the Warrant Certificates either manually or by facsimile signature shall cease for any reason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 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2.1 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2.2 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to have any force or effect. </w:t>
      </w:r>
    </w:p>
    <w:p>
      <w:pPr>
        <w:pStyle w:val="TextBody"/>
        <w:bidi w:val="0"/>
        <w:spacing w:before="24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in accordance with this Section 2.3(a),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 No Rights as Warrant Securityholder</w:t>
      </w:r>
      <w:r>
        <w:rPr>
          <w:rFonts w:ascii="Times New Roman" w:hAnsi="Times New Roman"/>
          <w:sz w:val="20"/>
        </w:rPr>
        <w:t xml:space="preserve"> </w:t>
      </w:r>
      <w:r>
        <w:rPr>
          <w:rFonts w:ascii="Times New Roman" w:hAnsi="Times New Roman"/>
          <w:b/>
          <w:sz w:val="20"/>
        </w:rPr>
        <w:t xml:space="preserve">Conferred by Warrants or Warrant Certificates. </w:t>
      </w:r>
      <w:r>
        <w:rPr>
          <w:rFonts w:ascii="Times New Roman" w:hAnsi="Times New Roman"/>
          <w:sz w:val="20"/>
        </w:rPr>
        <w:t xml:space="preserve">Neither this Agreement, any Warrant Certificate nor a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 xml:space="preserve">3.2 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Subject to Section 4.3,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3.3 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In case the Company shall at any time subdivide its issued and outstanding Warrant Securities into a greater number of shares, the Warrant Price in effect immediately prior to such subdivision shall be proportionately reduced and the number of Warrant Securities purchasable under the Warrants shall be proportionately increased. Conversely, in case the issued and outstanding Warrant Securities shall be consolidated into a smaller number of shares, the Warrant Price in effect immediately prior to such consolidation shall be proportionately increased and the number of Warrant Securities purchasable under the Warrants shall be proportionately decreased.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If at any time or from time to time the holders of Warrant Securities (or any shares or other securities at the time receivable upon the exercise of the Warrants) shall have received or become entitled to receive, without payment therefor,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the Warrant Securities or any shares or other securities which are at any time directly or indirectly convertible into or exchangeable for the Warrant Securities, or any rights or options to subscribe for, purchase or otherwise acquire any of the foregoing by way of dividend or other distribution;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any cash paid or payable otherwise than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the Warrant Securities or additional shares or other securities or property (including cash) by way of spinoff, split-up, reclassification, consolidation of shares or similar corporate reorganization (other than Warrant Securities issued as a share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shares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the Warrant Securities received or became entitled to receive such shares or all other additional shares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In case of (i) any reclassification, capital reorganization, or change in the Warrant Securities (other than as a result of a subdivision, consolidation, or stock dividend provided for in Section 3.4(a) or Section 3.4(b) above), (ii) share exchange, amalgamation, merger or similar transaction of the Company with or into another person or entity (other than a share exchange, amalgamation, merger or similar transaction in which the Company is the acquiring or surviving corporation and which does not result in any change in the Warrant Securities other than the issuance of additional Warrant Securities)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its successor or assignee shall be delivered to the holders of the Warrants, so that the holders of the Warrants shall have the right at any time prior to the expiration of the Warrants to purchase, at a total price equal to that payable upon the exercise of the Warrants, the kind and amount of shares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or other securities and property deliverable upon exercise the Warrants, and appropriate adjustments shall be made to the Warrant Price payable hereunder provided the aggregate purchase price shall remain the same. In the case of any transaction described in clauses (ii) or (iii) above (other than in the case of an amalgamation in accordance with the </w:t>
      </w:r>
      <w:r>
        <w:rPr>
          <w:rFonts w:ascii="Times New Roman" w:hAnsi="Times New Roman"/>
          <w:i/>
          <w:sz w:val="20"/>
        </w:rPr>
        <w:t>Business Corporations Act</w:t>
      </w:r>
      <w:r>
        <w:rPr>
          <w:rFonts w:ascii="Times New Roman" w:hAnsi="Times New Roman"/>
          <w:sz w:val="20"/>
        </w:rPr>
        <w:t xml:space="preserve"> (Québec),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may, at its option, at any time until the Expiration Date, reduce the then current Warrant Price to any amount deemed appropriate by the Board for any period not exceeding twenty consecutive days (as evidenced in a resolution adopted by such Board),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Except as herein otherwise expressly provided, no adjustment in the Warrant Price shall be made by reason of the issuance of Warrant Securities, or securities convertible into or exchangeable for Warrant Securities, or securities carrying the right to purchase any of the foregoing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 xml:space="preserve">(f) </w:t>
      </w:r>
      <w:r>
        <w:rPr>
          <w:rFonts w:ascii="Times New Roman" w:hAnsi="Times New Roman"/>
          <w:sz w:val="20"/>
        </w:rPr>
        <w:t>No fractional Warrant Securities shall be issued upon the exercise of Warrants. If more than one Warrant shall be exercised at one time by the same holder, the number of whole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 xml:space="preserve">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240" w:after="0"/>
        <w:jc w:val="left"/>
        <w:rPr>
          <w:rFonts w:ascii="Times New Roman" w:hAnsi="Times New Roman"/>
          <w:sz w:val="20"/>
        </w:rPr>
      </w:pPr>
      <w:r>
        <w:rPr>
          <w:rFonts w:ascii="Times New Roman" w:hAnsi="Times New Roman"/>
          <w:b/>
          <w:sz w:val="20"/>
        </w:rPr>
        <w:t xml:space="preserve">(h) </w:t>
      </w:r>
      <w:r>
        <w:rPr>
          <w:rFonts w:ascii="Times New Roman" w:hAnsi="Times New Roman"/>
          <w:sz w:val="20"/>
        </w:rPr>
        <w:t xml:space="preserve">Notwithstanding anything to the contrary herein, in no event shall the Warrant Price, as adjusted in accordance with the terms hereof, be less than the par value per Warrant Security (if the Warrant Security has par value). </w:t>
      </w:r>
    </w:p>
    <w:p>
      <w:pPr>
        <w:pStyle w:val="TextBody"/>
        <w:bidi w:val="0"/>
        <w:spacing w:before="240" w:after="0"/>
        <w:jc w:val="left"/>
        <w:rPr>
          <w:rFonts w:ascii="Times New Roman" w:hAnsi="Times New Roman"/>
          <w:sz w:val="20"/>
        </w:rPr>
      </w:pPr>
      <w:r>
        <w:rPr>
          <w:rFonts w:ascii="Times New Roman" w:hAnsi="Times New Roman"/>
          <w:b/>
          <w:sz w:val="20"/>
        </w:rPr>
        <w:t xml:space="preserve">3.5 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Warrant Securities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such dividend or distribution, or, if a record is not to be taken, the date as of which the holders of record of Warrant Securities that will be entitled to such dividend or distribution are to be determined, (y) the date on which such Reorganization Event, dissolution, liquidation or winding up is expected to become effective, and the date as of which it is expected that holders of Warrant Securities of record shall be entitled to exchange their Warrant Securities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 xml:space="preserve">3.6 </w:t>
      </w:r>
      <w:r>
        <w:rPr>
          <w:rFonts w:ascii="Times New Roman" w:hAnsi="Times New Roman"/>
          <w:sz w:val="20"/>
        </w:rPr>
        <w:t xml:space="preserve">[If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Warrant Securities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w:t>
      </w:r>
      <w:r>
        <w:rPr>
          <w:rFonts w:ascii="Times New Roman" w:hAnsi="Times New Roman"/>
          <w:b/>
          <w:i/>
          <w:sz w:val="20"/>
        </w:rPr>
        <w:t>Market Price</w:t>
      </w:r>
      <w:r>
        <w:rPr>
          <w:rFonts w:ascii="Times New Roman" w:hAnsi="Times New Roman"/>
          <w:sz w:val="20"/>
        </w:rPr>
        <w:t> for each Trading Day shall be, if the Warrant Security is listed or admitted to trading on any registered national securities exchange, the last reported sale price, regular way (or, if no such price is reported, the average of the reported closing bid and asked prices, regular way) of one Warrant Security, in either case as reported on the principal registered national securities exchange on which the Warrant Security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Warrant Securities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w:t>
      </w:r>
      <w:r>
        <w:rPr>
          <w:rFonts w:ascii="Times New Roman" w:hAnsi="Times New Roman"/>
          <w:b/>
          <w:i/>
          <w:sz w:val="20"/>
        </w:rPr>
        <w:t>Trading Day</w:t>
      </w:r>
      <w:r>
        <w:rPr>
          <w:rFonts w:ascii="Times New Roman" w:hAnsi="Times New Roman"/>
          <w:sz w:val="20"/>
        </w:rPr>
        <w:t xml:space="preserve"> shall be each Monday through Friday, other than any day on which securities are not traded in the system or on the exchange that is the principal market for the Warrant Securities, as determined by the Board.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Warrant accelerated may be exercised until [] p.m., [City] time, on the business day next preceding the Acceleration Date. The Warrant Price shall be payable as provided in Article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 Exchange and Transfer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 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 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(including pursuant to Section 3.2),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 xml:space="preserve">5.1 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5.2 Conditions of Warrant Agents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 xml:space="preserve">(a) Compensation and Indemnification. </w:t>
      </w:r>
      <w:r>
        <w:rPr>
          <w:rFonts w:ascii="Times New Roman" w:hAnsi="Times New Roman"/>
          <w:sz w:val="20"/>
        </w:rPr>
        <w:t xml:space="preserve">The Company agrees promptly to pay the Warrant Agent, in addition to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 xml:space="preserve">(b) 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(c) 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 xml:space="preserve">(d) 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 xml:space="preserve">(e) 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240" w:after="0"/>
        <w:jc w:val="left"/>
        <w:rPr>
          <w:rFonts w:ascii="Times New Roman" w:hAnsi="Times New Roman"/>
          <w:sz w:val="20"/>
        </w:rPr>
      </w:pPr>
      <w:r>
        <w:rPr>
          <w:rFonts w:ascii="Times New Roman" w:hAnsi="Times New Roman"/>
          <w:b/>
          <w:sz w:val="20"/>
        </w:rPr>
        <w:t xml:space="preserve">(f) 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(g) No Liability for Invalidity. </w:t>
      </w:r>
      <w:r>
        <w:rPr>
          <w:rFonts w:ascii="Times New Roman" w:hAnsi="Times New Roman"/>
          <w:sz w:val="20"/>
        </w:rPr>
        <w:t xml:space="preserve">The Warrant Agent shall have no liability with respect to any invalidity of this Agreement or any of the Warrant Certificates (in each case, except as to the Warrant Agents countersignature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(h) No Responsibility for Representations. </w:t>
      </w:r>
      <w:r>
        <w:rPr>
          <w:rFonts w:ascii="Times New Roman" w:hAnsi="Times New Roman"/>
          <w:sz w:val="20"/>
        </w:rPr>
        <w:t xml:space="preserve">The Warrant Agent shall not be responsible for any of the recitals or representations herein or in the Warrant Certificates (in each case,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(i) 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Any corporation into which the Warrant Agent hereunder may be merged, amalgamated or converted or any corporation with which the Warrant Agent may be consolidated, or any corporation resulting from any amalgamation,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 xml:space="preserve">6.1 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6.2 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6.3 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Repare Therapeutics Inc., 7210 Frederick-Banting, Suite 100, St-Laurent, Québec, Canada H4S 2A1, Attention: []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6.4 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 xml:space="preserve">6.5 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6.6 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 xml:space="preserve">6.7 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6.8 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 xml:space="preserve">6.9 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 xml:space="preserve">6.10 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93"/>
        <w:gridCol w:w="96"/>
        <w:gridCol w:w="2393"/>
      </w:tblGrid>
      <w:tr>
        <w:trPr/>
        <w:tc>
          <w:tcPr>
            <w:tcW w:w="1593"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REPARE THERAPEUTICS INC.</w:t>
            </w:r>
            <w:r>
              <w:rPr>
                <w:rFonts w:ascii="Times New Roman" w:hAnsi="Times New Roman"/>
                <w:sz w:val="20"/>
              </w:rPr>
              <w:t>, as Company</w:t>
            </w:r>
          </w:p>
        </w:tc>
      </w:tr>
      <w:tr>
        <w:trPr>
          <w:trHeight w:val="240" w:hRule="atLeast"/>
        </w:trPr>
        <w:tc>
          <w:tcPr>
            <w:tcW w:w="1593" w:type="dxa"/>
            <w:tcBorders/>
            <w:vAlign w:val="center"/>
          </w:tcPr>
          <w:p>
            <w:pPr>
              <w:pStyle w:val="TableContents"/>
              <w:bidi w:val="0"/>
              <w:spacing w:before="0" w:after="283"/>
              <w:jc w:val="left"/>
              <w:rPr>
                <w:sz w:val="4"/>
                <w:szCs w:val="4"/>
              </w:rPr>
            </w:pPr>
            <w:r>
              <w:rPr>
                <w:sz w:val="4"/>
                <w:szCs w:val="4"/>
              </w:rPr>
            </w:r>
          </w:p>
        </w:tc>
        <w:tc>
          <w:tcPr>
            <w:tcW w:w="2489" w:type="dxa"/>
            <w:gridSpan w:val="2"/>
            <w:tcBorders/>
            <w:vAlign w:val="center"/>
          </w:tcPr>
          <w:p>
            <w:pPr>
              <w:pStyle w:val="TableContents"/>
              <w:bidi w:val="0"/>
              <w:spacing w:before="0" w:after="283"/>
              <w:jc w:val="left"/>
              <w:rPr>
                <w:sz w:val="4"/>
                <w:szCs w:val="4"/>
              </w:rPr>
            </w:pPr>
            <w:r>
              <w:rPr>
                <w:sz w:val="4"/>
                <w:szCs w:val="4"/>
              </w:rPr>
            </w:r>
          </w:p>
        </w:tc>
      </w:tr>
      <w:tr>
        <w:trPr/>
        <w:tc>
          <w:tcPr>
            <w:tcW w:w="1593" w:type="dxa"/>
            <w:tcBorders/>
          </w:tcPr>
          <w:p>
            <w:pPr>
              <w:pStyle w:val="TableContents"/>
              <w:bidi w:val="0"/>
              <w:spacing w:before="0" w:after="283"/>
              <w:jc w:val="left"/>
              <w:rPr/>
            </w:pPr>
            <w:r>
              <w:rPr/>
              <w:t>By:</w:t>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c>
          <w:tcPr>
            <w:tcW w:w="1593" w:type="dxa"/>
            <w:tcBorders/>
          </w:tcPr>
          <w:p>
            <w:pPr>
              <w:pStyle w:val="TableContents"/>
              <w:bidi w:val="0"/>
              <w:spacing w:before="0" w:after="283"/>
              <w:jc w:val="left"/>
              <w:rPr/>
            </w:pPr>
            <w:r>
              <w:rPr/>
              <w:t>Name:</w:t>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c>
          <w:tcPr>
            <w:tcW w:w="1593" w:type="dxa"/>
            <w:tcBorders/>
          </w:tcPr>
          <w:p>
            <w:pPr>
              <w:pStyle w:val="TableContents"/>
              <w:bidi w:val="0"/>
              <w:spacing w:before="0" w:after="283"/>
              <w:jc w:val="left"/>
              <w:rPr/>
            </w:pPr>
            <w:r>
              <w:rPr/>
              <w:t>Title:</w:t>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rHeight w:val="240" w:hRule="atLeast"/>
        </w:trPr>
        <w:tc>
          <w:tcPr>
            <w:tcW w:w="1593" w:type="dxa"/>
            <w:tcBorders/>
            <w:vAlign w:val="center"/>
          </w:tcPr>
          <w:p>
            <w:pPr>
              <w:pStyle w:val="TableContents"/>
              <w:bidi w:val="0"/>
              <w:spacing w:before="0" w:after="283"/>
              <w:jc w:val="left"/>
              <w:rPr>
                <w:sz w:val="4"/>
                <w:szCs w:val="4"/>
              </w:rPr>
            </w:pPr>
            <w:r>
              <w:rPr>
                <w:sz w:val="4"/>
                <w:szCs w:val="4"/>
              </w:rPr>
            </w:r>
          </w:p>
        </w:tc>
        <w:tc>
          <w:tcPr>
            <w:tcW w:w="2489" w:type="dxa"/>
            <w:gridSpan w:val="2"/>
            <w:tcBorders/>
            <w:vAlign w:val="center"/>
          </w:tcPr>
          <w:p>
            <w:pPr>
              <w:pStyle w:val="TableContents"/>
              <w:bidi w:val="0"/>
              <w:spacing w:before="0" w:after="283"/>
              <w:jc w:val="left"/>
              <w:rPr>
                <w:sz w:val="4"/>
                <w:szCs w:val="4"/>
              </w:rPr>
            </w:pPr>
            <w:r>
              <w:rPr>
                <w:sz w:val="4"/>
                <w:szCs w:val="4"/>
              </w:rPr>
            </w:r>
          </w:p>
        </w:tc>
      </w:tr>
      <w:tr>
        <w:trPr/>
        <w:tc>
          <w:tcPr>
            <w:tcW w:w="1593" w:type="dxa"/>
            <w:tcBorders/>
          </w:tcPr>
          <w:p>
            <w:pPr>
              <w:pStyle w:val="TableContents"/>
              <w:bidi w:val="0"/>
              <w:spacing w:before="0" w:after="283"/>
              <w:jc w:val="left"/>
              <w:rPr>
                <w:b/>
              </w:rPr>
            </w:pPr>
            <w:r>
              <w:rPr>
                <w:b/>
              </w:rPr>
              <w:t>A</w:t>
            </w:r>
            <w:r>
              <w:rPr>
                <w:b/>
                <w:sz w:val="20"/>
              </w:rPr>
              <w:t>TTEST</w:t>
            </w:r>
            <w:r>
              <w:rPr>
                <w:b/>
              </w:rPr>
              <w:t>:</w:t>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c>
          <w:tcPr>
            <w:tcW w:w="1593"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1593" w:type="dxa"/>
            <w:tcBorders/>
            <w:vAlign w:val="center"/>
          </w:tcPr>
          <w:p>
            <w:pPr>
              <w:pStyle w:val="TableContents"/>
              <w:bidi w:val="0"/>
              <w:spacing w:before="0" w:after="283"/>
              <w:jc w:val="left"/>
              <w:rPr>
                <w:sz w:val="4"/>
                <w:szCs w:val="4"/>
              </w:rPr>
            </w:pPr>
            <w:r>
              <w:rPr>
                <w:sz w:val="4"/>
                <w:szCs w:val="4"/>
              </w:rPr>
            </w:r>
          </w:p>
        </w:tc>
        <w:tc>
          <w:tcPr>
            <w:tcW w:w="2489" w:type="dxa"/>
            <w:gridSpan w:val="2"/>
            <w:tcBorders/>
            <w:vAlign w:val="center"/>
          </w:tcPr>
          <w:p>
            <w:pPr>
              <w:pStyle w:val="TableContents"/>
              <w:bidi w:val="0"/>
              <w:spacing w:before="0" w:after="283"/>
              <w:jc w:val="left"/>
              <w:rPr>
                <w:sz w:val="4"/>
                <w:szCs w:val="4"/>
              </w:rPr>
            </w:pPr>
            <w:r>
              <w:rPr>
                <w:sz w:val="4"/>
                <w:szCs w:val="4"/>
              </w:rPr>
            </w:r>
          </w:p>
        </w:tc>
      </w:tr>
      <w:tr>
        <w:trPr/>
        <w:tc>
          <w:tcPr>
            <w:tcW w:w="1593" w:type="dxa"/>
            <w:tcBorders/>
          </w:tcPr>
          <w:p>
            <w:pPr>
              <w:pStyle w:val="TableContents"/>
              <w:bidi w:val="0"/>
              <w:spacing w:before="0" w:after="283"/>
              <w:jc w:val="left"/>
              <w:rPr/>
            </w:pPr>
            <w:r>
              <w:rPr/>
              <w:t>By:</w:t>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c>
          <w:tcPr>
            <w:tcW w:w="1593" w:type="dxa"/>
            <w:tcBorders/>
          </w:tcPr>
          <w:p>
            <w:pPr>
              <w:pStyle w:val="TableContents"/>
              <w:bidi w:val="0"/>
              <w:spacing w:before="0" w:after="283"/>
              <w:jc w:val="left"/>
              <w:rPr/>
            </w:pPr>
            <w:r>
              <w:rPr/>
              <w:t>Name:</w:t>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c>
          <w:tcPr>
            <w:tcW w:w="1593" w:type="dxa"/>
            <w:tcBorders/>
          </w:tcPr>
          <w:p>
            <w:pPr>
              <w:pStyle w:val="TableContents"/>
              <w:bidi w:val="0"/>
              <w:spacing w:before="0" w:after="283"/>
              <w:jc w:val="left"/>
              <w:rPr/>
            </w:pPr>
            <w:r>
              <w:rPr/>
              <w:t>Title:</w:t>
            </w:r>
          </w:p>
        </w:tc>
        <w:tc>
          <w:tcPr>
            <w:tcW w:w="96" w:type="dxa"/>
            <w:tcBorders/>
            <w:vAlign w:val="bottom"/>
          </w:tcPr>
          <w:p>
            <w:pPr>
              <w:pStyle w:val="TableContents"/>
              <w:bidi w:val="0"/>
              <w:spacing w:before="0" w:after="283"/>
              <w:jc w:val="left"/>
              <w:rPr/>
            </w:pPr>
            <w:r>
              <w:rPr/>
              <w:t> </w:t>
            </w:r>
          </w:p>
        </w:tc>
        <w:tc>
          <w:tcPr>
            <w:tcW w:w="2393" w:type="dxa"/>
            <w:tcBorders/>
          </w:tcPr>
          <w:p>
            <w:pPr>
              <w:pStyle w:val="TableContents"/>
              <w:pBdr>
                <w:bottom w:val="single" w:sz="2" w:space="1" w:color="000000"/>
              </w:pBdr>
              <w:bidi w:val="0"/>
              <w:spacing w:before="0" w:after="20"/>
              <w:jc w:val="left"/>
              <w:rPr/>
            </w:pPr>
            <w:r>
              <w:rPr/>
              <w:t> </w:t>
            </w:r>
          </w:p>
        </w:tc>
      </w:tr>
      <w:tr>
        <w:trPr>
          <w:trHeight w:val="240" w:hRule="atLeast"/>
        </w:trPr>
        <w:tc>
          <w:tcPr>
            <w:tcW w:w="1593" w:type="dxa"/>
            <w:tcBorders/>
            <w:vAlign w:val="center"/>
          </w:tcPr>
          <w:p>
            <w:pPr>
              <w:pStyle w:val="TableContents"/>
              <w:bidi w:val="0"/>
              <w:spacing w:before="0" w:after="283"/>
              <w:jc w:val="left"/>
              <w:rPr>
                <w:sz w:val="4"/>
                <w:szCs w:val="4"/>
              </w:rPr>
            </w:pPr>
            <w:r>
              <w:rPr>
                <w:sz w:val="4"/>
                <w:szCs w:val="4"/>
              </w:rPr>
            </w:r>
          </w:p>
        </w:tc>
        <w:tc>
          <w:tcPr>
            <w:tcW w:w="2489" w:type="dxa"/>
            <w:gridSpan w:val="2"/>
            <w:tcBorders/>
            <w:vAlign w:val="center"/>
          </w:tcPr>
          <w:p>
            <w:pPr>
              <w:pStyle w:val="TableContents"/>
              <w:bidi w:val="0"/>
              <w:spacing w:before="0" w:after="283"/>
              <w:jc w:val="left"/>
              <w:rPr>
                <w:sz w:val="4"/>
                <w:szCs w:val="4"/>
              </w:rPr>
            </w:pPr>
            <w:r>
              <w:rPr>
                <w:sz w:val="4"/>
                <w:szCs w:val="4"/>
              </w:rPr>
            </w:r>
          </w:p>
        </w:tc>
      </w:tr>
      <w:tr>
        <w:trPr/>
        <w:tc>
          <w:tcPr>
            <w:tcW w:w="1593" w:type="dxa"/>
            <w:tcBorders/>
            <w:vAlign w:val="bottom"/>
          </w:tcPr>
          <w:p>
            <w:pPr>
              <w:pStyle w:val="TableContents"/>
              <w:bidi w:val="0"/>
              <w:spacing w:before="0" w:after="283"/>
              <w:jc w:val="left"/>
              <w:rPr>
                <w:b/>
              </w:rPr>
            </w:pPr>
            <w:r>
              <w:rPr>
                <w:b/>
              </w:rPr>
              <w:t>A</w:t>
            </w:r>
            <w:r>
              <w:rPr>
                <w:b/>
                <w:sz w:val="20"/>
              </w:rPr>
              <w:t>TTEST</w:t>
            </w:r>
            <w:r>
              <w:rPr>
                <w:b/>
              </w:rPr>
              <w:t>:</w:t>
            </w:r>
          </w:p>
        </w:tc>
        <w:tc>
          <w:tcPr>
            <w:tcW w:w="96" w:type="dxa"/>
            <w:tcBorders/>
            <w:vAlign w:val="bottom"/>
          </w:tcPr>
          <w:p>
            <w:pPr>
              <w:pStyle w:val="TableContents"/>
              <w:bidi w:val="0"/>
              <w:spacing w:before="0" w:after="283"/>
              <w:jc w:val="left"/>
              <w:rPr/>
            </w:pPr>
            <w:r>
              <w:rPr/>
              <w:t> </w:t>
            </w:r>
          </w:p>
        </w:tc>
        <w:tc>
          <w:tcPr>
            <w:tcW w:w="2393" w:type="dxa"/>
            <w:tcBorders/>
            <w:vAlign w:val="bottom"/>
          </w:tcPr>
          <w:p>
            <w:pPr>
              <w:pStyle w:val="TableContents"/>
              <w:pBdr>
                <w:bottom w:val="single" w:sz="2" w:space="1" w:color="000000"/>
              </w:pBdr>
              <w:bidi w:val="0"/>
              <w:spacing w:before="0" w:after="20"/>
              <w:jc w:val="left"/>
              <w:rPr/>
            </w:pPr>
            <w:r>
              <w:rPr/>
              <w:t> </w:t>
            </w:r>
          </w:p>
        </w:tc>
      </w:tr>
      <w:tr>
        <w:trPr/>
        <w:tc>
          <w:tcPr>
            <w:tcW w:w="1593"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2393"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REPARE THERAPEUTICS INC. COMMON SHARE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REPARE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COMMON SHARE, NO PAR VALUE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6"/>
        <w:gridCol w:w="122"/>
        <w:gridCol w:w="3158"/>
        <w:gridCol w:w="122"/>
        <w:gridCol w:w="3277"/>
      </w:tblGrid>
      <w:tr>
        <w:trPr/>
        <w:tc>
          <w:tcPr>
            <w:tcW w:w="35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526" w:type="dxa"/>
            <w:tcBorders/>
          </w:tcPr>
          <w:p>
            <w:pPr>
              <w:pStyle w:val="TableContents"/>
              <w:bidi w:val="0"/>
              <w:spacing w:before="0" w:after="283"/>
              <w:jc w:val="left"/>
              <w:rPr/>
            </w:pPr>
            <w:r>
              <w:rPr/>
              <w:t>No. []</w:t>
            </w:r>
          </w:p>
        </w:tc>
        <w:tc>
          <w:tcPr>
            <w:tcW w:w="122" w:type="dxa"/>
            <w:tcBorders/>
            <w:vAlign w:val="bottom"/>
          </w:tcPr>
          <w:p>
            <w:pPr>
              <w:pStyle w:val="TableContents"/>
              <w:bidi w:val="0"/>
              <w:spacing w:before="0" w:after="283"/>
              <w:jc w:val="left"/>
              <w:rPr/>
            </w:pPr>
            <w:r>
              <w:rPr/>
              <w:t>  </w:t>
            </w:r>
          </w:p>
        </w:tc>
        <w:tc>
          <w:tcPr>
            <w:tcW w:w="31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common shares, no par value per share, in the capital of Repare Therapeutics Inc. (the </w:t>
      </w:r>
      <w:r>
        <w:rPr>
          <w:rFonts w:ascii="Times New Roman" w:hAnsi="Times New Roman"/>
          <w:b/>
          <w:i/>
          <w:sz w:val="20"/>
        </w:rPr>
        <w:t>Company</w:t>
      </w:r>
      <w:r>
        <w:rPr>
          <w:rFonts w:ascii="Times New Roman" w:hAnsi="Times New Roman"/>
          <w:sz w:val="20"/>
        </w:rPr>
        <w:t>) (such common shares, the </w:t>
      </w:r>
      <w:r>
        <w:rPr>
          <w:rFonts w:ascii="Times New Roman" w:hAnsi="Times New Roman"/>
          <w:b/>
          <w:i/>
          <w:sz w:val="20"/>
        </w:rPr>
        <w:t>Warrant Securities</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77"/>
        <w:gridCol w:w="60"/>
        <w:gridCol w:w="2845"/>
      </w:tblGrid>
      <w:tr>
        <w:trPr/>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2845" w:type="dxa"/>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REPARE THERAPEUTICS INC.</w:t>
            </w:r>
            <w:r>
              <w:rPr/>
              <w:t>, as Company</w:t>
            </w:r>
          </w:p>
        </w:tc>
      </w:tr>
      <w:tr>
        <w:trPr>
          <w:trHeight w:val="240" w:hRule="atLeast"/>
        </w:trPr>
        <w:tc>
          <w:tcPr>
            <w:tcW w:w="1177" w:type="dxa"/>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845" w:type="dxa"/>
            <w:tcBorders/>
          </w:tcPr>
          <w:p>
            <w:pPr>
              <w:pStyle w:val="TableContents"/>
              <w:pBdr>
                <w:bottom w:val="single" w:sz="2" w:space="1" w:color="000000"/>
              </w:pBdr>
              <w:bidi w:val="0"/>
              <w:spacing w:before="0" w:after="20"/>
              <w:jc w:val="left"/>
              <w:rPr/>
            </w:pPr>
            <w:r>
              <w:rPr/>
              <w:t> </w:t>
            </w:r>
          </w:p>
        </w:tc>
      </w:tr>
      <w:tr>
        <w:trPr/>
        <w:tc>
          <w:tcPr>
            <w:tcW w:w="117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45" w:type="dxa"/>
            <w:tcBorders/>
          </w:tcPr>
          <w:p>
            <w:pPr>
              <w:pStyle w:val="TableContents"/>
              <w:pBdr>
                <w:bottom w:val="single" w:sz="2" w:space="1" w:color="000000"/>
              </w:pBdr>
              <w:bidi w:val="0"/>
              <w:spacing w:before="0" w:after="20"/>
              <w:jc w:val="left"/>
              <w:rPr/>
            </w:pPr>
            <w:r>
              <w:rPr/>
              <w:t> </w:t>
            </w:r>
          </w:p>
        </w:tc>
      </w:tr>
      <w:tr>
        <w:trPr/>
        <w:tc>
          <w:tcPr>
            <w:tcW w:w="117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45" w:type="dxa"/>
            <w:tcBorders/>
          </w:tcPr>
          <w:p>
            <w:pPr>
              <w:pStyle w:val="TableContents"/>
              <w:pBdr>
                <w:bottom w:val="single" w:sz="2" w:space="1" w:color="000000"/>
              </w:pBdr>
              <w:bidi w:val="0"/>
              <w:spacing w:before="0" w:after="20"/>
              <w:jc w:val="left"/>
              <w:rPr/>
            </w:pPr>
            <w:r>
              <w:rPr/>
              <w:t> </w:t>
            </w:r>
          </w:p>
        </w:tc>
      </w:tr>
      <w:tr>
        <w:trPr>
          <w:trHeight w:val="240" w:hRule="atLeast"/>
        </w:trPr>
        <w:tc>
          <w:tcPr>
            <w:tcW w:w="1177" w:type="dxa"/>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vAlign w:val="bottom"/>
          </w:tcPr>
          <w:p>
            <w:pPr>
              <w:pStyle w:val="TableContents"/>
              <w:bidi w:val="0"/>
              <w:spacing w:before="0" w:after="283"/>
              <w:jc w:val="left"/>
              <w:rPr>
                <w:b/>
              </w:rPr>
            </w:pPr>
            <w:r>
              <w:rPr>
                <w:b/>
              </w:rPr>
              <w:t>ATTEST:</w:t>
            </w:r>
          </w:p>
        </w:tc>
        <w:tc>
          <w:tcPr>
            <w:tcW w:w="60" w:type="dxa"/>
            <w:tcBorders/>
            <w:vAlign w:val="bottom"/>
          </w:tcPr>
          <w:p>
            <w:pPr>
              <w:pStyle w:val="TableContents"/>
              <w:bidi w:val="0"/>
              <w:spacing w:before="0" w:after="283"/>
              <w:jc w:val="left"/>
              <w:rPr/>
            </w:pPr>
            <w:r>
              <w:rPr/>
              <w:t> </w:t>
            </w:r>
          </w:p>
        </w:tc>
        <w:tc>
          <w:tcPr>
            <w:tcW w:w="2845" w:type="dxa"/>
            <w:tcBorders/>
            <w:vAlign w:val="bottom"/>
          </w:tcPr>
          <w:p>
            <w:pPr>
              <w:pStyle w:val="TableContents"/>
              <w:pBdr>
                <w:bottom w:val="single" w:sz="2" w:space="1" w:color="000000"/>
              </w:pBdr>
              <w:bidi w:val="0"/>
              <w:spacing w:before="0" w:after="20"/>
              <w:jc w:val="left"/>
              <w:rPr/>
            </w:pPr>
            <w:r>
              <w:rPr/>
              <w:t> </w:t>
            </w:r>
          </w:p>
        </w:tc>
      </w:tr>
      <w:tr>
        <w:trPr/>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5" w:type="dxa"/>
            <w:tcBorders/>
            <w:vAlign w:val="bottom"/>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COUNTERSIGNED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177" w:type="dxa"/>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845" w:type="dxa"/>
            <w:tcBorders/>
          </w:tcPr>
          <w:p>
            <w:pPr>
              <w:pStyle w:val="TableContents"/>
              <w:pBdr>
                <w:bottom w:val="single" w:sz="2" w:space="1" w:color="000000"/>
              </w:pBdr>
              <w:bidi w:val="0"/>
              <w:spacing w:before="0" w:after="20"/>
              <w:jc w:val="left"/>
              <w:rPr/>
            </w:pPr>
            <w:r>
              <w:rPr/>
              <w:t> </w:t>
            </w:r>
          </w:p>
        </w:tc>
      </w:tr>
      <w:tr>
        <w:trPr/>
        <w:tc>
          <w:tcPr>
            <w:tcW w:w="117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45" w:type="dxa"/>
            <w:tcBorders/>
          </w:tcPr>
          <w:p>
            <w:pPr>
              <w:pStyle w:val="TableContents"/>
              <w:pBdr>
                <w:bottom w:val="single" w:sz="2" w:space="1" w:color="000000"/>
              </w:pBdr>
              <w:bidi w:val="0"/>
              <w:spacing w:before="0" w:after="20"/>
              <w:jc w:val="left"/>
              <w:rPr/>
            </w:pPr>
            <w:r>
              <w:rPr/>
              <w:t> </w:t>
            </w:r>
          </w:p>
        </w:tc>
      </w:tr>
      <w:tr>
        <w:trPr/>
        <w:tc>
          <w:tcPr>
            <w:tcW w:w="117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45" w:type="dxa"/>
            <w:tcBorders/>
          </w:tcPr>
          <w:p>
            <w:pPr>
              <w:pStyle w:val="TableContents"/>
              <w:pBdr>
                <w:bottom w:val="single" w:sz="2" w:space="1" w:color="000000"/>
              </w:pBdr>
              <w:bidi w:val="0"/>
              <w:spacing w:before="0" w:after="20"/>
              <w:jc w:val="left"/>
              <w:rPr/>
            </w:pPr>
            <w:r>
              <w:rPr/>
              <w:t> </w:t>
            </w:r>
          </w:p>
        </w:tc>
      </w:tr>
      <w:tr>
        <w:trPr>
          <w:trHeight w:val="240" w:hRule="atLeast"/>
        </w:trPr>
        <w:tc>
          <w:tcPr>
            <w:tcW w:w="1177" w:type="dxa"/>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vAlign w:val="bottom"/>
          </w:tcPr>
          <w:p>
            <w:pPr>
              <w:pStyle w:val="TableContents"/>
              <w:bidi w:val="0"/>
              <w:spacing w:before="0" w:after="283"/>
              <w:jc w:val="left"/>
              <w:rPr>
                <w:b/>
              </w:rPr>
            </w:pPr>
            <w:r>
              <w:rPr>
                <w:b/>
              </w:rPr>
              <w:t>ATTEST:</w:t>
            </w:r>
          </w:p>
        </w:tc>
        <w:tc>
          <w:tcPr>
            <w:tcW w:w="60" w:type="dxa"/>
            <w:tcBorders/>
            <w:vAlign w:val="bottom"/>
          </w:tcPr>
          <w:p>
            <w:pPr>
              <w:pStyle w:val="TableContents"/>
              <w:bidi w:val="0"/>
              <w:spacing w:before="0" w:after="283"/>
              <w:jc w:val="left"/>
              <w:rPr/>
            </w:pPr>
            <w:r>
              <w:rPr/>
              <w:t> </w:t>
            </w:r>
          </w:p>
        </w:tc>
        <w:tc>
          <w:tcPr>
            <w:tcW w:w="2845" w:type="dxa"/>
            <w:tcBorders/>
            <w:vAlign w:val="bottom"/>
          </w:tcPr>
          <w:p>
            <w:pPr>
              <w:pStyle w:val="TableContents"/>
              <w:pBdr>
                <w:bottom w:val="single" w:sz="2" w:space="1" w:color="000000"/>
              </w:pBdr>
              <w:bidi w:val="0"/>
              <w:spacing w:before="0" w:after="20"/>
              <w:jc w:val="left"/>
              <w:rPr/>
            </w:pPr>
            <w:r>
              <w:rPr/>
              <w:t> </w:t>
            </w:r>
          </w:p>
        </w:tc>
      </w:tr>
      <w:tr>
        <w:trPr/>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5" w:type="dxa"/>
            <w:tcBorders/>
            <w:vAlign w:val="bottom"/>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common shares, no par value per share, in the capital of Repare Therapeutics Inc. (such common shares, the </w:t>
      </w:r>
      <w:r>
        <w:rPr>
          <w:rFonts w:ascii="Times New Roman" w:hAnsi="Times New Roman"/>
          <w:b/>
          <w:i/>
          <w:sz w:val="20"/>
        </w:rPr>
        <w:t>Warrant Securities</w:t>
      </w:r>
      <w:r>
        <w:rPr>
          <w:rFonts w:ascii="Times New Roman" w:hAnsi="Times New Roman"/>
          <w:sz w:val="20"/>
        </w:rPr>
        <w:t xml:space="preserve">)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Repare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
        <w:gridCol w:w="111"/>
        <w:gridCol w:w="3708"/>
        <w:gridCol w:w="128"/>
        <w:gridCol w:w="1325"/>
        <w:gridCol w:w="128"/>
        <w:gridCol w:w="3879"/>
      </w:tblGrid>
      <w:tr>
        <w:trPr/>
        <w:tc>
          <w:tcPr>
            <w:tcW w:w="92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926" w:type="dxa"/>
            <w:tcBorders/>
            <w:vAlign w:val="bottom"/>
          </w:tcPr>
          <w:p>
            <w:pPr>
              <w:pStyle w:val="TableContents"/>
              <w:bidi w:val="0"/>
              <w:spacing w:before="0" w:after="283"/>
              <w:jc w:val="left"/>
              <w:rPr/>
            </w:pPr>
            <w:r>
              <w:rPr/>
              <w:t>Dated:</w:t>
            </w:r>
          </w:p>
        </w:tc>
        <w:tc>
          <w:tcPr>
            <w:tcW w:w="111" w:type="dxa"/>
            <w:tcBorders/>
            <w:vAlign w:val="bottom"/>
          </w:tcPr>
          <w:p>
            <w:pPr>
              <w:pStyle w:val="TableContents"/>
              <w:bidi w:val="0"/>
              <w:spacing w:before="0" w:after="283"/>
              <w:jc w:val="left"/>
              <w:rPr/>
            </w:pPr>
            <w:r>
              <w:rPr/>
              <w:t> </w:t>
            </w:r>
          </w:p>
        </w:tc>
        <w:tc>
          <w:tcPr>
            <w:tcW w:w="3708" w:type="dxa"/>
            <w:tcBorders/>
            <w:vAlign w:val="bottom"/>
          </w:tcPr>
          <w:p>
            <w:pPr>
              <w:pStyle w:val="TableContents"/>
              <w:pBdr>
                <w:bottom w:val="single" w:sz="2" w:space="1" w:color="000000"/>
              </w:pBdr>
              <w:bidi w:val="0"/>
              <w:spacing w:before="0" w:after="20"/>
              <w:jc w:val="left"/>
              <w:rPr/>
            </w:pPr>
            <w:r>
              <w:rPr/>
              <w:t> </w:t>
            </w:r>
          </w:p>
        </w:tc>
        <w:tc>
          <w:tcPr>
            <w:tcW w:w="12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left"/>
              <w:rPr/>
            </w:pPr>
            <w:r>
              <w:rPr/>
              <w:t>   </w:t>
            </w:r>
            <w:r>
              <w:rPr/>
              <w:t>Name:</w:t>
            </w:r>
          </w:p>
        </w:tc>
        <w:tc>
          <w:tcPr>
            <w:tcW w:w="128" w:type="dxa"/>
            <w:tcBorders/>
            <w:vAlign w:val="bottom"/>
          </w:tcPr>
          <w:p>
            <w:pPr>
              <w:pStyle w:val="TableContents"/>
              <w:bidi w:val="0"/>
              <w:spacing w:before="0" w:after="283"/>
              <w:jc w:val="left"/>
              <w:rPr/>
            </w:pPr>
            <w:r>
              <w:rPr/>
              <w:t>  </w:t>
            </w:r>
          </w:p>
        </w:tc>
        <w:tc>
          <w:tcPr>
            <w:tcW w:w="3879" w:type="dxa"/>
            <w:tcBorders/>
            <w:vAlign w:val="bottom"/>
          </w:tcPr>
          <w:p>
            <w:pPr>
              <w:pStyle w:val="TableContents"/>
              <w:pBdr>
                <w:bottom w:val="single" w:sz="2" w:space="1" w:color="000000"/>
              </w:pBdr>
              <w:bidi w:val="0"/>
              <w:spacing w:before="0" w:after="20"/>
              <w:jc w:val="left"/>
              <w:rPr/>
            </w:pPr>
            <w:r>
              <w:rPr/>
              <w:t> </w:t>
            </w:r>
          </w:p>
        </w:tc>
      </w:tr>
      <w:tr>
        <w:trPr/>
        <w:tc>
          <w:tcPr>
            <w:tcW w:w="92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0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879" w:type="dxa"/>
            <w:tcBorders/>
            <w:vAlign w:val="bottom"/>
          </w:tcPr>
          <w:p>
            <w:pPr>
              <w:pStyle w:val="TableContents"/>
              <w:bidi w:val="0"/>
              <w:spacing w:before="0" w:after="283"/>
              <w:jc w:val="center"/>
              <w:rPr/>
            </w:pPr>
            <w:r>
              <w:rPr/>
              <w:t>Please Print</w:t>
            </w:r>
          </w:p>
        </w:tc>
      </w:tr>
      <w:tr>
        <w:trPr/>
        <w:tc>
          <w:tcPr>
            <w:tcW w:w="926" w:type="dxa"/>
            <w:tcBorders/>
          </w:tcPr>
          <w:p>
            <w:pPr>
              <w:pStyle w:val="TableContents"/>
              <w:bidi w:val="0"/>
              <w:spacing w:before="0" w:after="283"/>
              <w:jc w:val="left"/>
              <w:rPr/>
            </w:pPr>
            <w:r>
              <w:rPr/>
              <w:t>Address:</w:t>
            </w:r>
          </w:p>
        </w:tc>
        <w:tc>
          <w:tcPr>
            <w:tcW w:w="111" w:type="dxa"/>
            <w:tcBorders/>
            <w:vAlign w:val="bottom"/>
          </w:tcPr>
          <w:p>
            <w:pPr>
              <w:pStyle w:val="TableContents"/>
              <w:bidi w:val="0"/>
              <w:spacing w:before="0" w:after="283"/>
              <w:jc w:val="left"/>
              <w:rPr/>
            </w:pPr>
            <w:r>
              <w:rPr/>
              <w:t> </w:t>
            </w:r>
          </w:p>
        </w:tc>
        <w:tc>
          <w:tcPr>
            <w:tcW w:w="370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879" w:type="dxa"/>
            <w:tcBorders/>
            <w:vAlign w:val="bottom"/>
          </w:tcPr>
          <w:p>
            <w:pPr>
              <w:pStyle w:val="TableContents"/>
              <w:bidi w:val="0"/>
              <w:spacing w:before="0" w:after="283"/>
              <w:jc w:val="left"/>
              <w:rPr>
                <w:sz w:val="4"/>
                <w:szCs w:val="4"/>
              </w:rPr>
            </w:pPr>
            <w:r>
              <w:rPr>
                <w:sz w:val="4"/>
                <w:szCs w:val="4"/>
              </w:rPr>
            </w:r>
          </w:p>
        </w:tc>
      </w:tr>
      <w:tr>
        <w:trPr/>
        <w:tc>
          <w:tcPr>
            <w:tcW w:w="4745" w:type="dxa"/>
            <w:gridSpan w:val="3"/>
            <w:tcBorders/>
          </w:tcPr>
          <w:p>
            <w:pPr>
              <w:pStyle w:val="TableContents"/>
              <w:pBdr>
                <w:bottom w:val="single" w:sz="2" w:space="1" w:color="000000"/>
              </w:pBdr>
              <w:bidi w:val="0"/>
              <w:spacing w:before="0" w:after="20"/>
              <w:jc w:val="left"/>
              <w:rPr/>
            </w:pPr>
            <w:r>
              <w:rPr/>
              <w:t> </w:t>
            </w:r>
          </w:p>
        </w:tc>
        <w:tc>
          <w:tcPr>
            <w:tcW w:w="12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879" w:type="dxa"/>
            <w:tcBorders/>
            <w:vAlign w:val="bottom"/>
          </w:tcPr>
          <w:p>
            <w:pPr>
              <w:pStyle w:val="TableContents"/>
              <w:bidi w:val="0"/>
              <w:spacing w:before="0" w:after="283"/>
              <w:jc w:val="left"/>
              <w:rPr>
                <w:sz w:val="4"/>
                <w:szCs w:val="4"/>
              </w:rPr>
            </w:pPr>
            <w:r>
              <w:rPr>
                <w:sz w:val="4"/>
                <w:szCs w:val="4"/>
              </w:rPr>
            </w:r>
          </w:p>
        </w:tc>
      </w:tr>
      <w:tr>
        <w:trPr/>
        <w:tc>
          <w:tcPr>
            <w:tcW w:w="4745" w:type="dxa"/>
            <w:gridSpan w:val="3"/>
            <w:tcBorders/>
          </w:tcPr>
          <w:p>
            <w:pPr>
              <w:pStyle w:val="TableContents"/>
              <w:bidi w:val="0"/>
              <w:spacing w:before="0" w:after="283"/>
              <w:jc w:val="left"/>
              <w:rPr/>
            </w:pPr>
            <w:r>
              <w:rPr/>
              <w:t>(Insert Social Security or Other Identifying Number of Holder)</w:t>
            </w:r>
          </w:p>
        </w:tc>
        <w:tc>
          <w:tcPr>
            <w:tcW w:w="12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879" w:type="dxa"/>
            <w:tcBorders/>
            <w:vAlign w:val="bottom"/>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2095"/>
        <w:gridCol w:w="107"/>
        <w:gridCol w:w="3130"/>
        <w:gridCol w:w="122"/>
        <w:gridCol w:w="23"/>
        <w:gridCol w:w="122"/>
        <w:gridCol w:w="4606"/>
      </w:tblGrid>
      <w:tr>
        <w:trPr/>
        <w:tc>
          <w:tcPr>
            <w:tcW w:w="209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095" w:type="dxa"/>
            <w:tcBorders/>
            <w:vAlign w:val="center"/>
          </w:tcPr>
          <w:p>
            <w:pPr>
              <w:pStyle w:val="TableContents"/>
              <w:bidi w:val="0"/>
              <w:spacing w:before="0" w:after="283"/>
              <w:jc w:val="left"/>
              <w:rPr>
                <w:sz w:val="4"/>
                <w:szCs w:val="4"/>
              </w:rPr>
            </w:pPr>
            <w:r>
              <w:rPr>
                <w:sz w:val="4"/>
                <w:szCs w:val="4"/>
              </w:rPr>
            </w:r>
          </w:p>
        </w:tc>
        <w:tc>
          <w:tcPr>
            <w:tcW w:w="3237" w:type="dxa"/>
            <w:gridSpan w:val="2"/>
            <w:tcBorders/>
            <w:vAlign w:val="center"/>
          </w:tcPr>
          <w:p>
            <w:pPr>
              <w:pStyle w:val="TableContents"/>
              <w:bidi w:val="0"/>
              <w:spacing w:before="0" w:after="283"/>
              <w:jc w:val="left"/>
              <w:rPr>
                <w:sz w:val="4"/>
                <w:szCs w:val="4"/>
              </w:rPr>
            </w:pPr>
            <w:r>
              <w:rPr>
                <w:sz w:val="4"/>
                <w:szCs w:val="4"/>
              </w:rPr>
            </w:r>
          </w:p>
        </w:tc>
        <w:tc>
          <w:tcPr>
            <w:tcW w:w="145" w:type="dxa"/>
            <w:gridSpan w:val="2"/>
            <w:tcBorders/>
            <w:vAlign w:val="center"/>
          </w:tcPr>
          <w:p>
            <w:pPr>
              <w:pStyle w:val="TableContents"/>
              <w:bidi w:val="0"/>
              <w:spacing w:before="0" w:after="283"/>
              <w:jc w:val="left"/>
              <w:rPr>
                <w:sz w:val="4"/>
                <w:szCs w:val="4"/>
              </w:rPr>
            </w:pPr>
            <w:r>
              <w:rPr>
                <w:sz w:val="4"/>
                <w:szCs w:val="4"/>
              </w:rPr>
            </w:r>
          </w:p>
        </w:tc>
        <w:tc>
          <w:tcPr>
            <w:tcW w:w="4728" w:type="dxa"/>
            <w:gridSpan w:val="2"/>
            <w:tcBorders/>
            <w:vAlign w:val="center"/>
          </w:tcPr>
          <w:p>
            <w:pPr>
              <w:pStyle w:val="TableContents"/>
              <w:bidi w:val="0"/>
              <w:spacing w:before="0" w:after="283"/>
              <w:jc w:val="left"/>
              <w:rPr>
                <w:sz w:val="4"/>
                <w:szCs w:val="4"/>
              </w:rPr>
            </w:pPr>
            <w:r>
              <w:rPr>
                <w:sz w:val="4"/>
                <w:szCs w:val="4"/>
              </w:rPr>
            </w:r>
          </w:p>
        </w:tc>
      </w:tr>
      <w:tr>
        <w:trPr/>
        <w:tc>
          <w:tcPr>
            <w:tcW w:w="2095" w:type="dxa"/>
            <w:tcBorders/>
          </w:tcPr>
          <w:p>
            <w:pPr>
              <w:pStyle w:val="TableContents"/>
              <w:bidi w:val="0"/>
              <w:spacing w:before="0" w:after="283"/>
              <w:jc w:val="left"/>
              <w:rPr/>
            </w:pPr>
            <w:r>
              <w:rPr/>
              <w:t>Signature Guaranteed:</w:t>
            </w:r>
          </w:p>
        </w:tc>
        <w:tc>
          <w:tcPr>
            <w:tcW w:w="107" w:type="dxa"/>
            <w:tcBorders/>
            <w:vAlign w:val="bottom"/>
          </w:tcPr>
          <w:p>
            <w:pPr>
              <w:pStyle w:val="TableContents"/>
              <w:bidi w:val="0"/>
              <w:spacing w:before="0" w:after="283"/>
              <w:jc w:val="left"/>
              <w:rPr/>
            </w:pPr>
            <w:r>
              <w:rPr/>
              <w:t> </w:t>
            </w:r>
          </w:p>
        </w:tc>
        <w:tc>
          <w:tcPr>
            <w:tcW w:w="3130" w:type="dxa"/>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606" w:type="dxa"/>
            <w:tcBorders/>
            <w:vAlign w:val="bottom"/>
          </w:tcPr>
          <w:p>
            <w:pPr>
              <w:pStyle w:val="TableContents"/>
              <w:bidi w:val="0"/>
              <w:spacing w:before="0" w:after="283"/>
              <w:jc w:val="left"/>
              <w:rPr>
                <w:sz w:val="4"/>
                <w:szCs w:val="4"/>
              </w:rPr>
            </w:pPr>
            <w:r>
              <w:rPr>
                <w:sz w:val="4"/>
                <w:szCs w:val="4"/>
              </w:rPr>
            </w:r>
          </w:p>
        </w:tc>
      </w:tr>
      <w:tr>
        <w:trPr/>
        <w:tc>
          <w:tcPr>
            <w:tcW w:w="209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30" w:type="dxa"/>
            <w:tcBorders/>
            <w:vAlign w:val="bottom"/>
          </w:tcPr>
          <w:p>
            <w:pPr>
              <w:pStyle w:val="TableContents"/>
              <w:bidi w:val="0"/>
              <w:spacing w:before="0" w:after="283"/>
              <w:jc w:val="center"/>
              <w:rPr/>
            </w:pPr>
            <w:r>
              <w:rPr/>
              <w:t>Signature</w:t>
            </w:r>
          </w:p>
        </w:tc>
        <w:tc>
          <w:tcPr>
            <w:tcW w:w="122"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60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Securities and, if applicable, Warrant Certificates evidencing Warrants for the number of Warrant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5"/>
        <w:gridCol w:w="121"/>
        <w:gridCol w:w="635"/>
        <w:gridCol w:w="121"/>
        <w:gridCol w:w="4583"/>
      </w:tblGrid>
      <w:tr>
        <w:trPr/>
        <w:tc>
          <w:tcPr>
            <w:tcW w:w="47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583" w:type="dxa"/>
            <w:tcBorders/>
            <w:vAlign w:val="center"/>
          </w:tcPr>
          <w:p>
            <w:pPr>
              <w:pStyle w:val="TableContents"/>
              <w:bidi w:val="0"/>
              <w:spacing w:before="0" w:after="283"/>
              <w:jc w:val="left"/>
              <w:rPr>
                <w:sz w:val="4"/>
                <w:szCs w:val="4"/>
              </w:rPr>
            </w:pPr>
            <w:r>
              <w:rPr>
                <w:sz w:val="4"/>
                <w:szCs w:val="4"/>
              </w:rPr>
            </w:r>
          </w:p>
        </w:tc>
      </w:tr>
      <w:tr>
        <w:trPr/>
        <w:tc>
          <w:tcPr>
            <w:tcW w:w="474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583" w:type="dxa"/>
            <w:tcBorders/>
          </w:tcPr>
          <w:p>
            <w:pPr>
              <w:pStyle w:val="TableContents"/>
              <w:pBdr>
                <w:bottom w:val="single" w:sz="2" w:space="1" w:color="000000"/>
              </w:pBdr>
              <w:bidi w:val="0"/>
              <w:spacing w:before="0" w:after="20"/>
              <w:jc w:val="left"/>
              <w:rPr/>
            </w:pPr>
            <w:r>
              <w:rPr/>
              <w:t> </w:t>
            </w:r>
          </w:p>
        </w:tc>
      </w:tr>
      <w:tr>
        <w:trPr/>
        <w:tc>
          <w:tcPr>
            <w:tcW w:w="4745" w:type="dxa"/>
            <w:tcBorders/>
          </w:tcPr>
          <w:p>
            <w:pPr>
              <w:pStyle w:val="TableContents"/>
              <w:bidi w:val="0"/>
              <w:spacing w:before="0" w:after="283"/>
              <w:jc w:val="left"/>
              <w:rPr/>
            </w:pPr>
            <w:r>
              <w:rPr/>
              <w:t>(Please print name and address including zip code)</w:t>
            </w:r>
          </w:p>
        </w:tc>
        <w:tc>
          <w:tcPr>
            <w:tcW w:w="121"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83" w:type="dxa"/>
            <w:tcBorders/>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_______________ [Title of Warrant Securities] of Repare Therapeutics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1"/>
        <w:gridCol w:w="109"/>
        <w:gridCol w:w="4012"/>
        <w:gridCol w:w="109"/>
        <w:gridCol w:w="394"/>
        <w:gridCol w:w="109"/>
        <w:gridCol w:w="602"/>
        <w:gridCol w:w="108"/>
        <w:gridCol w:w="4161"/>
      </w:tblGrid>
      <w:tr>
        <w:trPr/>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1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61" w:type="dxa"/>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283"/>
              <w:jc w:val="left"/>
              <w:rPr/>
            </w:pPr>
            <w:r>
              <w:rPr/>
              <w:t>Dated:</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012"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pPr>
            <w:r>
              <w:rPr/>
              <w:t>Name:</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61" w:type="dxa"/>
            <w:tcBorders>
              <w:bottom w:val="single" w:sz="2" w:space="0" w:color="000000"/>
            </w:tcBorders>
            <w:tcMar>
              <w:bottom w:w="28" w:type="dxa"/>
            </w:tcMar>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01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61" w:type="dxa"/>
            <w:tcBorders/>
            <w:vAlign w:val="bottom"/>
          </w:tcPr>
          <w:p>
            <w:pPr>
              <w:pStyle w:val="TableContents"/>
              <w:bidi w:val="0"/>
              <w:spacing w:before="0" w:after="283"/>
              <w:jc w:val="center"/>
              <w:rPr>
                <w:sz w:val="20"/>
              </w:rPr>
            </w:pPr>
            <w:r>
              <w:rPr>
                <w:sz w:val="20"/>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Guaranteed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right"/>
        <w:rPr>
          <w:rFonts w:ascii="Times New Roman" w:hAnsi="Times New Roman"/>
          <w:b/>
          <w:sz w:val="20"/>
        </w:rPr>
      </w:pPr>
      <w:bookmarkStart w:id="23" w:name="d879175dex48.htm"/>
      <w:bookmarkStart w:id="24" w:name="ksd879175dex48"/>
      <w:bookmarkEnd w:id="23"/>
      <w:bookmarkEnd w:id="24"/>
      <w:r>
        <w:rPr>
          <w:rFonts w:ascii="Times New Roman" w:hAnsi="Times New Roman"/>
          <w:b/>
          <w:sz w:val="20"/>
        </w:rPr>
        <w:t xml:space="preserve">Exhibit 4.8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REPARE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PREFERRED SHARE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INC. FORM OF PREFERRED SHARE WARRANT AGREEMENT </w:t>
      </w:r>
    </w:p>
    <w:p>
      <w:pPr>
        <w:pStyle w:val="TextBody"/>
        <w:bidi w:val="0"/>
        <w:spacing w:before="240" w:after="0"/>
        <w:jc w:val="left"/>
        <w:rPr>
          <w:rFonts w:ascii="Times New Roman" w:hAnsi="Times New Roman"/>
          <w:sz w:val="20"/>
        </w:rPr>
      </w:pPr>
      <w:r>
        <w:rPr>
          <w:rFonts w:ascii="Times New Roman" w:hAnsi="Times New Roman"/>
          <w:b/>
          <w:sz w:val="20"/>
        </w:rPr>
        <w:t>THIS PREFERRED SHARE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REPARE THERAPEUTICS INC.</w:t>
      </w:r>
      <w:r>
        <w:rPr>
          <w:rFonts w:ascii="Times New Roman" w:hAnsi="Times New Roman"/>
          <w:sz w:val="20"/>
        </w:rPr>
        <w:t>, a corporation existing under the laws of the province of Québec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 </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Preferred Share purchasable through exercise of Warrants], no par value per share, in the capital of the Company (such preferred shares,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the Company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[US$[]principal amount] [[] shares] of Other Securities issued.] </w:t>
      </w:r>
    </w:p>
    <w:p>
      <w:pPr>
        <w:pStyle w:val="TextBody"/>
        <w:bidi w:val="0"/>
        <w:spacing w:before="240" w:after="0"/>
        <w:jc w:val="left"/>
        <w:rPr>
          <w:rFonts w:ascii="Times New Roman" w:hAnsi="Times New Roman"/>
          <w:b/>
          <w:sz w:val="20"/>
        </w:rPr>
      </w:pPr>
      <w:r>
        <w:rPr>
          <w:rFonts w:ascii="Times New Roman" w:hAnsi="Times New Roman"/>
          <w:b/>
          <w:sz w:val="20"/>
        </w:rPr>
        <w:t xml:space="preserve">1.2 Execution and 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one of its present or future chief executive officers, presidents, senior vice presidents, vice presidents, chief financial officers, chief legal officers, treasurers, assistant treasurers, controllers, assistant controllers, secretaries or assistant secretaries, as authorized by the board of directors of the Company (the </w:t>
      </w:r>
      <w:r>
        <w:rPr>
          <w:rFonts w:ascii="Times New Roman" w:hAnsi="Times New Roman"/>
          <w:b/>
          <w:i/>
          <w:sz w:val="20"/>
        </w:rPr>
        <w:t>Board</w:t>
      </w:r>
      <w:r>
        <w:rPr>
          <w:rFonts w:ascii="Times New Roman" w:hAnsi="Times New Roman"/>
          <w:sz w:val="20"/>
        </w:rPr>
        <w:t xml:space="preserve">). Such signatures may be manual or facsimile signatures of such authorized officers and may be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any officer of the Company who shall have signed any of the Warrant Certificates either manually or by facsimile signature shall cease for any reason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to have any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in accordance with this Section 2.3(a),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Warrant Securityholder Conferred by Warrants or Warrant Certificates. </w:t>
      </w:r>
      <w:r>
        <w:rPr>
          <w:rFonts w:ascii="Times New Roman" w:hAnsi="Times New Roman"/>
          <w:sz w:val="20"/>
        </w:rPr>
        <w:t xml:space="preserve">Neither this Agreement, any Warrant Certificate nor a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Subject to Section 4.3,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 xml:space="preserve">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at any time subdivide its issued and outstanding Warrant Securities into a greater number of shares, the Warrant Price in effect immediately prior to such subdivision shall be proportionately reduced and the number of Warrant Securities purchasable under the Warrants shall be proportionately increased. Conversely, in case the issued and outstanding Warrant Securities shall be consolidated into a smaller number of shares, the Warrant Price in effect immediately prior to such consolidation shall be proportionately increased and the number of Warrant Securities purchasable under the Warrants shall be proportionately decreased.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at any time or from time to time the holders of the Warrant Securities (or any shares or other securities at the time receivable upon the exercise of the Warrants) shall have received or become entitled to receive, without payment therefore,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Warrant Securities or any shares or other securities which are at any time directly or indirectly convertible into or exchangeable for the Warrant Securities, or any rights or options to subscribe for, purchase or otherwise acquire any of the foregoing by way of dividend or other distribution;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any cash paid or payable otherwise than in accordance with the terms of the Warrant Securities or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Warrant Securities or additional share or other securities or property (including cash) by way of spinoff, split-up, reclassification, consolidation of shares or similar corporate reorganization (other than the Warrant Securities issued as a share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shares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the Warrant Securities received or became entitled to receive such shares or all other additional shares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(i) any reclassification, capital reorganization, or change in the Warrant Securities (other than as a result of a subdivision, consolidation, or stock dividend provided for in Section 3.4(a) or Section 3.4(b) above), (ii) share exchange, amalgamation, merger or similar transaction of the Company with or into another person or entity (other than a share exchange, amalgamation, merger or similar transaction in which the Company is the acquiring or surviving corporation and which does not result in any change in the Warrant Securities other than the issuance of additional Warrant Securities)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its successor [or assignee] shall be delivered to the holders of the Warrants, so that the holders of the Warrants shall have the right at any time prior to the expiration of the Warrants to purchase, at a total price equal to that payable upon the exercise of the Warrants, the kind and amount of shares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or other securities and property deliverable upon exercise the Warrants, and appropriate adjustments shall be made to the Warrant Price payable hereunder provided the aggregate purchase price shall remain the same. In the case of any transaction described in clauses (ii) or (iii) above (other than in the case of an amalgamation in accordance with the </w:t>
      </w:r>
      <w:r>
        <w:rPr>
          <w:rFonts w:ascii="Times New Roman" w:hAnsi="Times New Roman"/>
          <w:i/>
          <w:sz w:val="20"/>
        </w:rPr>
        <w:t>Business Corporations Act</w:t>
      </w:r>
      <w:r>
        <w:rPr>
          <w:rFonts w:ascii="Times New Roman" w:hAnsi="Times New Roman"/>
          <w:sz w:val="20"/>
        </w:rPr>
        <w:t xml:space="preserve"> (Québec),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may, at its option, at any time until the Expiration Date, reduce the then current Warrant Price to any amount deemed appropriate by the Board for any period not exceeding twenty consecutive days (as evidenced in a resolution adopted by such Board),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Except as herein otherwise expressly provided, no adjustment in the Warrant Price shall be made by reason of the issuance of any securities of the Company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 fractional Warrant Securities shall be issued upon the exercise of Warrants. If more than one Warrant shall be exercised at one time by the same holder, the number of whole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Notwithstanding anything to the contrary herein, in no event shall the Warrant Price, as adjusted in accordance with the terms hereof, be less than the par value per Warrant Security (if the Warrant Security has par value).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Warrant Securities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such dividend or distribution, or, if a record is not to be taken, the date as of which the holders of record of Warrant Securities that will be entitled to such dividend or distribution are to be determined, (y) the date on which such Reorganization Event, dissolution, liquidation or winding up is expected to become effective, and the date as of which it is expected that holders of Warrant Securities of record shall be entitled to exchange their Warrant Securities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Warrant Securities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(b) </w:t>
      </w:r>
      <w:r>
        <w:rPr>
          <w:rFonts w:ascii="Times New Roman" w:hAnsi="Times New Roman"/>
          <w:sz w:val="20"/>
        </w:rPr>
        <w:t></w:t>
      </w:r>
      <w:r>
        <w:rPr>
          <w:rFonts w:ascii="Times New Roman" w:hAnsi="Times New Roman"/>
          <w:b/>
          <w:i/>
          <w:sz w:val="20"/>
        </w:rPr>
        <w:t>Market Price</w:t>
      </w:r>
      <w:r>
        <w:rPr>
          <w:rFonts w:ascii="Times New Roman" w:hAnsi="Times New Roman"/>
          <w:sz w:val="20"/>
        </w:rPr>
        <w:t xml:space="preserve"> for each Trading Day shall be, if the Warrant Security is listed or admitted to trading on any registered national securities exchange, the last reported sale price, regular way (or, if no such price is reported, the average of the reported closing bid and asked prices, regular way) of the Warrant Security, in either case as reported on the principal registered national securities exchange on which the Warrant Security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Warrant Securities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Warrant Securities, as determined by the Board.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Warrant accelerated may be exercised until [] p.m., [City] time, on the business day next preceding the Acceleration Date. The Warrant Price shall be payable as provided in Article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(including pursuant to Section 3.2),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 xml:space="preserve">Conditions of Warrant Agents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The Company agrees promptly to pay the Warrant Agent, in addition to the compensation to be agreed upon with the Company</w:t>
      </w:r>
      <w:r>
        <w:rPr>
          <w:rFonts w:ascii="Times New Roman" w:hAnsi="Times New Roman"/>
          <w:b/>
          <w:sz w:val="20"/>
        </w:rPr>
        <w:t xml:space="preserve">[,] </w:t>
      </w:r>
      <w:r>
        <w:rPr>
          <w:rFonts w:ascii="Times New Roman" w:hAnsi="Times New Roman"/>
          <w:sz w:val="20"/>
        </w:rPr>
        <w:t xml:space="preserve">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(in each case, except as to the Warrant Agents countersignature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(in each case,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amalgamated, or converted or any corporation with which the Warrant Agent may be consolidated, or any corporation resulting from any amalgamation,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Repare Therapeutics Inc., 7210 Frederick-Banting, Suite 100, St-Laurent, Québec, Canada H4S 2A1, Attention: []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15"/>
        <w:gridCol w:w="99"/>
        <w:gridCol w:w="2368"/>
      </w:tblGrid>
      <w:tr>
        <w:trPr/>
        <w:tc>
          <w:tcPr>
            <w:tcW w:w="161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R</w:t>
            </w:r>
            <w:r>
              <w:rPr>
                <w:b/>
                <w:sz w:val="20"/>
              </w:rPr>
              <w:t>EPARE</w:t>
            </w:r>
            <w:r>
              <w:rPr>
                <w:b/>
              </w:rPr>
              <w:t xml:space="preserve"> T</w:t>
            </w:r>
            <w:r>
              <w:rPr>
                <w:b/>
                <w:sz w:val="20"/>
              </w:rPr>
              <w:t>HERAPEUTICS</w:t>
            </w:r>
            <w:r>
              <w:rPr>
                <w:b/>
              </w:rPr>
              <w:t xml:space="preserve"> I</w:t>
            </w:r>
            <w:r>
              <w:rPr>
                <w:b/>
                <w:sz w:val="20"/>
              </w:rPr>
              <w:t>NC</w:t>
            </w:r>
            <w:r>
              <w:rPr/>
              <w:t>., as Company</w:t>
            </w:r>
          </w:p>
        </w:tc>
      </w:tr>
      <w:tr>
        <w:trPr>
          <w:trHeight w:val="240" w:hRule="atLeast"/>
        </w:trPr>
        <w:tc>
          <w:tcPr>
            <w:tcW w:w="1615" w:type="dxa"/>
            <w:tcBorders/>
            <w:vAlign w:val="center"/>
          </w:tcPr>
          <w:p>
            <w:pPr>
              <w:pStyle w:val="TableContents"/>
              <w:bidi w:val="0"/>
              <w:spacing w:before="0" w:after="283"/>
              <w:jc w:val="left"/>
              <w:rPr>
                <w:sz w:val="4"/>
                <w:szCs w:val="4"/>
              </w:rPr>
            </w:pPr>
            <w:r>
              <w:rPr>
                <w:sz w:val="4"/>
                <w:szCs w:val="4"/>
              </w:rPr>
            </w:r>
          </w:p>
        </w:tc>
        <w:tc>
          <w:tcPr>
            <w:tcW w:w="2467" w:type="dxa"/>
            <w:gridSpan w:val="2"/>
            <w:tcBorders/>
            <w:vAlign w:val="center"/>
          </w:tcPr>
          <w:p>
            <w:pPr>
              <w:pStyle w:val="TableContents"/>
              <w:bidi w:val="0"/>
              <w:spacing w:before="0" w:after="283"/>
              <w:jc w:val="left"/>
              <w:rPr>
                <w:sz w:val="4"/>
                <w:szCs w:val="4"/>
              </w:rPr>
            </w:pPr>
            <w:r>
              <w:rPr>
                <w:sz w:val="4"/>
                <w:szCs w:val="4"/>
              </w:rPr>
            </w:r>
          </w:p>
        </w:tc>
      </w:tr>
      <w:tr>
        <w:trPr/>
        <w:tc>
          <w:tcPr>
            <w:tcW w:w="1615" w:type="dxa"/>
            <w:tcBorders/>
          </w:tcPr>
          <w:p>
            <w:pPr>
              <w:pStyle w:val="TableContents"/>
              <w:bidi w:val="0"/>
              <w:spacing w:before="0" w:after="283"/>
              <w:jc w:val="left"/>
              <w:rPr/>
            </w:pPr>
            <w:r>
              <w:rPr/>
              <w:t>By:</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c>
          <w:tcPr>
            <w:tcW w:w="1615" w:type="dxa"/>
            <w:tcBorders/>
          </w:tcPr>
          <w:p>
            <w:pPr>
              <w:pStyle w:val="TableContents"/>
              <w:bidi w:val="0"/>
              <w:spacing w:before="0" w:after="283"/>
              <w:jc w:val="left"/>
              <w:rPr/>
            </w:pPr>
            <w:r>
              <w:rPr/>
              <w:t>Name:</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c>
          <w:tcPr>
            <w:tcW w:w="1615" w:type="dxa"/>
            <w:tcBorders/>
          </w:tcPr>
          <w:p>
            <w:pPr>
              <w:pStyle w:val="TableContents"/>
              <w:bidi w:val="0"/>
              <w:spacing w:before="0" w:after="283"/>
              <w:jc w:val="left"/>
              <w:rPr/>
            </w:pPr>
            <w:r>
              <w:rPr/>
              <w:t>Title:</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rHeight w:val="240" w:hRule="atLeast"/>
        </w:trPr>
        <w:tc>
          <w:tcPr>
            <w:tcW w:w="1615" w:type="dxa"/>
            <w:tcBorders/>
            <w:vAlign w:val="center"/>
          </w:tcPr>
          <w:p>
            <w:pPr>
              <w:pStyle w:val="TableContents"/>
              <w:bidi w:val="0"/>
              <w:spacing w:before="0" w:after="283"/>
              <w:jc w:val="left"/>
              <w:rPr>
                <w:sz w:val="4"/>
                <w:szCs w:val="4"/>
              </w:rPr>
            </w:pPr>
            <w:r>
              <w:rPr>
                <w:sz w:val="4"/>
                <w:szCs w:val="4"/>
              </w:rPr>
            </w:r>
          </w:p>
        </w:tc>
        <w:tc>
          <w:tcPr>
            <w:tcW w:w="2467" w:type="dxa"/>
            <w:gridSpan w:val="2"/>
            <w:tcBorders/>
            <w:vAlign w:val="center"/>
          </w:tcPr>
          <w:p>
            <w:pPr>
              <w:pStyle w:val="TableContents"/>
              <w:bidi w:val="0"/>
              <w:spacing w:before="0" w:after="283"/>
              <w:jc w:val="left"/>
              <w:rPr>
                <w:sz w:val="4"/>
                <w:szCs w:val="4"/>
              </w:rPr>
            </w:pPr>
            <w:r>
              <w:rPr>
                <w:sz w:val="4"/>
                <w:szCs w:val="4"/>
              </w:rPr>
            </w:r>
          </w:p>
        </w:tc>
      </w:tr>
      <w:tr>
        <w:trPr/>
        <w:tc>
          <w:tcPr>
            <w:tcW w:w="1615" w:type="dxa"/>
            <w:tcBorders/>
          </w:tcPr>
          <w:p>
            <w:pPr>
              <w:pStyle w:val="TableContents"/>
              <w:bidi w:val="0"/>
              <w:spacing w:before="0" w:after="283"/>
              <w:jc w:val="left"/>
              <w:rPr>
                <w:b/>
              </w:rPr>
            </w:pPr>
            <w:r>
              <w:rPr>
                <w:b/>
              </w:rPr>
              <w:t>A</w:t>
            </w:r>
            <w:r>
              <w:rPr>
                <w:b/>
                <w:sz w:val="20"/>
              </w:rPr>
              <w:t>TTEST</w:t>
            </w:r>
            <w:r>
              <w:rPr>
                <w:b/>
              </w:rPr>
              <w:t>:</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c>
          <w:tcPr>
            <w:tcW w:w="1615"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1615" w:type="dxa"/>
            <w:tcBorders/>
            <w:vAlign w:val="center"/>
          </w:tcPr>
          <w:p>
            <w:pPr>
              <w:pStyle w:val="TableContents"/>
              <w:bidi w:val="0"/>
              <w:spacing w:before="0" w:after="283"/>
              <w:jc w:val="left"/>
              <w:rPr>
                <w:sz w:val="4"/>
                <w:szCs w:val="4"/>
              </w:rPr>
            </w:pPr>
            <w:r>
              <w:rPr>
                <w:sz w:val="4"/>
                <w:szCs w:val="4"/>
              </w:rPr>
            </w:r>
          </w:p>
        </w:tc>
        <w:tc>
          <w:tcPr>
            <w:tcW w:w="2467" w:type="dxa"/>
            <w:gridSpan w:val="2"/>
            <w:tcBorders/>
            <w:vAlign w:val="center"/>
          </w:tcPr>
          <w:p>
            <w:pPr>
              <w:pStyle w:val="TableContents"/>
              <w:bidi w:val="0"/>
              <w:spacing w:before="0" w:after="283"/>
              <w:jc w:val="left"/>
              <w:rPr>
                <w:sz w:val="4"/>
                <w:szCs w:val="4"/>
              </w:rPr>
            </w:pPr>
            <w:r>
              <w:rPr>
                <w:sz w:val="4"/>
                <w:szCs w:val="4"/>
              </w:rPr>
            </w:r>
          </w:p>
        </w:tc>
      </w:tr>
      <w:tr>
        <w:trPr/>
        <w:tc>
          <w:tcPr>
            <w:tcW w:w="1615" w:type="dxa"/>
            <w:tcBorders/>
          </w:tcPr>
          <w:p>
            <w:pPr>
              <w:pStyle w:val="TableContents"/>
              <w:bidi w:val="0"/>
              <w:spacing w:before="0" w:after="283"/>
              <w:jc w:val="left"/>
              <w:rPr/>
            </w:pPr>
            <w:r>
              <w:rPr/>
              <w:t>By:</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c>
          <w:tcPr>
            <w:tcW w:w="1615" w:type="dxa"/>
            <w:tcBorders/>
          </w:tcPr>
          <w:p>
            <w:pPr>
              <w:pStyle w:val="TableContents"/>
              <w:bidi w:val="0"/>
              <w:spacing w:before="0" w:after="283"/>
              <w:jc w:val="left"/>
              <w:rPr/>
            </w:pPr>
            <w:r>
              <w:rPr/>
              <w:t>Name:</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c>
          <w:tcPr>
            <w:tcW w:w="1615" w:type="dxa"/>
            <w:tcBorders/>
          </w:tcPr>
          <w:p>
            <w:pPr>
              <w:pStyle w:val="TableContents"/>
              <w:bidi w:val="0"/>
              <w:spacing w:before="0" w:after="283"/>
              <w:jc w:val="left"/>
              <w:rPr/>
            </w:pPr>
            <w:r>
              <w:rPr/>
              <w:t>Title:</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rHeight w:val="240" w:hRule="atLeast"/>
        </w:trPr>
        <w:tc>
          <w:tcPr>
            <w:tcW w:w="1615" w:type="dxa"/>
            <w:tcBorders/>
            <w:vAlign w:val="center"/>
          </w:tcPr>
          <w:p>
            <w:pPr>
              <w:pStyle w:val="TableContents"/>
              <w:bidi w:val="0"/>
              <w:spacing w:before="0" w:after="283"/>
              <w:jc w:val="left"/>
              <w:rPr>
                <w:sz w:val="4"/>
                <w:szCs w:val="4"/>
              </w:rPr>
            </w:pPr>
            <w:r>
              <w:rPr>
                <w:sz w:val="4"/>
                <w:szCs w:val="4"/>
              </w:rPr>
            </w:r>
          </w:p>
        </w:tc>
        <w:tc>
          <w:tcPr>
            <w:tcW w:w="2467" w:type="dxa"/>
            <w:gridSpan w:val="2"/>
            <w:tcBorders/>
            <w:vAlign w:val="center"/>
          </w:tcPr>
          <w:p>
            <w:pPr>
              <w:pStyle w:val="TableContents"/>
              <w:bidi w:val="0"/>
              <w:spacing w:before="0" w:after="283"/>
              <w:jc w:val="left"/>
              <w:rPr>
                <w:sz w:val="4"/>
                <w:szCs w:val="4"/>
              </w:rPr>
            </w:pPr>
            <w:r>
              <w:rPr>
                <w:sz w:val="4"/>
                <w:szCs w:val="4"/>
              </w:rPr>
            </w:r>
          </w:p>
        </w:tc>
      </w:tr>
      <w:tr>
        <w:trPr/>
        <w:tc>
          <w:tcPr>
            <w:tcW w:w="1615" w:type="dxa"/>
            <w:tcBorders/>
          </w:tcPr>
          <w:p>
            <w:pPr>
              <w:pStyle w:val="TableContents"/>
              <w:bidi w:val="0"/>
              <w:spacing w:before="0" w:after="283"/>
              <w:jc w:val="left"/>
              <w:rPr>
                <w:b/>
              </w:rPr>
            </w:pPr>
            <w:r>
              <w:rPr>
                <w:b/>
              </w:rPr>
              <w:t>A</w:t>
            </w:r>
            <w:r>
              <w:rPr>
                <w:b/>
                <w:sz w:val="20"/>
              </w:rPr>
              <w:t>TTEST</w:t>
            </w:r>
            <w:r>
              <w:rPr>
                <w:b/>
              </w:rPr>
              <w:t>:</w:t>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r>
        <w:trPr/>
        <w:tc>
          <w:tcPr>
            <w:tcW w:w="1615"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36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REPARE THERAPEUTICS INC. PREFERRED SHARE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37"/>
        <w:gridCol w:w="129"/>
        <w:gridCol w:w="265"/>
        <w:gridCol w:w="129"/>
        <w:gridCol w:w="4745"/>
      </w:tblGrid>
      <w:tr>
        <w:trPr/>
        <w:tc>
          <w:tcPr>
            <w:tcW w:w="493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4937" w:type="dxa"/>
            <w:tcBorders/>
          </w:tcPr>
          <w:p>
            <w:pPr>
              <w:pStyle w:val="TableContents"/>
              <w:bidi w:val="0"/>
              <w:spacing w:before="0" w:after="283"/>
              <w:jc w:val="left"/>
              <w:rPr/>
            </w:pPr>
            <w:r>
              <w:rPr/>
              <w:t>[</w:t>
            </w:r>
            <w:r>
              <w:rPr>
                <w:b/>
                <w:i/>
              </w:rPr>
              <w:t>Form of Legend if Warrants are not immediately exercisable.</w:t>
            </w:r>
            <w:r>
              <w:rPr/>
              <w:t>]</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74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REPARE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6"/>
        <w:gridCol w:w="122"/>
        <w:gridCol w:w="3158"/>
        <w:gridCol w:w="122"/>
        <w:gridCol w:w="3277"/>
      </w:tblGrid>
      <w:tr>
        <w:trPr/>
        <w:tc>
          <w:tcPr>
            <w:tcW w:w="35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526" w:type="dxa"/>
            <w:tcBorders/>
          </w:tcPr>
          <w:p>
            <w:pPr>
              <w:pStyle w:val="TableContents"/>
              <w:bidi w:val="0"/>
              <w:spacing w:before="0" w:after="283"/>
              <w:jc w:val="left"/>
              <w:rPr/>
            </w:pPr>
            <w:r>
              <w:rPr/>
              <w:t>No. []</w:t>
            </w:r>
          </w:p>
        </w:tc>
        <w:tc>
          <w:tcPr>
            <w:tcW w:w="122" w:type="dxa"/>
            <w:tcBorders/>
            <w:vAlign w:val="bottom"/>
          </w:tcPr>
          <w:p>
            <w:pPr>
              <w:pStyle w:val="TableContents"/>
              <w:bidi w:val="0"/>
              <w:spacing w:before="0" w:after="283"/>
              <w:jc w:val="left"/>
              <w:rPr/>
            </w:pPr>
            <w:r>
              <w:rPr/>
              <w:t>  </w:t>
            </w:r>
          </w:p>
        </w:tc>
        <w:tc>
          <w:tcPr>
            <w:tcW w:w="31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[TITLE OF WARRANT SECURITIES], no par value per share, in the capital of Repare Therapeutics Inc. (the </w:t>
      </w:r>
      <w:r>
        <w:rPr>
          <w:rFonts w:ascii="Times New Roman" w:hAnsi="Times New Roman"/>
          <w:b/>
          <w:i/>
          <w:sz w:val="20"/>
        </w:rPr>
        <w:t>Company</w:t>
      </w:r>
      <w:r>
        <w:rPr>
          <w:rFonts w:ascii="Times New Roman" w:hAnsi="Times New Roman"/>
          <w:sz w:val="20"/>
        </w:rPr>
        <w:t>) (such [preferred shares], </w:t>
      </w:r>
      <w:r>
        <w:rPr>
          <w:rFonts w:ascii="Times New Roman" w:hAnsi="Times New Roman"/>
          <w:b/>
          <w:i/>
          <w:sz w:val="20"/>
        </w:rPr>
        <w:t>Warrant Securities</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37"/>
        <w:gridCol w:w="105"/>
        <w:gridCol w:w="1940"/>
      </w:tblGrid>
      <w:tr>
        <w:trPr/>
        <w:tc>
          <w:tcPr>
            <w:tcW w:w="203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REPARE THERAPEUTICS INC.</w:t>
            </w:r>
            <w:r>
              <w:rPr/>
              <w:t>, as Company</w:t>
            </w:r>
          </w:p>
        </w:tc>
      </w:tr>
      <w:tr>
        <w:trPr>
          <w:trHeight w:val="240" w:hRule="atLeast"/>
        </w:trPr>
        <w:tc>
          <w:tcPr>
            <w:tcW w:w="2037"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c>
          <w:tcPr>
            <w:tcW w:w="2037" w:type="dxa"/>
            <w:tcBorders/>
          </w:tcPr>
          <w:p>
            <w:pPr>
              <w:pStyle w:val="TableContents"/>
              <w:bidi w:val="0"/>
              <w:spacing w:before="0" w:after="283"/>
              <w:jc w:val="left"/>
              <w:rPr/>
            </w:pPr>
            <w:r>
              <w:rPr/>
              <w:t>Name:</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c>
          <w:tcPr>
            <w:tcW w:w="2037" w:type="dxa"/>
            <w:tcBorders/>
          </w:tcPr>
          <w:p>
            <w:pPr>
              <w:pStyle w:val="TableContents"/>
              <w:bidi w:val="0"/>
              <w:spacing w:before="0" w:after="283"/>
              <w:jc w:val="left"/>
              <w:rPr/>
            </w:pPr>
            <w:r>
              <w:rPr/>
              <w:t>Title:</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rHeight w:val="240" w:hRule="atLeast"/>
        </w:trPr>
        <w:tc>
          <w:tcPr>
            <w:tcW w:w="2037"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b/>
              </w:rPr>
            </w:pPr>
            <w:r>
              <w:rPr>
                <w:b/>
              </w:rPr>
              <w:t>ATTEST:</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c>
          <w:tcPr>
            <w:tcW w:w="2037"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2037"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c>
          <w:tcPr>
            <w:tcW w:w="2037" w:type="dxa"/>
            <w:tcBorders/>
          </w:tcPr>
          <w:p>
            <w:pPr>
              <w:pStyle w:val="TableContents"/>
              <w:bidi w:val="0"/>
              <w:spacing w:before="0" w:after="283"/>
              <w:jc w:val="left"/>
              <w:rPr/>
            </w:pPr>
            <w:r>
              <w:rPr/>
              <w:t>Name:</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c>
          <w:tcPr>
            <w:tcW w:w="2037" w:type="dxa"/>
            <w:tcBorders/>
          </w:tcPr>
          <w:p>
            <w:pPr>
              <w:pStyle w:val="TableContents"/>
              <w:bidi w:val="0"/>
              <w:spacing w:before="0" w:after="283"/>
              <w:jc w:val="left"/>
              <w:rPr/>
            </w:pPr>
            <w:r>
              <w:rPr/>
              <w:t>Title:</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rHeight w:val="240" w:hRule="atLeast"/>
        </w:trPr>
        <w:tc>
          <w:tcPr>
            <w:tcW w:w="2037"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b/>
              </w:rPr>
            </w:pPr>
            <w:r>
              <w:rPr>
                <w:b/>
              </w:rPr>
              <w:t>ATTEST:</w:t>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r>
        <w:trPr/>
        <w:tc>
          <w:tcPr>
            <w:tcW w:w="2037"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940"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12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[TITLE OF WARRANT SECURITIES], no par value per share, in the capital of Repare Therapeutics Inc. (such [preferred shares], the </w:t>
      </w:r>
      <w:r>
        <w:rPr>
          <w:rFonts w:ascii="Times New Roman" w:hAnsi="Times New Roman"/>
          <w:b/>
          <w:i/>
          <w:sz w:val="20"/>
        </w:rPr>
        <w:t>Warrant Securities</w:t>
      </w:r>
      <w:r>
        <w:rPr>
          <w:rFonts w:ascii="Times New Roman" w:hAnsi="Times New Roman"/>
          <w:sz w:val="20"/>
        </w:rPr>
        <w:t xml:space="preserve">),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Repare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5"/>
        <w:gridCol w:w="109"/>
        <w:gridCol w:w="3812"/>
        <w:gridCol w:w="109"/>
        <w:gridCol w:w="686"/>
        <w:gridCol w:w="109"/>
        <w:gridCol w:w="616"/>
        <w:gridCol w:w="109"/>
        <w:gridCol w:w="4040"/>
      </w:tblGrid>
      <w:tr>
        <w:trPr/>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Dated:</w:t>
            </w:r>
          </w:p>
        </w:tc>
        <w:tc>
          <w:tcPr>
            <w:tcW w:w="109" w:type="dxa"/>
            <w:tcBorders/>
            <w:vAlign w:val="bottom"/>
          </w:tcPr>
          <w:p>
            <w:pPr>
              <w:pStyle w:val="TableContents"/>
              <w:bidi w:val="0"/>
              <w:spacing w:before="0" w:after="283"/>
              <w:jc w:val="left"/>
              <w:rPr/>
            </w:pPr>
            <w:r>
              <w:rPr/>
              <w:t> </w:t>
            </w:r>
          </w:p>
        </w:tc>
        <w:tc>
          <w:tcPr>
            <w:tcW w:w="3812" w:type="dxa"/>
            <w:tcBorders/>
          </w:tcPr>
          <w:p>
            <w:pPr>
              <w:pStyle w:val="TableContents"/>
              <w:pBdr>
                <w:bottom w:val="single" w:sz="2" w:space="1" w:color="000000"/>
              </w:pBdr>
              <w:bidi w:val="0"/>
              <w:spacing w:before="0" w:after="20"/>
              <w:jc w:val="left"/>
              <w:rPr/>
            </w:pPr>
            <w:r>
              <w:rPr/>
              <w:t> </w:t>
            </w:r>
          </w:p>
        </w:tc>
        <w:tc>
          <w:tcPr>
            <w:tcW w:w="109"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040" w:type="dxa"/>
            <w:tcBorders/>
          </w:tcPr>
          <w:p>
            <w:pPr>
              <w:pStyle w:val="TableContents"/>
              <w:pBdr>
                <w:bottom w:val="single" w:sz="2" w:space="1" w:color="000000"/>
              </w:pBdr>
              <w:bidi w:val="0"/>
              <w:spacing w:before="0" w:after="20"/>
              <w:jc w:val="left"/>
              <w:rPr/>
            </w:pPr>
            <w:r>
              <w:rPr/>
              <w:t> </w:t>
            </w:r>
          </w:p>
        </w:tc>
      </w:tr>
      <w:tr>
        <w:trPr/>
        <w:tc>
          <w:tcPr>
            <w:tcW w:w="61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1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040" w:type="dxa"/>
            <w:tcBorders/>
          </w:tcPr>
          <w:p>
            <w:pPr>
              <w:pStyle w:val="TableContents"/>
              <w:bidi w:val="0"/>
              <w:spacing w:before="0" w:after="283"/>
              <w:jc w:val="center"/>
              <w:rPr/>
            </w:pPr>
            <w:r>
              <w:rPr/>
              <w:t>Please Print</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(Insert Social Security or Other Identifying Number of Holder)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300"/>
        <w:gridCol w:w="60"/>
        <w:gridCol w:w="1722"/>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2300" w:type="dxa"/>
            <w:tcBorders/>
          </w:tcPr>
          <w:p>
            <w:pPr>
              <w:pStyle w:val="TableContents"/>
              <w:bidi w:val="0"/>
              <w:spacing w:before="0" w:after="283"/>
              <w:jc w:val="left"/>
              <w:rPr/>
            </w:pPr>
            <w:r>
              <w:rPr/>
              <w:t>Signature Guaranteed: </w:t>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pBdr>
                <w:bottom w:val="single" w:sz="2" w:space="1" w:color="000000"/>
              </w:pBdr>
              <w:bidi w:val="0"/>
              <w:spacing w:before="0" w:after="20"/>
              <w:jc w:val="left"/>
              <w:rPr/>
            </w:pPr>
            <w:r>
              <w:rPr/>
              <w:t> </w:t>
            </w:r>
          </w:p>
        </w:tc>
      </w:tr>
      <w:tr>
        <w:trPr/>
        <w:tc>
          <w:tcPr>
            <w:tcW w:w="23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Securities and, if applicable, Warrant Certificates evidencing Warrants for the number of Warrant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12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5"/>
        <w:gridCol w:w="111"/>
        <w:gridCol w:w="263"/>
        <w:gridCol w:w="128"/>
        <w:gridCol w:w="4778"/>
      </w:tblGrid>
      <w:tr>
        <w:trPr/>
        <w:tc>
          <w:tcPr>
            <w:tcW w:w="492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4778" w:type="dxa"/>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pBdr>
                <w:bottom w:val="single" w:sz="2" w:space="1" w:color="000000"/>
              </w:pBdr>
              <w:bidi w:val="0"/>
              <w:spacing w:before="0" w:after="20"/>
              <w:jc w:val="left"/>
              <w:rPr/>
            </w:pPr>
            <w:r>
              <w:rPr/>
              <w:t> </w:t>
            </w:r>
          </w:p>
        </w:tc>
        <w:tc>
          <w:tcPr>
            <w:tcW w:w="111" w:type="dxa"/>
            <w:tcBorders/>
            <w:vAlign w:val="bottom"/>
          </w:tcPr>
          <w:p>
            <w:pPr>
              <w:pStyle w:val="TableContents"/>
              <w:bidi w:val="0"/>
              <w:spacing w:before="0" w:after="283"/>
              <w:jc w:val="left"/>
              <w:rPr/>
            </w:pPr>
            <w:r>
              <w:rPr/>
              <w:t> </w:t>
            </w:r>
          </w:p>
        </w:tc>
        <w:tc>
          <w:tcPr>
            <w:tcW w:w="263"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4778" w:type="dxa"/>
            <w:tcBorders/>
          </w:tcPr>
          <w:p>
            <w:pPr>
              <w:pStyle w:val="TableContents"/>
              <w:pBdr>
                <w:bottom w:val="single" w:sz="2" w:space="1" w:color="000000"/>
              </w:pBdr>
              <w:bidi w:val="0"/>
              <w:spacing w:before="0" w:after="20"/>
              <w:jc w:val="left"/>
              <w:rPr/>
            </w:pPr>
            <w:r>
              <w:rPr/>
              <w:t> </w:t>
            </w:r>
          </w:p>
        </w:tc>
      </w:tr>
      <w:tr>
        <w:trPr/>
        <w:tc>
          <w:tcPr>
            <w:tcW w:w="4925" w:type="dxa"/>
            <w:tcBorders/>
          </w:tcPr>
          <w:p>
            <w:pPr>
              <w:pStyle w:val="TableContents"/>
              <w:bidi w:val="0"/>
              <w:spacing w:before="0" w:after="283"/>
              <w:jc w:val="left"/>
              <w:rPr/>
            </w:pPr>
            <w:r>
              <w:rPr/>
              <w:t>(Please print name and address including zip code)</w:t>
            </w:r>
          </w:p>
        </w:tc>
        <w:tc>
          <w:tcPr>
            <w:tcW w:w="111" w:type="dxa"/>
            <w:tcBorders/>
            <w:vAlign w:val="bottom"/>
          </w:tcPr>
          <w:p>
            <w:pPr>
              <w:pStyle w:val="TableContents"/>
              <w:bidi w:val="0"/>
              <w:spacing w:before="0" w:after="283"/>
              <w:jc w:val="left"/>
              <w:rPr/>
            </w:pPr>
            <w:r>
              <w:rPr/>
              <w:t> </w:t>
            </w:r>
          </w:p>
        </w:tc>
        <w:tc>
          <w:tcPr>
            <w:tcW w:w="26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 [Title of Warrant Securities] of Repare Therapeutics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1"/>
        <w:gridCol w:w="108"/>
        <w:gridCol w:w="3806"/>
        <w:gridCol w:w="108"/>
        <w:gridCol w:w="685"/>
        <w:gridCol w:w="108"/>
        <w:gridCol w:w="602"/>
        <w:gridCol w:w="108"/>
        <w:gridCol w:w="4079"/>
      </w:tblGrid>
      <w:tr>
        <w:trPr/>
        <w:tc>
          <w:tcPr>
            <w:tcW w:w="60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283"/>
              <w:jc w:val="left"/>
              <w:rPr/>
            </w:pPr>
            <w:r>
              <w:rPr/>
              <w:t>Dated:</w:t>
            </w:r>
          </w:p>
        </w:tc>
        <w:tc>
          <w:tcPr>
            <w:tcW w:w="108" w:type="dxa"/>
            <w:tcBorders/>
            <w:vAlign w:val="bottom"/>
          </w:tcPr>
          <w:p>
            <w:pPr>
              <w:pStyle w:val="TableContents"/>
              <w:bidi w:val="0"/>
              <w:spacing w:before="0" w:after="283"/>
              <w:jc w:val="left"/>
              <w:rPr/>
            </w:pPr>
            <w:r>
              <w:rPr/>
              <w:t> </w:t>
            </w:r>
          </w:p>
        </w:tc>
        <w:tc>
          <w:tcPr>
            <w:tcW w:w="3806"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68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079" w:type="dxa"/>
            <w:tcBorders/>
          </w:tcPr>
          <w:p>
            <w:pPr>
              <w:pStyle w:val="TableContents"/>
              <w:pBdr>
                <w:bottom w:val="single" w:sz="2" w:space="1" w:color="000000"/>
              </w:pBdr>
              <w:bidi w:val="0"/>
              <w:spacing w:before="0" w:after="20"/>
              <w:jc w:val="left"/>
              <w:rPr/>
            </w:pPr>
            <w:r>
              <w:rPr/>
              <w:t> </w:t>
            </w:r>
          </w:p>
        </w:tc>
      </w:tr>
      <w:tr>
        <w:trPr/>
        <w:tc>
          <w:tcPr>
            <w:tcW w:w="60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0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8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079"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Guaranteed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25" w:name="d879175dex49.htm"/>
      <w:bookmarkStart w:id="26" w:name="ksd879175dex49"/>
      <w:bookmarkEnd w:id="25"/>
      <w:bookmarkEnd w:id="26"/>
      <w:r>
        <w:rPr>
          <w:rFonts w:ascii="Times New Roman" w:hAnsi="Times New Roman"/>
          <w:b/>
          <w:sz w:val="20"/>
        </w:rPr>
        <w:t xml:space="preserve">Exhibit 4.9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REPARE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INC. FORM OF DEBT SECURITIES WARRANT AGREEMENT </w:t>
      </w:r>
    </w:p>
    <w:p>
      <w:pPr>
        <w:pStyle w:val="TextBody"/>
        <w:bidi w:val="0"/>
        <w:spacing w:before="240" w:after="0"/>
        <w:jc w:val="left"/>
        <w:rPr>
          <w:rFonts w:ascii="Times New Roman" w:hAnsi="Times New Roman"/>
          <w:sz w:val="20"/>
        </w:rPr>
      </w:pPr>
      <w:r>
        <w:rPr>
          <w:rFonts w:ascii="Times New Roman" w:hAnsi="Times New Roman"/>
          <w:b/>
          <w:sz w:val="20"/>
        </w:rPr>
        <w:t>THIS DEBT SECURITIES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REPARE THERAPEUTICS INC.</w:t>
      </w:r>
      <w:r>
        <w:rPr>
          <w:rFonts w:ascii="Times New Roman" w:hAnsi="Times New Roman"/>
          <w:sz w:val="20"/>
        </w:rPr>
        <w:t>, a corporation organized under the laws of the province of Québec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has entered into an indenture dated as of [] (the </w:t>
      </w:r>
      <w:r>
        <w:rPr>
          <w:rFonts w:ascii="Times New Roman" w:hAnsi="Times New Roman"/>
          <w:b/>
          <w:i/>
          <w:sz w:val="20"/>
        </w:rPr>
        <w:t>Indenture</w:t>
      </w:r>
      <w:r>
        <w:rPr>
          <w:rFonts w:ascii="Times New Roman" w:hAnsi="Times New Roman"/>
          <w:sz w:val="20"/>
        </w:rPr>
        <w:t>), with [], as trustee (such trustee, and any successors to such trustee, herein called the </w:t>
      </w:r>
      <w:r>
        <w:rPr>
          <w:rFonts w:ascii="Times New Roman" w:hAnsi="Times New Roman"/>
          <w:b/>
          <w:i/>
          <w:sz w:val="20"/>
        </w:rPr>
        <w:t>Trustee</w:t>
      </w:r>
      <w:r>
        <w:rPr>
          <w:rFonts w:ascii="Times New Roman" w:hAnsi="Times New Roman"/>
          <w:sz w:val="20"/>
        </w:rPr>
        <w:t>), providing for the issuance from time to time of its debt securities, to be issued in one or more series as provided in the Indenture (the </w:t>
      </w:r>
      <w:r>
        <w:rPr>
          <w:rFonts w:ascii="Times New Roman" w:hAnsi="Times New Roman"/>
          <w:b/>
          <w:i/>
          <w:sz w:val="20"/>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w:t>
      </w:r>
      <w:r>
        <w:rPr>
          <w:rFonts w:ascii="Times New Roman" w:hAnsi="Times New Roman"/>
          <w:i/>
          <w:sz w:val="20"/>
        </w:rPr>
        <w:t></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Debt Securities purchasable through exercise of Warrants] (the </w:t>
      </w:r>
      <w:r>
        <w:rPr>
          <w:rFonts w:ascii="Times New Roman" w:hAnsi="Times New Roman"/>
          <w:b/>
          <w:i/>
          <w:sz w:val="20"/>
        </w:rPr>
        <w:t>Warrant Debt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the Company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1.1 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 w:hAnsi="Times New Roman"/>
          <w:b/>
          <w:i/>
          <w:sz w:val="20"/>
        </w:rPr>
        <w:t>If Other Securities and Warrants</w:t>
      </w:r>
      <w:r>
        <w:rPr>
          <w:rFonts w:ascii="Times New Roman" w:hAnsi="Times New Roman"/>
          <w:sz w:val="20"/>
        </w:rPr>
        <w:t xml:space="preserve"> 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b/>
          <w:sz w:val="20"/>
        </w:rPr>
      </w:pPr>
      <w:r>
        <w:rPr>
          <w:rFonts w:ascii="Times New Roman" w:hAnsi="Times New Roman"/>
          <w:b/>
          <w:sz w:val="20"/>
        </w:rPr>
        <w:t xml:space="preserve">1.2 Execution and 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as authorized by the board of directors of the Company (the </w:t>
      </w:r>
      <w:r>
        <w:rPr>
          <w:rFonts w:ascii="Times New Roman" w:hAnsi="Times New Roman"/>
          <w:b/>
          <w:i/>
          <w:sz w:val="20"/>
        </w:rPr>
        <w:t>Board</w:t>
      </w:r>
      <w:r>
        <w:rPr>
          <w:rFonts w:ascii="Times New Roman" w:hAnsi="Times New Roman"/>
          <w:sz w:val="20"/>
        </w:rPr>
        <w:t xml:space="preserve">). Such signatures may be manual or facsimile signatures of such authorized officers and may be imprinted or otherwise reproduced on the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In case any officer of the Company who shall have signed any of the Warrant Certificates either manually or by facsimile signature shall cease for any reason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 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2.1 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of Warrant Debt Securities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2.2 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to have any force or effect. </w:t>
      </w:r>
    </w:p>
    <w:p>
      <w:pPr>
        <w:pStyle w:val="TextBody"/>
        <w:bidi w:val="0"/>
        <w:spacing w:before="24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in accordance with this Section 2.3(a),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Prior to the issuance of any Warrants, there shall have been reserved, and the Company shall at all times through the Expiration Date keep reserved, out of its authorized but unissued Warrant Debt Securities, a number of shares sufficient to provide for the exercise of the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3.1 No Rights as Holder of Warrant Debt Securities Conferred by Warrants or Warrant Certificates. </w:t>
      </w:r>
      <w:r>
        <w:rPr>
          <w:rFonts w:ascii="Times New Roman" w:hAnsi="Times New Roman"/>
          <w:sz w:val="20"/>
        </w:rPr>
        <w:t xml:space="preserve">Neither this Agreement, the Indenture, any Warrant Certificate nor a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 </w:t>
      </w:r>
    </w:p>
    <w:p>
      <w:pPr>
        <w:pStyle w:val="TextBody"/>
        <w:bidi w:val="0"/>
        <w:spacing w:before="240" w:after="0"/>
        <w:jc w:val="left"/>
        <w:rPr>
          <w:rFonts w:ascii="Times New Roman" w:hAnsi="Times New Roman"/>
          <w:sz w:val="20"/>
        </w:rPr>
      </w:pPr>
      <w:r>
        <w:rPr>
          <w:rFonts w:ascii="Times New Roman" w:hAnsi="Times New Roman"/>
          <w:b/>
          <w:sz w:val="20"/>
        </w:rPr>
        <w:t xml:space="preserve">3.2 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Subject to Section 4.3,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 Holder of Warrant Certificate May Enforce Rights.</w:t>
      </w:r>
      <w:r>
        <w:rPr>
          <w:rFonts w:ascii="Times New Roman" w:hAnsi="Times New Roman"/>
          <w:sz w:val="20"/>
        </w:rPr>
        <w:t xml:space="preserve"> 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 </w:t>
      </w:r>
    </w:p>
    <w:p>
      <w:pPr>
        <w:pStyle w:val="TextBody"/>
        <w:bidi w:val="0"/>
        <w:spacing w:before="240" w:after="0"/>
        <w:jc w:val="left"/>
        <w:rPr>
          <w:rFonts w:ascii="Times New Roman" w:hAnsi="Times New Roman"/>
          <w:sz w:val="20"/>
        </w:rPr>
      </w:pPr>
      <w:r>
        <w:rPr>
          <w:rFonts w:ascii="Times New Roman" w:hAnsi="Times New Roman"/>
          <w:b/>
          <w:sz w:val="20"/>
        </w:rPr>
        <w:t>3.4 Amalgamation, Merger, Sale, Conveyance or Lease.</w:t>
      </w:r>
      <w:r>
        <w:rPr>
          <w:rFonts w:ascii="Times New Roman" w:hAnsi="Times New Roman"/>
          <w:sz w:val="20"/>
        </w:rPr>
        <w:t xml:space="preserve"> In case of (a) any share exchange, amalgamation,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Companys successor or assignee shall be delivered to the holders of the Warrants, so that such successor shall succeed to and be substituted for the Company, and assume all the Companys obligations under, this Agreement and the Warrants. The Company shall thereupon (other than in the case of an amalgamation in accordance with the </w:t>
      </w:r>
      <w:r>
        <w:rPr>
          <w:rFonts w:ascii="Times New Roman" w:hAnsi="Times New Roman"/>
          <w:i/>
          <w:sz w:val="20"/>
        </w:rPr>
        <w:t xml:space="preserve">Business Corporations Act </w:t>
      </w:r>
      <w:r>
        <w:rPr>
          <w:rFonts w:ascii="Times New Roman" w:hAnsi="Times New Roman"/>
          <w:sz w:val="20"/>
        </w:rPr>
        <w:t xml:space="preserve">(Québec))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 xml:space="preserve">3.5 Notice to Warrantholders. </w:t>
      </w:r>
      <w:r>
        <w:rPr>
          <w:rFonts w:ascii="Times New Roman" w:hAnsi="Times New Roman"/>
          <w:sz w:val="20"/>
        </w:rPr>
        <w:t xml:space="preserve">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[title of Warrant Debt Securities] for securities or other property deliverable upon such Reorganization Event, dissolution, liquidation or winding up. No failure to mail such notice nor any defect therein or in the mailing thereof shall affect any such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4.1 </w:t>
      </w:r>
      <w:r>
        <w:rPr>
          <w:rFonts w:ascii="Times New Roman" w:hAnsi="Times New Roman"/>
          <w:sz w:val="20"/>
        </w:rPr>
        <w:t xml:space="preserve">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 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 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(including pursuant to Section 3.2),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 xml:space="preserve">5.1 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 xml:space="preserve">5.2 Conditions of Warrant Agents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 xml:space="preserve">(a) Compensation and Indemnification. </w:t>
      </w:r>
      <w:r>
        <w:rPr>
          <w:rFonts w:ascii="Times New Roman" w:hAnsi="Times New Roman"/>
          <w:sz w:val="20"/>
        </w:rPr>
        <w:t xml:space="preserve">The Company agrees promptly to pay the Warrant Agent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 xml:space="preserve">(b) 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(c) 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 xml:space="preserve">(d) 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 xml:space="preserve">(e) 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 </w:t>
      </w:r>
    </w:p>
    <w:p>
      <w:pPr>
        <w:pStyle w:val="TextBody"/>
        <w:bidi w:val="0"/>
        <w:spacing w:before="240" w:after="0"/>
        <w:jc w:val="left"/>
        <w:rPr>
          <w:rFonts w:ascii="Times New Roman" w:hAnsi="Times New Roman"/>
          <w:sz w:val="20"/>
        </w:rPr>
      </w:pPr>
      <w:r>
        <w:rPr>
          <w:rFonts w:ascii="Times New Roman" w:hAnsi="Times New Roman"/>
          <w:b/>
          <w:sz w:val="20"/>
        </w:rPr>
        <w:t xml:space="preserve">(f) 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(g) No Liability for Invalidity. </w:t>
      </w:r>
      <w:r>
        <w:rPr>
          <w:rFonts w:ascii="Times New Roman" w:hAnsi="Times New Roman"/>
          <w:sz w:val="20"/>
        </w:rPr>
        <w:t xml:space="preserve">The Warrant Agent shall have no liability with respect to any invalidity of this Agreement or any of the Warrant Certificates (in each case,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 xml:space="preserve">(h) No Responsibility for Representations. </w:t>
      </w:r>
      <w:r>
        <w:rPr>
          <w:rFonts w:ascii="Times New Roman" w:hAnsi="Times New Roman"/>
          <w:sz w:val="20"/>
        </w:rPr>
        <w:t xml:space="preserve">The Warrant Agent shall not be responsible for any of the recitals or representations herein or in the Warrant Certificates (in each case,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(i) 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Any corporation into which the Warrant Agent hereunder may be amalgamated., merged or converted or any corporation with which the Warrant Agent may be consolidated, or any corporation resulting from any amalgamation,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 xml:space="preserve">6.1 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6.2 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6.3 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Repare Therapeutics Inc., 7210 Frederick-Banting, Suite 100, St-Laurent, Québec, Canada H4S 2A1, Attention: []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6.4 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 xml:space="preserve">6.5 Delivery of Prospectus. </w:t>
      </w:r>
      <w:r>
        <w:rPr>
          <w:rFonts w:ascii="Times New Roman" w:hAnsi="Times New Roman"/>
          <w:sz w:val="20"/>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 xml:space="preserve">6.6 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 xml:space="preserve">6.7 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6.8 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6.9 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 xml:space="preserve">6.10 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92"/>
        <w:gridCol w:w="102"/>
        <w:gridCol w:w="2388"/>
      </w:tblGrid>
      <w:tr>
        <w:trPr/>
        <w:tc>
          <w:tcPr>
            <w:tcW w:w="159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REPARE THERAPEUTICS INC</w:t>
            </w:r>
            <w:r>
              <w:rPr>
                <w:rFonts w:ascii="Times New Roman" w:hAnsi="Times New Roman"/>
                <w:sz w:val="20"/>
              </w:rPr>
              <w:t>., as Company</w:t>
            </w:r>
          </w:p>
        </w:tc>
      </w:tr>
      <w:tr>
        <w:trPr>
          <w:trHeight w:val="240" w:hRule="atLeast"/>
        </w:trPr>
        <w:tc>
          <w:tcPr>
            <w:tcW w:w="1592" w:type="dxa"/>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rHeight w:val="240" w:hRule="atLeast"/>
        </w:trPr>
        <w:tc>
          <w:tcPr>
            <w:tcW w:w="1592" w:type="dxa"/>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b/>
                <w:sz w:val="20"/>
              </w:rPr>
            </w:pPr>
            <w:r>
              <w:rPr>
                <w:rFonts w:ascii="Times New Roman" w:hAnsi="Times New Roman"/>
                <w:b/>
                <w:sz w:val="20"/>
              </w:rPr>
              <w:t>ATTEST:</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as Warrant Agent</w:t>
            </w:r>
          </w:p>
        </w:tc>
      </w:tr>
      <w:tr>
        <w:trPr>
          <w:trHeight w:val="240" w:hRule="atLeast"/>
        </w:trPr>
        <w:tc>
          <w:tcPr>
            <w:tcW w:w="1592" w:type="dxa"/>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rHeight w:val="240" w:hRule="atLeast"/>
        </w:trPr>
        <w:tc>
          <w:tcPr>
            <w:tcW w:w="1592" w:type="dxa"/>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b/>
                <w:sz w:val="20"/>
              </w:rPr>
              <w:t>ATTEST</w:t>
            </w:r>
            <w:r>
              <w:rPr>
                <w:rFonts w:ascii="Times New Roman" w:hAnsi="Times New Roman"/>
                <w:sz w:val="20"/>
              </w:rPr>
              <w:t>:</w:t>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REPARE THERAPEUTICS INC. DEBT SECURITIES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REPARE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DEBT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6"/>
        <w:gridCol w:w="122"/>
        <w:gridCol w:w="3158"/>
        <w:gridCol w:w="122"/>
        <w:gridCol w:w="3277"/>
      </w:tblGrid>
      <w:tr>
        <w:trPr/>
        <w:tc>
          <w:tcPr>
            <w:tcW w:w="35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526" w:type="dxa"/>
            <w:tcBorders/>
          </w:tcPr>
          <w:p>
            <w:pPr>
              <w:pStyle w:val="TableContents"/>
              <w:bidi w:val="0"/>
              <w:spacing w:before="0" w:after="283"/>
              <w:jc w:val="left"/>
              <w:rPr/>
            </w:pPr>
            <w:r>
              <w:rPr/>
              <w:t>No. []</w:t>
            </w:r>
          </w:p>
        </w:tc>
        <w:tc>
          <w:tcPr>
            <w:tcW w:w="122" w:type="dxa"/>
            <w:tcBorders/>
            <w:vAlign w:val="bottom"/>
          </w:tcPr>
          <w:p>
            <w:pPr>
              <w:pStyle w:val="TableContents"/>
              <w:bidi w:val="0"/>
              <w:spacing w:before="0" w:after="283"/>
              <w:jc w:val="left"/>
              <w:rPr/>
            </w:pPr>
            <w:r>
              <w:rPr/>
              <w:t>  </w:t>
            </w:r>
          </w:p>
        </w:tc>
        <w:tc>
          <w:tcPr>
            <w:tcW w:w="31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hAnsi="Times New Roman"/>
          <w:b/>
          <w:i/>
          <w:sz w:val="20"/>
        </w:rPr>
        <w:t>Warrant Debt Securities</w:t>
      </w:r>
      <w:r>
        <w:rPr>
          <w:rFonts w:ascii="Times New Roman" w:hAnsi="Times New Roman"/>
          <w:sz w:val="20"/>
        </w:rPr>
        <w:t>), of Repare Therapeutics Inc. (the </w:t>
      </w:r>
      <w:r>
        <w:rPr>
          <w:rFonts w:ascii="Times New Roman" w:hAnsi="Times New Roman"/>
          <w:b/>
          <w:i/>
          <w:sz w:val="20"/>
        </w:rPr>
        <w:t>Company</w:t>
      </w:r>
      <w:r>
        <w:rPr>
          <w:rFonts w:ascii="Times New Roman" w:hAnsi="Times New Roman"/>
          <w:sz w:val="20"/>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hAnsi="Times New Roman"/>
          <w:b/>
          <w:i/>
          <w:sz w:val="20"/>
        </w:rPr>
        <w:t>Warrant Price</w:t>
      </w:r>
      <w:r>
        <w:rPr>
          <w:rFonts w:ascii="Times New Roman" w:hAnsi="Times New Roman"/>
          <w:sz w:val="20"/>
        </w:rPr>
        <w:t>) of []% of the principal amount of Warrant Debt Securities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Warrant Debt Securities to be issued and delivered upon the exercise of Warrants evidenced by this Warrant Certificate will be issued under and in accordance with an Indenture, dated as of [] (the </w:t>
      </w:r>
      <w:r>
        <w:rPr>
          <w:rFonts w:ascii="Times New Roman" w:hAnsi="Times New Roman"/>
          <w:b/>
          <w:i/>
          <w:sz w:val="20"/>
        </w:rPr>
        <w:t>Indenture</w:t>
      </w:r>
      <w:r>
        <w:rPr>
          <w:rFonts w:ascii="Times New Roman" w:hAnsi="Times New Roman"/>
          <w:sz w:val="20"/>
        </w:rPr>
        <w:t>), between the Company and [], as trustee (such trustee, and any successors to such trustee, the </w:t>
      </w:r>
      <w:r>
        <w:rPr>
          <w:rFonts w:ascii="Times New Roman" w:hAnsi="Times New Roman"/>
          <w:b/>
          <w:i/>
          <w:sz w:val="20"/>
        </w:rPr>
        <w:t>Trustee</w:t>
      </w:r>
      <w:r>
        <w:rPr>
          <w:rFonts w:ascii="Times New Roman" w:hAnsi="Times New Roman"/>
          <w:sz w:val="20"/>
        </w:rPr>
        <w:t xml:space="preserve">)] and will be subject to the terms and provisions contained in the Warrant Debt Securities and in the Indenture. Copies of the Indenture, including the form of the Warrant Debt Securities, are on file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883"/>
        <w:gridCol w:w="85"/>
        <w:gridCol w:w="2114"/>
      </w:tblGrid>
      <w:tr>
        <w:trPr/>
        <w:tc>
          <w:tcPr>
            <w:tcW w:w="188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REPARE THERAPEUTICS INC.</w:t>
            </w:r>
            <w:r>
              <w:rPr>
                <w:rFonts w:ascii="Times New Roman" w:hAnsi="Times New Roman"/>
                <w:sz w:val="20"/>
              </w:rPr>
              <w:t>, as Company</w:t>
            </w:r>
          </w:p>
        </w:tc>
      </w:tr>
      <w:tr>
        <w:trPr>
          <w:trHeight w:val="240" w:hRule="atLeast"/>
        </w:trPr>
        <w:tc>
          <w:tcPr>
            <w:tcW w:w="1883" w:type="dxa"/>
            <w:tcBorders/>
            <w:vAlign w:val="center"/>
          </w:tcPr>
          <w:p>
            <w:pPr>
              <w:pStyle w:val="TableContents"/>
              <w:bidi w:val="0"/>
              <w:spacing w:before="0" w:after="283"/>
              <w:jc w:val="left"/>
              <w:rPr>
                <w:sz w:val="4"/>
                <w:szCs w:val="4"/>
              </w:rPr>
            </w:pPr>
            <w:r>
              <w:rPr>
                <w:sz w:val="4"/>
                <w:szCs w:val="4"/>
              </w:rPr>
            </w:r>
          </w:p>
        </w:tc>
        <w:tc>
          <w:tcPr>
            <w:tcW w:w="2199" w:type="dxa"/>
            <w:gridSpan w:val="2"/>
            <w:tcBorders/>
            <w:vAlign w:val="center"/>
          </w:tcPr>
          <w:p>
            <w:pPr>
              <w:pStyle w:val="TableContents"/>
              <w:bidi w:val="0"/>
              <w:spacing w:before="0" w:after="283"/>
              <w:jc w:val="left"/>
              <w:rPr>
                <w:sz w:val="4"/>
                <w:szCs w:val="4"/>
              </w:rPr>
            </w:pPr>
            <w:r>
              <w:rPr>
                <w:sz w:val="4"/>
                <w:szCs w:val="4"/>
              </w:rPr>
            </w:r>
          </w:p>
        </w:tc>
      </w:tr>
      <w:tr>
        <w:trPr/>
        <w:tc>
          <w:tcPr>
            <w:tcW w:w="1883"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c>
          <w:tcPr>
            <w:tcW w:w="1883"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c>
          <w:tcPr>
            <w:tcW w:w="1883"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rHeight w:val="240" w:hRule="atLeast"/>
        </w:trPr>
        <w:tc>
          <w:tcPr>
            <w:tcW w:w="1883" w:type="dxa"/>
            <w:tcBorders/>
            <w:vAlign w:val="center"/>
          </w:tcPr>
          <w:p>
            <w:pPr>
              <w:pStyle w:val="TableContents"/>
              <w:bidi w:val="0"/>
              <w:spacing w:before="0" w:after="283"/>
              <w:jc w:val="left"/>
              <w:rPr>
                <w:sz w:val="4"/>
                <w:szCs w:val="4"/>
              </w:rPr>
            </w:pPr>
            <w:r>
              <w:rPr>
                <w:sz w:val="4"/>
                <w:szCs w:val="4"/>
              </w:rPr>
            </w:r>
          </w:p>
        </w:tc>
        <w:tc>
          <w:tcPr>
            <w:tcW w:w="2199" w:type="dxa"/>
            <w:gridSpan w:val="2"/>
            <w:tcBorders/>
            <w:vAlign w:val="center"/>
          </w:tcPr>
          <w:p>
            <w:pPr>
              <w:pStyle w:val="TableContents"/>
              <w:bidi w:val="0"/>
              <w:spacing w:before="0" w:after="283"/>
              <w:jc w:val="left"/>
              <w:rPr>
                <w:sz w:val="4"/>
                <w:szCs w:val="4"/>
              </w:rPr>
            </w:pPr>
            <w:r>
              <w:rPr>
                <w:sz w:val="4"/>
                <w:szCs w:val="4"/>
              </w:rPr>
            </w:r>
          </w:p>
        </w:tc>
      </w:tr>
      <w:tr>
        <w:trPr/>
        <w:tc>
          <w:tcPr>
            <w:tcW w:w="1883" w:type="dxa"/>
            <w:tcBorders/>
          </w:tcPr>
          <w:p>
            <w:pPr>
              <w:pStyle w:val="TableContents"/>
              <w:bidi w:val="0"/>
              <w:spacing w:before="0" w:after="283"/>
              <w:jc w:val="left"/>
              <w:rPr>
                <w:b/>
              </w:rPr>
            </w:pPr>
            <w:r>
              <w:rPr>
                <w:b/>
              </w:rPr>
              <w:t>ATTEST:</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c>
          <w:tcPr>
            <w:tcW w:w="1883"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COUNTERSIGNED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883" w:type="dxa"/>
            <w:tcBorders/>
            <w:vAlign w:val="center"/>
          </w:tcPr>
          <w:p>
            <w:pPr>
              <w:pStyle w:val="TableContents"/>
              <w:bidi w:val="0"/>
              <w:spacing w:before="0" w:after="283"/>
              <w:jc w:val="left"/>
              <w:rPr>
                <w:sz w:val="4"/>
                <w:szCs w:val="4"/>
              </w:rPr>
            </w:pPr>
            <w:r>
              <w:rPr>
                <w:sz w:val="4"/>
                <w:szCs w:val="4"/>
              </w:rPr>
            </w:r>
          </w:p>
        </w:tc>
        <w:tc>
          <w:tcPr>
            <w:tcW w:w="2199" w:type="dxa"/>
            <w:gridSpan w:val="2"/>
            <w:tcBorders/>
            <w:vAlign w:val="center"/>
          </w:tcPr>
          <w:p>
            <w:pPr>
              <w:pStyle w:val="TableContents"/>
              <w:bidi w:val="0"/>
              <w:spacing w:before="0" w:after="283"/>
              <w:jc w:val="left"/>
              <w:rPr>
                <w:sz w:val="4"/>
                <w:szCs w:val="4"/>
              </w:rPr>
            </w:pPr>
            <w:r>
              <w:rPr>
                <w:sz w:val="4"/>
                <w:szCs w:val="4"/>
              </w:rPr>
            </w:r>
          </w:p>
        </w:tc>
      </w:tr>
      <w:tr>
        <w:trPr/>
        <w:tc>
          <w:tcPr>
            <w:tcW w:w="1883"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c>
          <w:tcPr>
            <w:tcW w:w="1883"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c>
          <w:tcPr>
            <w:tcW w:w="1883"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rHeight w:val="240" w:hRule="atLeast"/>
        </w:trPr>
        <w:tc>
          <w:tcPr>
            <w:tcW w:w="1883" w:type="dxa"/>
            <w:tcBorders/>
            <w:vAlign w:val="center"/>
          </w:tcPr>
          <w:p>
            <w:pPr>
              <w:pStyle w:val="TableContents"/>
              <w:bidi w:val="0"/>
              <w:spacing w:before="0" w:after="283"/>
              <w:jc w:val="left"/>
              <w:rPr>
                <w:sz w:val="4"/>
                <w:szCs w:val="4"/>
              </w:rPr>
            </w:pPr>
            <w:r>
              <w:rPr>
                <w:sz w:val="4"/>
                <w:szCs w:val="4"/>
              </w:rPr>
            </w:r>
          </w:p>
        </w:tc>
        <w:tc>
          <w:tcPr>
            <w:tcW w:w="2199" w:type="dxa"/>
            <w:gridSpan w:val="2"/>
            <w:tcBorders/>
            <w:vAlign w:val="center"/>
          </w:tcPr>
          <w:p>
            <w:pPr>
              <w:pStyle w:val="TableContents"/>
              <w:bidi w:val="0"/>
              <w:spacing w:before="0" w:after="283"/>
              <w:jc w:val="left"/>
              <w:rPr>
                <w:sz w:val="4"/>
                <w:szCs w:val="4"/>
              </w:rPr>
            </w:pPr>
            <w:r>
              <w:rPr>
                <w:sz w:val="4"/>
                <w:szCs w:val="4"/>
              </w:rPr>
            </w:r>
          </w:p>
        </w:tc>
      </w:tr>
      <w:tr>
        <w:trPr/>
        <w:tc>
          <w:tcPr>
            <w:tcW w:w="1883" w:type="dxa"/>
            <w:tcBorders/>
          </w:tcPr>
          <w:p>
            <w:pPr>
              <w:pStyle w:val="TableContents"/>
              <w:bidi w:val="0"/>
              <w:spacing w:before="0" w:after="283"/>
              <w:jc w:val="left"/>
              <w:rPr>
                <w:b/>
              </w:rPr>
            </w:pPr>
            <w:r>
              <w:rPr>
                <w:b/>
              </w:rPr>
              <w:t>ATTEST:</w:t>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r>
        <w:trPr/>
        <w:tc>
          <w:tcPr>
            <w:tcW w:w="1883"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114"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 principal amount of the [TITLE OF WARRANT DEBT SECURITIES] (the </w:t>
      </w:r>
      <w:r>
        <w:rPr>
          <w:rFonts w:ascii="Times New Roman" w:hAnsi="Times New Roman"/>
          <w:b/>
          <w:i/>
          <w:sz w:val="20"/>
        </w:rPr>
        <w:t>Warrant Debt Securities</w:t>
      </w:r>
      <w:r>
        <w:rPr>
          <w:rFonts w:ascii="Times New Roman" w:hAnsi="Times New Roman"/>
          <w:sz w:val="20"/>
        </w:rPr>
        <w:t xml:space="preserve">), of Repare Therapeutics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Repare Therapeutics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4184"/>
        <w:gridCol w:w="101"/>
        <w:gridCol w:w="407"/>
        <w:gridCol w:w="101"/>
        <w:gridCol w:w="509"/>
        <w:gridCol w:w="101"/>
        <w:gridCol w:w="4193"/>
      </w:tblGrid>
      <w:tr>
        <w:trPr/>
        <w:tc>
          <w:tcPr>
            <w:tcW w:w="5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93" w:type="dxa"/>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184" w:type="dxa"/>
            <w:tcBorders>
              <w:bottom w:val="single" w:sz="2" w:space="0" w:color="000000"/>
            </w:tcBorders>
            <w:tcMar>
              <w:bottom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193" w:type="dxa"/>
            <w:tcBorders>
              <w:bottom w:val="single" w:sz="2" w:space="0" w:color="000000"/>
            </w:tcBorders>
            <w:tcMar>
              <w:bottom w:w="28" w:type="dxa"/>
            </w:tcMar>
          </w:tcPr>
          <w:p>
            <w:pPr>
              <w:pStyle w:val="TableContents"/>
              <w:bidi w:val="0"/>
              <w:spacing w:before="0" w:after="283"/>
              <w:jc w:val="left"/>
              <w:rPr/>
            </w:pPr>
            <w:r>
              <w:rPr/>
              <w:t> </w:t>
            </w:r>
          </w:p>
        </w:tc>
      </w:tr>
      <w:tr>
        <w:trPr/>
        <w:tc>
          <w:tcPr>
            <w:tcW w:w="5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93" w:type="dxa"/>
            <w:tcBorders/>
            <w:vAlign w:val="bottom"/>
          </w:tcPr>
          <w:p>
            <w:pPr>
              <w:pStyle w:val="TableContents"/>
              <w:bidi w:val="0"/>
              <w:spacing w:before="0" w:after="283"/>
              <w:jc w:val="center"/>
              <w:rPr>
                <w:sz w:val="20"/>
              </w:rPr>
            </w:pPr>
            <w:r>
              <w:rPr>
                <w:sz w:val="20"/>
              </w:rPr>
              <w:t>Please Print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xml:space="preserve">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left"/>
              <w:rPr/>
            </w:pPr>
            <w:r>
              <w:rPr/>
              <w:t>(Insert Social Security or Other Identifying Number of Holder)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35"/>
        <w:gridCol w:w="60"/>
        <w:gridCol w:w="1887"/>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87" w:type="dxa"/>
            <w:tcBorders>
              <w:bottom w:val="single" w:sz="2" w:space="0" w:color="000000"/>
            </w:tcBorders>
            <w:tcMar>
              <w:bottom w:w="28" w:type="dxa"/>
            </w:tcMar>
          </w:tcPr>
          <w:p>
            <w:pPr>
              <w:pStyle w:val="TableContents"/>
              <w:bidi w:val="0"/>
              <w:spacing w:before="0" w:after="283"/>
              <w:jc w:val="left"/>
              <w:rPr/>
            </w:pPr>
            <w:r>
              <w:rPr/>
              <w:t> </w:t>
            </w:r>
          </w:p>
        </w:tc>
      </w:tr>
      <w:tr>
        <w:trPr/>
        <w:tc>
          <w:tcPr>
            <w:tcW w:w="21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24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Debt Securities and, if applicable, Warrant Certificates evidencing Warrants for the number of Warrant Debt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12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51"/>
        <w:gridCol w:w="121"/>
        <w:gridCol w:w="23"/>
        <w:gridCol w:w="121"/>
        <w:gridCol w:w="4889"/>
      </w:tblGrid>
      <w:tr>
        <w:trPr/>
        <w:tc>
          <w:tcPr>
            <w:tcW w:w="505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9" w:type="dxa"/>
            <w:tcBorders/>
            <w:vAlign w:val="center"/>
          </w:tcPr>
          <w:p>
            <w:pPr>
              <w:pStyle w:val="TableContents"/>
              <w:bidi w:val="0"/>
              <w:spacing w:before="0" w:after="283"/>
              <w:jc w:val="left"/>
              <w:rPr>
                <w:sz w:val="4"/>
                <w:szCs w:val="4"/>
              </w:rPr>
            </w:pPr>
            <w:r>
              <w:rPr>
                <w:sz w:val="4"/>
                <w:szCs w:val="4"/>
              </w:rPr>
            </w:r>
          </w:p>
        </w:tc>
      </w:tr>
      <w:tr>
        <w:trPr/>
        <w:tc>
          <w:tcPr>
            <w:tcW w:w="5051"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9" w:type="dxa"/>
            <w:tcBorders/>
          </w:tcPr>
          <w:p>
            <w:pPr>
              <w:pStyle w:val="TableContents"/>
              <w:pBdr>
                <w:bottom w:val="single" w:sz="2" w:space="1" w:color="000000"/>
              </w:pBdr>
              <w:bidi w:val="0"/>
              <w:spacing w:before="0" w:after="20"/>
              <w:jc w:val="left"/>
              <w:rPr/>
            </w:pPr>
            <w:r>
              <w:rPr/>
              <w:t> </w:t>
            </w:r>
          </w:p>
        </w:tc>
      </w:tr>
      <w:tr>
        <w:trPr/>
        <w:tc>
          <w:tcPr>
            <w:tcW w:w="5051" w:type="dxa"/>
            <w:tcBorders/>
          </w:tcPr>
          <w:p>
            <w:pPr>
              <w:pStyle w:val="TableContents"/>
              <w:bidi w:val="0"/>
              <w:spacing w:before="0" w:after="283"/>
              <w:jc w:val="left"/>
              <w:rPr/>
            </w:pPr>
            <w:r>
              <w:rPr/>
              <w:t>(Please print name and address including zip code)</w:t>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 aggregate principal amount of [Title of Warrant Debt Securities] of Repare Therapeutics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1"/>
        <w:gridCol w:w="109"/>
        <w:gridCol w:w="4012"/>
        <w:gridCol w:w="109"/>
        <w:gridCol w:w="394"/>
        <w:gridCol w:w="109"/>
        <w:gridCol w:w="602"/>
        <w:gridCol w:w="108"/>
        <w:gridCol w:w="4161"/>
      </w:tblGrid>
      <w:tr>
        <w:trPr/>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1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61" w:type="dxa"/>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283"/>
              <w:jc w:val="left"/>
              <w:rPr/>
            </w:pPr>
            <w:r>
              <w:rPr/>
              <w:t>Dated:</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012"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pPr>
            <w:r>
              <w:rPr/>
              <w:t>Name:</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61" w:type="dxa"/>
            <w:tcBorders>
              <w:bottom w:val="single" w:sz="2" w:space="0" w:color="000000"/>
            </w:tcBorders>
            <w:tcMar>
              <w:bottom w:w="28" w:type="dxa"/>
            </w:tcMar>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01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61" w:type="dxa"/>
            <w:tcBorders/>
            <w:vAlign w:val="bottom"/>
          </w:tcPr>
          <w:p>
            <w:pPr>
              <w:pStyle w:val="TableContents"/>
              <w:bidi w:val="0"/>
              <w:spacing w:before="0" w:after="283"/>
              <w:jc w:val="center"/>
              <w:rPr>
                <w:sz w:val="20"/>
              </w:rPr>
            </w:pPr>
            <w:r>
              <w:rPr>
                <w:sz w:val="20"/>
              </w:rPr>
              <w:t>Signature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Guaranteed</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right"/>
        <w:rPr>
          <w:rFonts w:ascii="Times New Roman" w:hAnsi="Times New Roman"/>
          <w:b/>
          <w:sz w:val="20"/>
        </w:rPr>
      </w:pPr>
      <w:bookmarkStart w:id="27" w:name="d879175dex51.htm"/>
      <w:bookmarkStart w:id="28" w:name="ksd879175dex51"/>
      <w:bookmarkEnd w:id="27"/>
      <w:bookmarkEnd w:id="28"/>
      <w:r>
        <w:rPr>
          <w:rFonts w:ascii="Times New Roman" w:hAnsi="Times New Roman"/>
          <w:b/>
          <w:sz w:val="20"/>
        </w:rPr>
        <w:t xml:space="preserve">Exhibit 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August 6, 2024 </w:t>
      </w:r>
    </w:p>
    <w:p>
      <w:pPr>
        <w:pStyle w:val="TextBody"/>
        <w:bidi w:val="0"/>
        <w:spacing w:before="240" w:after="0"/>
        <w:jc w:val="left"/>
        <w:rPr>
          <w:rFonts w:ascii="Times New Roman" w:hAnsi="Times New Roman"/>
          <w:b/>
          <w:sz w:val="20"/>
        </w:rPr>
      </w:pPr>
      <w:r>
        <w:rPr>
          <w:rFonts w:ascii="Times New Roman" w:hAnsi="Times New Roman"/>
          <w:b/>
          <w:sz w:val="20"/>
        </w:rPr>
        <w:t xml:space="preserve">Repare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7171 Frederick-Banting Street, Building 2, Suite 270 </w:t>
      </w:r>
    </w:p>
    <w:p>
      <w:pPr>
        <w:pStyle w:val="TextBody"/>
        <w:bidi w:val="0"/>
        <w:spacing w:before="0" w:after="0"/>
        <w:jc w:val="left"/>
        <w:rPr>
          <w:rFonts w:ascii="Times New Roman" w:hAnsi="Times New Roman"/>
          <w:sz w:val="20"/>
        </w:rPr>
      </w:pPr>
      <w:r>
        <w:rPr>
          <w:rFonts w:ascii="Times New Roman" w:hAnsi="Times New Roman"/>
          <w:sz w:val="20"/>
        </w:rPr>
        <w:t xml:space="preserve">Saint-Laurent, Québec </w:t>
      </w:r>
    </w:p>
    <w:p>
      <w:pPr>
        <w:pStyle w:val="TextBody"/>
        <w:bidi w:val="0"/>
        <w:spacing w:before="0" w:after="0"/>
        <w:jc w:val="left"/>
        <w:rPr>
          <w:rFonts w:ascii="Times New Roman" w:hAnsi="Times New Roman"/>
          <w:sz w:val="20"/>
        </w:rPr>
      </w:pPr>
      <w:r>
        <w:rPr>
          <w:rFonts w:ascii="Times New Roman" w:hAnsi="Times New Roman"/>
          <w:sz w:val="20"/>
        </w:rPr>
        <w:t xml:space="preserve">H4S 1Z9 </w:t>
      </w:r>
    </w:p>
    <w:p>
      <w:pPr>
        <w:pStyle w:val="TextBody"/>
        <w:bidi w:val="0"/>
        <w:spacing w:before="240" w:after="0"/>
        <w:jc w:val="left"/>
        <w:rPr>
          <w:rFonts w:ascii="Times New Roman" w:hAnsi="Times New Roman"/>
          <w:sz w:val="20"/>
        </w:rPr>
      </w:pPr>
      <w:r>
        <w:rPr>
          <w:rFonts w:ascii="Times New Roman" w:hAnsi="Times New Roman"/>
          <w:sz w:val="20"/>
        </w:rPr>
        <w:t xml:space="preserve">Dear Sirs/Mesdames: </w:t>
      </w:r>
    </w:p>
    <w:p>
      <w:pPr>
        <w:pStyle w:val="TextBody"/>
        <w:bidi w:val="0"/>
        <w:spacing w:before="120" w:after="0"/>
        <w:jc w:val="left"/>
        <w:rPr>
          <w:rFonts w:ascii="Times New Roman" w:hAnsi="Times New Roman"/>
          <w:b/>
          <w:sz w:val="20"/>
        </w:rPr>
      </w:pPr>
      <w:r>
        <w:rPr>
          <w:rFonts w:ascii="Times New Roman" w:hAnsi="Times New Roman"/>
          <w:b/>
          <w:sz w:val="20"/>
        </w:rPr>
        <w:t xml:space="preserve">Re: </w:t>
      </w:r>
      <w:r>
        <w:rPr>
          <w:rFonts w:ascii="Times New Roman" w:hAnsi="Times New Roman"/>
          <w:b/>
          <w:sz w:val="20"/>
          <w:u w:val="single"/>
        </w:rPr>
        <w:t>Repare Therapeutics Inc. - Registration Statement on Form S-3</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We have acted as Canadian counsel to Repare Therapeutics Inc. (the </w:t>
      </w:r>
      <w:r>
        <w:rPr>
          <w:rFonts w:ascii="Times New Roman" w:hAnsi="Times New Roman"/>
          <w:b/>
          <w:sz w:val="20"/>
        </w:rPr>
        <w:t>Company</w:t>
      </w:r>
      <w:r>
        <w:rPr>
          <w:rFonts w:ascii="Times New Roman" w:hAnsi="Times New Roman"/>
          <w:sz w:val="20"/>
        </w:rPr>
        <w:t xml:space="preserve">), a corporation governed by the </w:t>
      </w:r>
      <w:r>
        <w:rPr>
          <w:rFonts w:ascii="Times New Roman" w:hAnsi="Times New Roman"/>
          <w:i/>
          <w:sz w:val="20"/>
        </w:rPr>
        <w:t>Business Corporations Act</w:t>
      </w:r>
      <w:r>
        <w:rPr>
          <w:rFonts w:ascii="Times New Roman" w:hAnsi="Times New Roman"/>
          <w:sz w:val="20"/>
        </w:rPr>
        <w:t xml:space="preserve"> (Québec), in connection with the filing of a Registration Statement on Form S-3 (the </w:t>
      </w:r>
      <w:r>
        <w:rPr>
          <w:rFonts w:ascii="Times New Roman" w:hAnsi="Times New Roman"/>
          <w:b/>
          <w:sz w:val="20"/>
        </w:rPr>
        <w:t>Registration Statement</w:t>
      </w:r>
      <w:r>
        <w:rPr>
          <w:rFonts w:ascii="Times New Roman" w:hAnsi="Times New Roman"/>
          <w:sz w:val="20"/>
        </w:rPr>
        <w:t>) by the Company under the Securities Act of 1933, as amended (the </w:t>
      </w:r>
      <w:r>
        <w:rPr>
          <w:rFonts w:ascii="Times New Roman" w:hAnsi="Times New Roman"/>
          <w:b/>
          <w:sz w:val="20"/>
        </w:rPr>
        <w:t>Securities Act</w:t>
      </w:r>
      <w:r>
        <w:rPr>
          <w:rFonts w:ascii="Times New Roman" w:hAnsi="Times New Roman"/>
          <w:sz w:val="20"/>
        </w:rPr>
        <w:t>). The Registration Statement includes a prospectus (the </w:t>
      </w:r>
      <w:r>
        <w:rPr>
          <w:rFonts w:ascii="Times New Roman" w:hAnsi="Times New Roman"/>
          <w:b/>
          <w:sz w:val="20"/>
        </w:rPr>
        <w:t>Base Prospectus</w:t>
      </w:r>
      <w:r>
        <w:rPr>
          <w:rFonts w:ascii="Times New Roman" w:hAnsi="Times New Roman"/>
          <w:sz w:val="20"/>
        </w:rPr>
        <w:t>) that provides it will be supplemented in the future by one or more prospectus supplements (each, a </w:t>
      </w:r>
      <w:r>
        <w:rPr>
          <w:rFonts w:ascii="Times New Roman" w:hAnsi="Times New Roman"/>
          <w:b/>
          <w:sz w:val="20"/>
        </w:rPr>
        <w:t>Prospectus Supplement</w:t>
      </w:r>
      <w:r>
        <w:rPr>
          <w:rFonts w:ascii="Times New Roman" w:hAnsi="Times New Roman"/>
          <w:sz w:val="20"/>
        </w:rPr>
        <w:t xml:space="preserve">). The Registration Statement, including the Base Prospectus (as supplemented from time to time by one or more Prospectus Supplements), will provide for the registration by the Company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no par value per share, of the Company (the </w:t>
            </w:r>
            <w:r>
              <w:rPr>
                <w:rFonts w:ascii="Times New Roman" w:hAnsi="Times New Roman"/>
                <w:b/>
                <w:sz w:val="20"/>
              </w:rPr>
              <w:t>Common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no par value per share, of the Company (the </w:t>
            </w:r>
            <w:r>
              <w:rPr>
                <w:rFonts w:ascii="Times New Roman" w:hAnsi="Times New Roman"/>
                <w:b/>
                <w:sz w:val="20"/>
              </w:rPr>
              <w:t>Preferred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sz w:val="20"/>
              </w:rPr>
              <w:t>Debt</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which may be issued pursuant to an indenture to be dated on or about the date of the first issuance of Debt Securities thereunder, by and between a trustee to be selected by the Company (the </w:t>
            </w:r>
            <w:r>
              <w:rPr>
                <w:rFonts w:ascii="Times New Roman" w:hAnsi="Times New Roman"/>
                <w:b/>
                <w:sz w:val="20"/>
              </w:rPr>
              <w:t>Trustee</w:t>
            </w:r>
            <w:r>
              <w:rPr>
                <w:rFonts w:ascii="Times New Roman" w:hAnsi="Times New Roman"/>
                <w:sz w:val="20"/>
              </w:rPr>
              <w:t>) and the Company, in the form filed as Exhibit 4.5 to the Registration Statement and one or more indentures supplemental thereto with respect to any particular series of Debt Securities (the </w:t>
            </w:r>
            <w:r>
              <w:rPr>
                <w:rFonts w:ascii="Times New Roman" w:hAnsi="Times New Roman"/>
                <w:b/>
                <w:sz w:val="20"/>
              </w:rPr>
              <w:t>Indenture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Shares, Preferred Shares, or Debt Securities (the </w:t>
            </w:r>
            <w:r>
              <w:rPr>
                <w:rFonts w:ascii="Times New Roman" w:hAnsi="Times New Roman"/>
                <w:b/>
                <w:sz w:val="20"/>
              </w:rPr>
              <w:t>Warrants</w:t>
            </w:r>
            <w:r>
              <w:rPr>
                <w:rFonts w:ascii="Times New Roman" w:hAnsi="Times New Roman"/>
                <w:sz w:val="20"/>
              </w:rPr>
              <w:t>), which may be issued under one or more warrant agreements, to be dated on or about the date of the first issuance of the applicable Warrants thereunder, by and between a warrant agent to be selected by the Company (the </w:t>
            </w:r>
            <w:r>
              <w:rPr>
                <w:rFonts w:ascii="Times New Roman" w:hAnsi="Times New Roman"/>
                <w:b/>
                <w:sz w:val="20"/>
              </w:rPr>
              <w:t>Warrant</w:t>
            </w:r>
            <w:r>
              <w:rPr>
                <w:rFonts w:ascii="Times New Roman" w:hAnsi="Times New Roman"/>
                <w:sz w:val="20"/>
              </w:rPr>
              <w:t xml:space="preserve"> </w:t>
            </w:r>
            <w:r>
              <w:rPr>
                <w:rFonts w:ascii="Times New Roman" w:hAnsi="Times New Roman"/>
                <w:b/>
                <w:sz w:val="20"/>
              </w:rPr>
              <w:t>Agent</w:t>
            </w:r>
            <w:r>
              <w:rPr>
                <w:rFonts w:ascii="Times New Roman" w:hAnsi="Times New Roman"/>
                <w:sz w:val="20"/>
              </w:rPr>
              <w:t>) and the Company, in the forms filed as Exhibits 4.7, 4.8 and 4.9 to the Registration Statement, respectively (each, a </w:t>
            </w:r>
            <w:r>
              <w:rPr>
                <w:rFonts w:ascii="Times New Roman" w:hAnsi="Times New Roman"/>
                <w:b/>
                <w:sz w:val="20"/>
              </w:rPr>
              <w:t>Warrant</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Common Shares, the Preferred Shares, the Debt Securities and the Warrants are collectively referred to herein as the </w:t>
      </w:r>
      <w:r>
        <w:rPr>
          <w:rFonts w:ascii="Times New Roman" w:hAnsi="Times New Roman"/>
          <w:b/>
          <w:sz w:val="20"/>
        </w:rPr>
        <w:t>Securities</w:t>
      </w:r>
      <w:r>
        <w:rPr>
          <w:rFonts w:ascii="Times New Roman" w:hAnsi="Times New Roman"/>
          <w:sz w:val="20"/>
        </w:rPr>
        <w:t>. The Securities are being registered for offer and sale from time to time pursuant to Rule 415 under the Securities Act.</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the genuineness of all signatures; the legal capacity of all individuals; the veracity of the information contained in the foregoing documents; the authenticity of all documents submitted to us as originals; the conformity to originals of all documents submitted to us as copies; the accuracy, completeness and authenticity of certificates of public officials; that the Company has duly authorized, executed and delivered the Warrants, the Warrant Agreements, the Debt Securities and the Indenture in accordance with its organizational documents and the laws of Canada; that any Common Shares or Preferred Shares issued upon conversion of the Debt Securities or exercise of the Warrants will be duly authorized; and that the execution, delivery and performance by the Company of its obligations under the Warrants, the Warrant Agreements, the Debt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Indenture do not and will not violate the laws of Canada or any other applicable laws. We have also assumed that any Debt Securities or Warrants offered under the Registration Statement, and the related Indenture or Warrant Agreement, as applicable, will be executed in the forms filed as exhibits to the Registration Statement or incorporated by reference therein. We have also assumed that with respect to any Securities being issued upon conversion of any convertible Debt Securities or upon exercise of any Warrants, the applicable convertible Debt Securities or Warrants will be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are qualified to practice law in the Province of Québec and this opinion is rendered solely with respect to the Province of Québec and the federal laws of Canada applicable in the Province of Québec. This opinion is expressed with respect to the laws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 we express. </w:t>
      </w:r>
    </w:p>
    <w:p>
      <w:pPr>
        <w:pStyle w:val="TextBody"/>
        <w:bidi w:val="0"/>
        <w:spacing w:before="240" w:after="0"/>
        <w:jc w:val="left"/>
        <w:rPr>
          <w:rFonts w:ascii="Times New Roman" w:hAnsi="Times New Roman"/>
          <w:sz w:val="20"/>
        </w:rPr>
      </w:pPr>
      <w:r>
        <w:rPr>
          <w:rFonts w:ascii="Times New Roman" w:hAnsi="Times New Roman"/>
          <w:sz w:val="20"/>
        </w:rPr>
        <w:t>Based upon and subject to the foregoing, and subject to the qualifications, assumptions and limitations stated herein, we are of the opinion that,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Warrant Agreement has been duly authorized by the Company and the Warrant Agent by all necessary corporate action; (iv) the Indenture, in substantially the form filed as an exhibit to the Registration Statement, has been duly executed and delivered by the Company and the Trustee and has been qualified under the Trust Indenture Act of 1939, as amended; (v) any Warrant Agreement has been duly executed and delivered by the Company and the Warrant Agent; (vi) the issuance and terms of the Common Shares and Preferred Shares, as applicable, have been duly authorized by the Company by all necessary corporate action; (vii) the issuance and terms of the Debt Securities have been duly authorized by the Company by all necessary corporate action; (viii) the issuance and terms of the Warrants have been duly authorized by the Company by all necessary corporate action; (ix) the terms of the Common Shares and Preferred Shares, as applicable, and of their issuance and sale have been duly established in conformity with the Articles of Continuance and Bylaws and as described in the Registration Statement, the Base Prospectus and the related Prospectus Supplement(s), so as not to violate any applicable law or result in a default under or breach of any agreement or instrument binding upon the Company, and so as to comply with any requirement or restriction imposed by any court or governmental body having jurisdiction over the Company; (x)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Companys then operative articles of continuance (the </w:t>
      </w:r>
      <w:r>
        <w:rPr>
          <w:rFonts w:ascii="Times New Roman" w:hAnsi="Times New Roman"/>
          <w:b/>
          <w:sz w:val="20"/>
        </w:rPr>
        <w:t>Articles of Continuance</w:t>
      </w:r>
      <w:r>
        <w:rPr>
          <w:rFonts w:ascii="Times New Roman" w:hAnsi="Times New Roman"/>
          <w:sz w:val="20"/>
        </w:rPr>
        <w:t>) and bylaws (the </w:t>
      </w:r>
      <w:r>
        <w:rPr>
          <w:rFonts w:ascii="Times New Roman" w:hAnsi="Times New Roman"/>
          <w:b/>
          <w:sz w:val="20"/>
        </w:rPr>
        <w:t>Bylaws</w:t>
      </w:r>
      <w:r>
        <w:rPr>
          <w:rFonts w:ascii="Times New Roman" w:hAnsi="Times New Roman"/>
          <w:sz w:val="20"/>
        </w:rPr>
        <w:t xml:space="preserve">), and so as to comply with any requirement or restriction imposed by any court or governmental body having jurisdiction over the Company; (xi) the terms of the Warrants and of their issuance and sale have been duly established in conformity with the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of Continuance and Bylaws, and so as to comply with any requirement or restriction imposed by any court or governmental body having jurisdiction over the Company; (xii) the certificates, if any, for the Common Shares and Preferred Shares, as applicable, have been duly executed and delivered by the Company and authenticated by the Companys transfer agent, as applicable, and delivered against payment therefor; (xiii) the notes representing the Debt Securities have been duly executed and delivered by the Company and authenticated by the Trustee pursuant to the Indenture and delivered against payment therefor; and (xiv) the Warrants have been duly executed and delivered by the Company and authenticated by the Warrant Agent pursuant to the Warrant Agreement and delivered against payment therefor, then, when the Common Shares and Preferred Shares shall have been issued, sold and paid for in full in the manner referred to in the Registration Statement, the Base Prospectus or any Prospectus Supplement relating thereto and a duly authorized, executed and delivered purchase, underwriting or similar agreement, or upon conversion or exercise, as applicable, of any Debt Securities or Warrants in accordance with the terms of such Indenture or Warrant Agreement, including, if applicable, receipt by the Company in full of the exercise price, the Common Shares and Preferred Shares will be duly authorized,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this opinion refers to any of the Common Shares and Preferred Shares as being issued as being fully paid and non-assessable, such opinion assumes that all required consideration (in whatever form) has been paid or provided.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us under the heading Legal Matters in the Registration Statement and to the filing of this opinion as an exhibit to the Registration Statement. This opinion may not be quoted from or referred to in any documents other than the Registration Statement as provided for herein without our prior written consent.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Yours very truly,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Stikeman Elliott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Stikeman Elliott LLP</w:t>
            </w:r>
          </w:p>
        </w:tc>
      </w:tr>
    </w:tbl>
    <w:p>
      <w:pPr>
        <w:pStyle w:val="TextBody"/>
        <w:bidi w:val="0"/>
        <w:spacing w:before="0" w:after="0"/>
        <w:jc w:val="right"/>
        <w:rPr>
          <w:rFonts w:ascii="Times New Roman" w:hAnsi="Times New Roman"/>
          <w:b/>
          <w:sz w:val="20"/>
        </w:rPr>
      </w:pPr>
      <w:bookmarkStart w:id="29" w:name="d879175dex52.htm"/>
      <w:bookmarkStart w:id="30" w:name="ksd879175dex52"/>
      <w:bookmarkEnd w:id="29"/>
      <w:bookmarkEnd w:id="30"/>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10970" cy="6108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410970" cy="61087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85"/>
        <w:gridCol w:w="124"/>
        <w:gridCol w:w="4696"/>
      </w:tblGrid>
      <w:tr>
        <w:trPr/>
        <w:tc>
          <w:tcPr>
            <w:tcW w:w="538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5385" w:type="dxa"/>
            <w:tcBorders/>
          </w:tcPr>
          <w:p>
            <w:pPr>
              <w:pStyle w:val="TableContents"/>
              <w:bidi w:val="0"/>
              <w:spacing w:before="0" w:after="0"/>
              <w:jc w:val="left"/>
              <w:rPr>
                <w:rFonts w:ascii="Times New Roman" w:hAnsi="Times New Roman"/>
                <w:sz w:val="20"/>
              </w:rPr>
            </w:pPr>
            <w:r>
              <w:rPr>
                <w:rFonts w:ascii="Times New Roman" w:hAnsi="Times New Roman"/>
                <w:sz w:val="20"/>
              </w:rPr>
              <w:t>Courtney T. Thorne</w:t>
            </w:r>
          </w:p>
          <w:p>
            <w:pPr>
              <w:pStyle w:val="TableContents"/>
              <w:bidi w:val="0"/>
              <w:spacing w:before="0" w:after="0"/>
              <w:jc w:val="left"/>
              <w:rPr>
                <w:rFonts w:ascii="Times New Roman" w:hAnsi="Times New Roman"/>
                <w:sz w:val="20"/>
              </w:rPr>
            </w:pPr>
            <w:r>
              <w:rPr>
                <w:rFonts w:ascii="Times New Roman" w:hAnsi="Times New Roman"/>
                <w:sz w:val="20"/>
              </w:rPr>
              <w:t>+1 617 937 2300</w:t>
            </w:r>
          </w:p>
          <w:p>
            <w:pPr>
              <w:pStyle w:val="TableContents"/>
              <w:bidi w:val="0"/>
              <w:spacing w:before="0" w:after="20"/>
              <w:jc w:val="left"/>
              <w:rPr>
                <w:rFonts w:ascii="Times New Roman" w:hAnsi="Times New Roman"/>
                <w:sz w:val="20"/>
              </w:rPr>
            </w:pPr>
            <w:r>
              <w:rPr>
                <w:rFonts w:ascii="Times New Roman" w:hAnsi="Times New Roman"/>
                <w:sz w:val="20"/>
              </w:rPr>
              <w:t>cthorne@cooley.com</w:t>
            </w:r>
          </w:p>
        </w:tc>
        <w:tc>
          <w:tcPr>
            <w:tcW w:w="12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6, 2024 </w:t>
      </w:r>
    </w:p>
    <w:p>
      <w:pPr>
        <w:pStyle w:val="TextBody"/>
        <w:bidi w:val="0"/>
        <w:spacing w:before="240" w:after="0"/>
        <w:jc w:val="left"/>
        <w:rPr>
          <w:rFonts w:ascii="Times New Roman" w:hAnsi="Times New Roman"/>
          <w:sz w:val="20"/>
        </w:rPr>
      </w:pPr>
      <w:r>
        <w:rPr>
          <w:rFonts w:ascii="Times New Roman" w:hAnsi="Times New Roman"/>
          <w:sz w:val="20"/>
        </w:rPr>
        <w:t xml:space="preserve">Repare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7171 Frederick-Banting, Building 2, Suite 270 </w:t>
      </w:r>
    </w:p>
    <w:p>
      <w:pPr>
        <w:pStyle w:val="TextBody"/>
        <w:bidi w:val="0"/>
        <w:spacing w:before="0" w:after="0"/>
        <w:jc w:val="left"/>
        <w:rPr>
          <w:rFonts w:ascii="Times New Roman" w:hAnsi="Times New Roman"/>
          <w:sz w:val="20"/>
        </w:rPr>
      </w:pPr>
      <w:r>
        <w:rPr>
          <w:rFonts w:ascii="Times New Roman" w:hAnsi="Times New Roman"/>
          <w:sz w:val="20"/>
        </w:rPr>
        <w:t xml:space="preserve">St-Laurent, Québec, Canada H4S 1Z9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U.S. counsel to Repare Therapeutics Inc., a corporation organized under the Business Corporations Act (Québec) (the </w:t>
      </w:r>
      <w:r>
        <w:rPr>
          <w:rFonts w:ascii="Times New Roman" w:hAnsi="Times New Roman"/>
          <w:b/>
          <w:i/>
          <w:sz w:val="20"/>
        </w:rPr>
        <w:t>Company</w:t>
      </w:r>
      <w:r>
        <w:rPr>
          <w:rFonts w:ascii="Times New Roman" w:hAnsi="Times New Roman"/>
          <w:sz w:val="20"/>
        </w:rPr>
        <w:t>), in connection with the filing by the Company with the Securities and Exchange Commission (the </w:t>
      </w:r>
      <w:r>
        <w:rPr>
          <w:rFonts w:ascii="Times New Roman" w:hAnsi="Times New Roman"/>
          <w:b/>
          <w:i/>
          <w:sz w:val="20"/>
        </w:rPr>
        <w:t>Commission</w:t>
      </w:r>
      <w:r>
        <w:rPr>
          <w:rFonts w:ascii="Times New Roman" w:hAnsi="Times New Roman"/>
          <w:sz w:val="20"/>
        </w:rPr>
        <w:t>) of a Registration Statement on Form S-3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Registration Statement includes a prospectus (the </w:t>
      </w:r>
      <w:r>
        <w:rPr>
          <w:rFonts w:ascii="Times New Roman" w:hAnsi="Times New Roman"/>
          <w:b/>
          <w:i/>
          <w:sz w:val="20"/>
        </w:rPr>
        <w:t>Base Prospectus</w:t>
      </w:r>
      <w:r>
        <w:rPr>
          <w:rFonts w:ascii="Times New Roman" w:hAnsi="Times New Roman"/>
          <w:sz w:val="20"/>
        </w:rPr>
        <w:t>) that provides it will be supplemented in the future by one or more prospectus supplements (each, a </w:t>
      </w:r>
      <w:r>
        <w:rPr>
          <w:rFonts w:ascii="Times New Roman" w:hAnsi="Times New Roman"/>
          <w:b/>
          <w:i/>
          <w:sz w:val="20"/>
        </w:rPr>
        <w:t>Prospectus Supplement</w:t>
      </w:r>
      <w:r>
        <w:rPr>
          <w:rFonts w:ascii="Times New Roman" w:hAnsi="Times New Roman"/>
          <w:sz w:val="20"/>
        </w:rPr>
        <w:t xml:space="preserve">). The Registration Statement, including the Base Prospectus (as supplemented from time to time by one or more Prospectus Supplements), will provide for the registration by the Company of the sale of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no par value per share, of the Company (the </w:t>
            </w:r>
            <w:r>
              <w:rPr>
                <w:rFonts w:ascii="Times New Roman" w:hAnsi="Times New Roman"/>
                <w:b/>
                <w:i/>
                <w:sz w:val="20"/>
              </w:rPr>
              <w:t>Common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no par value per share, of the Company (the </w:t>
            </w:r>
            <w:r>
              <w:rPr>
                <w:rFonts w:ascii="Times New Roman" w:hAnsi="Times New Roman"/>
                <w:b/>
                <w:i/>
                <w:sz w:val="20"/>
              </w:rPr>
              <w:t>Preferred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i/>
                <w:sz w:val="20"/>
              </w:rPr>
              <w:t>Debt Securities</w:t>
            </w:r>
            <w:r>
              <w:rPr>
                <w:rFonts w:ascii="Times New Roman" w:hAnsi="Times New Roman"/>
                <w:sz w:val="20"/>
              </w:rPr>
              <w:t>), which may be issued pursuant to an indenture to be dated on or about the date of the first issuance of Debt Securities thereunder, by and between a trustee to be selected by the Company (the </w:t>
            </w:r>
            <w:r>
              <w:rPr>
                <w:rFonts w:ascii="Times New Roman" w:hAnsi="Times New Roman"/>
                <w:b/>
                <w:i/>
                <w:sz w:val="20"/>
              </w:rPr>
              <w:t>Trustee</w:t>
            </w:r>
            <w:r>
              <w:rPr>
                <w:rFonts w:ascii="Times New Roman" w:hAnsi="Times New Roman"/>
                <w:sz w:val="20"/>
              </w:rPr>
              <w:t>) and the Company, in the form filed as Exhibit 4.5 to the Registration Statement and one or more indentures supplemental thereto with respect to any particular series of Debt Securities(the </w:t>
            </w:r>
            <w:r>
              <w:rPr>
                <w:rFonts w:ascii="Times New Roman" w:hAnsi="Times New Roman"/>
                <w:b/>
                <w:i/>
                <w:sz w:val="20"/>
              </w:rPr>
              <w:t>Indenture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Shares, Preferred Shares, or Debt Securities (the </w:t>
            </w:r>
            <w:r>
              <w:rPr>
                <w:rFonts w:ascii="Times New Roman" w:hAnsi="Times New Roman"/>
                <w:b/>
                <w:i/>
                <w:sz w:val="20"/>
              </w:rPr>
              <w:t>Warrants</w:t>
            </w:r>
            <w:r>
              <w:rPr>
                <w:rFonts w:ascii="Times New Roman" w:hAnsi="Times New Roman"/>
                <w:sz w:val="20"/>
              </w:rPr>
              <w:t>), which may be issued under one or more warrant agreements, to be dated on or about the date of the first issuance of the applicable Warrants thereunder, by and between a warrant agent to be selected by the Company (the </w:t>
            </w:r>
            <w:r>
              <w:rPr>
                <w:rFonts w:ascii="Times New Roman" w:hAnsi="Times New Roman"/>
                <w:b/>
                <w:i/>
                <w:sz w:val="20"/>
              </w:rPr>
              <w:t>Warrant Agent</w:t>
            </w:r>
            <w:r>
              <w:rPr>
                <w:rFonts w:ascii="Times New Roman" w:hAnsi="Times New Roman"/>
                <w:sz w:val="20"/>
              </w:rPr>
              <w:t>) and the Company, in the forms filed as Exhibits 4.7, 4.8 and 4.9 to the Registration Statement, respectively (each, a </w:t>
            </w:r>
            <w:r>
              <w:rPr>
                <w:rFonts w:ascii="Times New Roman" w:hAnsi="Times New Roman"/>
                <w:b/>
                <w:i/>
                <w:sz w:val="20"/>
              </w:rPr>
              <w:t>Warrant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Common Shares, the Preferred Shares, the Debt Securities and the Warrants, plus any additional Common Shares, Preferred Shares, Debt Securities or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hAnsi="Times New Roman"/>
          <w:b/>
          <w:i/>
          <w:sz w:val="20"/>
        </w:rPr>
        <w:t>Securities</w:t>
      </w:r>
      <w:r>
        <w:rPr>
          <w:rFonts w:ascii="Times New Roman" w:hAnsi="Times New Roman"/>
          <w:sz w:val="20"/>
        </w:rPr>
        <w:t xml:space="preserve">. The Securities are being registered for offer and sale from time to time pursuant to Rule 415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906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390650" cy="600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Repare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2024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this opinion, we have assumed the genuineness of all signatures; the authenticity of all documents submitted to us as originals; the conformity to originals of all documents submitted to us as copies; and the accuracy, completeness and authenticity of certificates of public officials. We have also assumed that (i) the Company is validly existing under the laws of the Provence of Quebec, has the corporate power to enter into and perform its obligations under the Debt Securities, the Indenture and the Warrants in accordance with their terms, (ii) upon issuance, the Company will have duly authorized, executed and delivered the Debt Securities, the Indenture or the Warrants in accordance with its organizational documents and the laws of the Provence of Quebec, (iii) any Ordinary Shares issued upon conversion of the Debt Securities or upon exercise of Warrants will be duly authorized, validly issued, fully paid and nonassessable, and (iv) the execution, delivery and performance by the Company of its obligations under the Debt Securities, the Indenture or the Warrants will not violate the laws of the Provence of Quebec or Canada or any other applicable laws (excepting from such assumption the laws of the State of New York). We have also assumed that any Debt Securities or any Warrants offered under the Registration Statement and the related Indenture or Warrant Agreements, as applicable, will be executed in the forms filed or incorporated by reference as exhibits to the Registration Statement. We have also assumed that with respect to any Securities being issued upon conversion of any convertible Debt Securities or upon exercise of any Warrants, the applicable convertible Debt Securities or Warrants will be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and subject to the qualifications herein stated, we are of the opinion that: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and has been qualified under the Trust Indenture Act of 1939, as amended; (iv) the terms of the Debt Securities and their issuance and sale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Companys then operative articles of continuance (the </w:t>
      </w:r>
      <w:r>
        <w:rPr>
          <w:rFonts w:ascii="Times New Roman" w:hAnsi="Times New Roman"/>
          <w:b/>
          <w:i/>
          <w:sz w:val="20"/>
        </w:rPr>
        <w:t>Articles of Continuance</w:t>
      </w:r>
      <w:r>
        <w:rPr>
          <w:rFonts w:ascii="Times New Roman" w:hAnsi="Times New Roman"/>
          <w:sz w:val="20"/>
        </w:rPr>
        <w:t>) and bylaws (the </w:t>
      </w:r>
      <w:r>
        <w:rPr>
          <w:rFonts w:ascii="Times New Roman" w:hAnsi="Times New Roman"/>
          <w:b/>
          <w:i/>
          <w:sz w:val="20"/>
        </w:rPr>
        <w:t>Bylaws</w:t>
      </w:r>
      <w:r>
        <w:rPr>
          <w:rFonts w:ascii="Times New Roman" w:hAnsi="Times New Roman"/>
          <w:sz w:val="20"/>
        </w:rPr>
        <w:t xml:space="preserve">),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t: (617) 937-2300 f: (617) 937-2400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9065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1390650" cy="600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Repare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2024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of Continuance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t: (617) 937-2300 f: (617) 937-2400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90650"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1"/>
                    <a:stretch>
                      <a:fillRect/>
                    </a:stretch>
                  </pic:blipFill>
                  <pic:spPr bwMode="auto">
                    <a:xfrm>
                      <a:off x="0" y="0"/>
                      <a:ext cx="1390650" cy="600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Repare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2024 </w:t>
      </w:r>
    </w:p>
    <w:p>
      <w:pPr>
        <w:pStyle w:val="TextBody"/>
        <w:bidi w:val="0"/>
        <w:spacing w:before="0" w:after="0"/>
        <w:jc w:val="left"/>
        <w:rPr>
          <w:rFonts w:ascii="Times New Roman" w:hAnsi="Times New Roman"/>
          <w:sz w:val="20"/>
        </w:rPr>
      </w:pPr>
      <w:r>
        <w:rPr>
          <w:rFonts w:ascii="Times New Roman" w:hAnsi="Times New Roman"/>
          <w:sz w:val="20"/>
        </w:rPr>
        <w:t xml:space="preserve">Page Four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w:t>
            </w:r>
            <w:r>
              <w:rPr>
                <w:sz w:val="20"/>
              </w:rPr>
              <w:t>OOLEY</w:t>
            </w:r>
            <w:r>
              <w:rPr/>
              <w:t xml:space="preserve"> LLP</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vAlign w:val="bottom"/>
          </w:tcPr>
          <w:p>
            <w:pPr>
              <w:pStyle w:val="TableContents"/>
              <w:bidi w:val="0"/>
              <w:spacing w:before="0" w:after="283"/>
              <w:jc w:val="left"/>
              <w:rPr/>
            </w:pPr>
            <w:r>
              <w:rPr/>
              <w:t>/s/ Courtney T. Thorne</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Courtney T. Thorne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t: (617) 937-2300 f: (617) 937-2400 cooley.com </w:t>
      </w:r>
    </w:p>
    <w:p>
      <w:pPr>
        <w:pStyle w:val="TextBody"/>
        <w:bidi w:val="0"/>
        <w:spacing w:before="0" w:after="0"/>
        <w:jc w:val="right"/>
        <w:rPr>
          <w:rFonts w:ascii="Times New Roman" w:hAnsi="Times New Roman"/>
          <w:b/>
          <w:sz w:val="20"/>
        </w:rPr>
      </w:pPr>
      <w:bookmarkStart w:id="31" w:name="d879175dex231.htm"/>
      <w:bookmarkStart w:id="32" w:name="ksd879175dex231"/>
      <w:bookmarkEnd w:id="31"/>
      <w:bookmarkEnd w:id="3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(Form S-3) and related Prospectus of Repare Therapeutics Inc. for the registration of common shares, preferred shares, debt securities and warrants and to the incorporation by reference therein of our reports dated February 28, 2024, with respect to the consolidated financial statements of Repare Therapeutics Inc. and the effectiveness of internal control over financial reporting of Repare Therapeutics Inc., included in its Annual Report (Form 10-K) for the year ended December 31,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Montreal, Canada </w:t>
      </w:r>
    </w:p>
    <w:p>
      <w:pPr>
        <w:pStyle w:val="TextBody"/>
        <w:bidi w:val="0"/>
        <w:spacing w:before="0" w:after="0"/>
        <w:jc w:val="left"/>
        <w:rPr>
          <w:rFonts w:ascii="Times New Roman" w:hAnsi="Times New Roman"/>
          <w:sz w:val="20"/>
        </w:rPr>
      </w:pPr>
      <w:r>
        <w:rPr>
          <w:rFonts w:ascii="Times New Roman" w:hAnsi="Times New Roman"/>
          <w:sz w:val="20"/>
        </w:rPr>
        <w:t xml:space="preserve">August 6, 2024 </w:t>
      </w:r>
    </w:p>
    <w:p>
      <w:pPr>
        <w:pStyle w:val="TextBody"/>
        <w:bidi w:val="0"/>
        <w:spacing w:before="0" w:after="0"/>
        <w:jc w:val="right"/>
        <w:rPr>
          <w:rFonts w:ascii="Times New Roman" w:hAnsi="Times New Roman"/>
          <w:b/>
          <w:sz w:val="20"/>
        </w:rPr>
      </w:pPr>
      <w:bookmarkStart w:id="33" w:name="d879175dexfilingfees.htm"/>
      <w:bookmarkStart w:id="34" w:name="ksd879175dexfilingfees"/>
      <w:bookmarkEnd w:id="33"/>
      <w:bookmarkEnd w:id="34"/>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Form S-3</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Repare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Table 1: Newly Registered and Carry Forward Securities </w:t>
      </w:r>
    </w:p>
    <w:p>
      <w:pPr>
        <w:pStyle w:val="TextBody"/>
        <w:bidi w:val="0"/>
        <w:spacing w:before="0" w:after="0"/>
        <w:jc w:val="left"/>
        <w:rPr/>
      </w:pPr>
      <w:r>
        <w:rPr/>
        <w:t> </w:t>
      </w:r>
    </w:p>
    <w:tbl>
      <w:tblPr>
        <w:tblW w:w="11055" w:type="dxa"/>
        <w:jc w:val="center"/>
        <w:tblInd w:w="0" w:type="dxa"/>
        <w:tblLayout w:type="fixed"/>
        <w:tblCellMar>
          <w:top w:w="0" w:type="dxa"/>
          <w:left w:w="0" w:type="dxa"/>
          <w:bottom w:w="0" w:type="dxa"/>
          <w:right w:w="0" w:type="dxa"/>
        </w:tblCellMar>
      </w:tblPr>
      <w:tblGrid>
        <w:gridCol w:w="1025"/>
        <w:gridCol w:w="60"/>
        <w:gridCol w:w="1160"/>
        <w:gridCol w:w="60"/>
        <w:gridCol w:w="1610"/>
        <w:gridCol w:w="60"/>
        <w:gridCol w:w="1100"/>
        <w:gridCol w:w="60"/>
        <w:gridCol w:w="1025"/>
        <w:gridCol w:w="60"/>
        <w:gridCol w:w="995"/>
        <w:gridCol w:w="60"/>
        <w:gridCol w:w="1340"/>
        <w:gridCol w:w="60"/>
        <w:gridCol w:w="1160"/>
        <w:gridCol w:w="60"/>
        <w:gridCol w:w="11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Amount</w:t>
              <w:br/>
              <w:t>Registered 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br/>
              <w:t>Aggregate</w:t>
              <w:b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center"/>
              <w:rPr/>
            </w:pPr>
            <w:r>
              <w:rPr/>
              <w:t>Common shares, no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center"/>
              <w:rPr/>
            </w:pPr>
            <w:r>
              <w:rPr/>
              <w:t>Preferred shares, no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center"/>
              <w:rPr/>
            </w:pPr>
            <w:r>
              <w:rPr/>
              <w:t>Debt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center"/>
              <w:rPr/>
            </w:pPr>
            <w:r>
              <w:rPr/>
              <w:t>Warrants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$350,000,000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$51,660</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center"/>
              <w:rPr/>
            </w:pPr>
            <w:r>
              <w:rPr/>
              <w:t>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1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75" w:type="dxa"/>
            <w:gridSpan w:val="7"/>
            <w:tcBorders/>
            <w:vAlign w:val="bottom"/>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$350,000,000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$51,660</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1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75"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1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75"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$32,445</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1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75"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$19,215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being registered hereunder such indeterminate number, as the case may be, of common shares, preferred shares, debt securities and warrants as shall have an aggregate initial offering price not to exceed $350,000,000. If any debt securities are issued at an original issue discount, then the principal amount of such debt securities shall be in such greater amount as shall result in an aggregate initial offering price not to exceed $350,000,000, less the aggregate dollar amount of all securities previously issued hereunder. The proposed maximum initial offering price per unit will be determined, from time to time, by the registrant in connection with the issuance by the registrant of the securities registered hereunder. The securities registered also include such indeterminate amounts and numbers of common shares, preferred shares, and debt securities as may be issued upon conversion of or exchange for preferred shares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common shares and preferred shares as may be issuable with respect to the shares being registered hereunder as a result of stock splits, dividends or similar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maximum aggregate offering price per unit of security will be determined from time to time by the registrant in connection with the issuance by the registrant of the securities registered hereunder and is not specified as to each class of security pursuant to General Instruction II.D. of Form S-3 under the Securities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1, 2021, the registrant filed a registration statement on Form S-3ASR (File No. 333-257668) with the SEC (the Initial 2021 Registration Statement), which was subsequently amended by Post-Effective Amendment No. 1 to the registration statement on Form S-3, filed with the SEC on March 1, 2022 (Post-Effective Amendment No. 1), Post-Effective Amendment No. 2 to the registration statement on Form S-3, filed with the SEC on March 1, 2022 (Post-Effective Amendment No. 2), and Post-Effective Amendment No. 3 to the registration statement on Form S-3, filed with the SEC on March 7, 2022 (the Initial 2021 Registration Statement as so amended, the 2021 Registration Statement), registering the issuance of up to $350,000,000 of common shares, preferred shares, debt securities and warrants (the 2021 Securities). The 2021 Registration Statement was declared effective on April 25, 2022. A filing fee of $32,445.00 with respect to an aggregate of $350,000,000 of the 2021 Securities was paid in connection with the filing of the 2021 Registration Statement on March 1, 2022, when the registrant filed Post-Effective Amendment No. 1. Pursuant to Post-Effective Amendment No. 2, the 2021 Registration Statement was converted from an automatic shelf registration statement on Form S-3ASR to a non-automatic shelf registration statement on Form S-3. The registrant has not sold any 2021 Securities pursuant to the 2021 Registration Statement. Accordingly, the unused registration fee paid in connection with the 2021 Registration Statement and the 2021 Securities is $32,445.00.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Rule 457(p) under the Securities Act, the registration fee applicable to the $350,000,000 of securities being registered hereby in the amount of $51,660 is offset by $32,445.00 in registration fees previously paid by the registrant with respect to the 2021 Securities that were registered but not issued pursuant to the 2021 Registration Statement. Concurrently with the filing of this registration statement, any offering of the unsold 2021 Securities pursuant to the 2021 Registration Statement is hereby terminated.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2: Fee Offset Claims and Sources </w:t>
      </w:r>
    </w:p>
    <w:p>
      <w:pPr>
        <w:pStyle w:val="TextBody"/>
        <w:bidi w:val="0"/>
        <w:spacing w:before="0" w:after="0"/>
        <w:jc w:val="left"/>
        <w:rPr/>
      </w:pPr>
      <w:r>
        <w:rPr/>
        <w:t> </w:t>
      </w:r>
    </w:p>
    <w:tbl>
      <w:tblPr>
        <w:tblW w:w="14080" w:type="dxa"/>
        <w:jc w:val="center"/>
        <w:tblInd w:w="0" w:type="dxa"/>
        <w:tblLayout w:type="fixed"/>
        <w:tblCellMar>
          <w:top w:w="0" w:type="dxa"/>
          <w:left w:w="0" w:type="dxa"/>
          <w:bottom w:w="0" w:type="dxa"/>
          <w:right w:w="0" w:type="dxa"/>
        </w:tblCellMar>
      </w:tblPr>
      <w:tblGrid>
        <w:gridCol w:w="770"/>
        <w:gridCol w:w="60"/>
        <w:gridCol w:w="1355"/>
        <w:gridCol w:w="60"/>
        <w:gridCol w:w="950"/>
        <w:gridCol w:w="60"/>
        <w:gridCol w:w="1295"/>
        <w:gridCol w:w="60"/>
        <w:gridCol w:w="1190"/>
        <w:gridCol w:w="60"/>
        <w:gridCol w:w="1535"/>
        <w:gridCol w:w="60"/>
        <w:gridCol w:w="1250"/>
        <w:gridCol w:w="60"/>
        <w:gridCol w:w="1160"/>
        <w:gridCol w:w="60"/>
        <w:gridCol w:w="1055"/>
        <w:gridCol w:w="60"/>
        <w:gridCol w:w="1790"/>
        <w:gridCol w:w="60"/>
        <w:gridCol w:w="113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8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Registrant</w:t>
            </w:r>
          </w:p>
          <w:p>
            <w:pPr>
              <w:pStyle w:val="TableContents"/>
              <w:bidi w:val="0"/>
              <w:spacing w:before="0" w:after="0"/>
              <w:jc w:val="center"/>
              <w:rPr>
                <w:rFonts w:ascii="Times New Roman" w:hAnsi="Times New Roman"/>
                <w:sz w:val="14"/>
              </w:rPr>
            </w:pPr>
            <w:r>
              <w:rPr>
                <w:rFonts w:ascii="Times New Roman" w:hAnsi="Times New Roman"/>
                <w:sz w:val="14"/>
              </w:rPr>
              <w:t>or Filer</w:t>
            </w:r>
          </w:p>
          <w:p>
            <w:pPr>
              <w:pStyle w:val="TableContents"/>
              <w:bidi w:val="0"/>
              <w:spacing w:before="0" w:after="20"/>
              <w:jc w:val="center"/>
              <w:rPr>
                <w:rFonts w:ascii="Times New Roman" w:hAnsi="Times New Roman"/>
                <w:sz w:val="14"/>
              </w:rPr>
            </w:pPr>
            <w:r>
              <w:rPr>
                <w:rFonts w:ascii="Times New Roman" w:hAnsi="Times New Roman"/>
                <w:sz w:val="14"/>
              </w:rPr>
              <w:t>Name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Form</w:t>
            </w:r>
          </w:p>
          <w:p>
            <w:pPr>
              <w:pStyle w:val="TableContents"/>
              <w:bidi w:val="0"/>
              <w:spacing w:before="0" w:after="0"/>
              <w:jc w:val="center"/>
              <w:rPr>
                <w:rFonts w:ascii="Times New Roman" w:hAnsi="Times New Roman"/>
                <w:sz w:val="14"/>
              </w:rPr>
            </w:pPr>
            <w:r>
              <w:rPr>
                <w:rFonts w:ascii="Times New Roman" w:hAnsi="Times New Roman"/>
                <w:sz w:val="14"/>
              </w:rPr>
              <w:t>or</w:t>
            </w:r>
          </w:p>
          <w:p>
            <w:pPr>
              <w:pStyle w:val="TableContents"/>
              <w:bidi w:val="0"/>
              <w:spacing w:before="0" w:after="0"/>
              <w:jc w:val="center"/>
              <w:rPr>
                <w:rFonts w:ascii="Times New Roman" w:hAnsi="Times New Roman"/>
                <w:sz w:val="14"/>
              </w:rPr>
            </w:pPr>
            <w:r>
              <w:rPr>
                <w:rFonts w:ascii="Times New Roman" w:hAnsi="Times New Roman"/>
                <w:sz w:val="14"/>
              </w:rPr>
              <w:t>Filing</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Initial</w:t>
              <w:br/>
              <w:t>Filing</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Filing</w:t>
            </w:r>
          </w:p>
          <w:p>
            <w:pPr>
              <w:pStyle w:val="TableContents"/>
              <w:bidi w:val="0"/>
              <w:spacing w:before="0" w:after="20"/>
              <w:jc w:val="center"/>
              <w:rPr>
                <w:rFonts w:ascii="Times New Roman" w:hAnsi="Times New Roman"/>
                <w:sz w:val="14"/>
              </w:rPr>
            </w:pPr>
            <w:r>
              <w:rPr>
                <w:rFonts w:ascii="Times New Roman" w:hAnsi="Times New Roman"/>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Title</w:t>
            </w:r>
          </w:p>
          <w:p>
            <w:pPr>
              <w:pStyle w:val="TableContents"/>
              <w:bidi w:val="0"/>
              <w:spacing w:before="0" w:after="0"/>
              <w:jc w:val="center"/>
              <w:rPr>
                <w:rFonts w:ascii="Times New Roman" w:hAnsi="Times New Roman"/>
                <w:sz w:val="14"/>
              </w:rPr>
            </w:pPr>
            <w:r>
              <w:rPr>
                <w:rFonts w:ascii="Times New Roman" w:hAnsi="Times New Roman"/>
                <w:sz w:val="14"/>
              </w:rPr>
              <w:t>Associated</w:t>
            </w:r>
          </w:p>
          <w:p>
            <w:pPr>
              <w:pStyle w:val="TableContents"/>
              <w:bidi w:val="0"/>
              <w:spacing w:before="0" w:after="0"/>
              <w:jc w:val="center"/>
              <w:rPr>
                <w:rFonts w:ascii="Times New Roman" w:hAnsi="Times New Roman"/>
                <w:sz w:val="14"/>
              </w:rPr>
            </w:pPr>
            <w:r>
              <w:rPr>
                <w:rFonts w:ascii="Times New Roman" w:hAnsi="Times New Roman"/>
                <w:sz w:val="14"/>
              </w:rPr>
              <w:t>with Fee</w:t>
            </w:r>
          </w:p>
          <w:p>
            <w:pPr>
              <w:pStyle w:val="TableContents"/>
              <w:bidi w:val="0"/>
              <w:spacing w:before="0" w:after="0"/>
              <w:jc w:val="center"/>
              <w:rPr>
                <w:rFonts w:ascii="Times New Roman" w:hAnsi="Times New Roman"/>
                <w:sz w:val="14"/>
              </w:rPr>
            </w:pPr>
            <w:r>
              <w:rPr>
                <w:rFonts w:ascii="Times New Roman" w:hAnsi="Times New Roman"/>
                <w:sz w:val="14"/>
              </w:rPr>
              <w:t>Offset</w:t>
            </w:r>
          </w:p>
          <w:p>
            <w:pPr>
              <w:pStyle w:val="TableContents"/>
              <w:bidi w:val="0"/>
              <w:spacing w:before="0" w:after="20"/>
              <w:jc w:val="center"/>
              <w:rPr>
                <w:rFonts w:ascii="Times New Roman" w:hAnsi="Times New Roman"/>
                <w:sz w:val="14"/>
              </w:rPr>
            </w:pPr>
            <w:r>
              <w:rPr>
                <w:rFonts w:ascii="Times New Roman" w:hAnsi="Times New Roman"/>
                <w:sz w:val="14"/>
              </w:rP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Unsold</w:t>
              <w:br/>
              <w:t>Securities</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Unsold</w:t>
            </w:r>
          </w:p>
          <w:p>
            <w:pPr>
              <w:pStyle w:val="TableContents"/>
              <w:bidi w:val="0"/>
              <w:spacing w:before="0" w:after="0"/>
              <w:jc w:val="center"/>
              <w:rPr>
                <w:rFonts w:ascii="Times New Roman" w:hAnsi="Times New Roman"/>
                <w:sz w:val="14"/>
              </w:rPr>
            </w:pPr>
            <w:r>
              <w:rPr>
                <w:rFonts w:ascii="Times New Roman" w:hAnsi="Times New Roman"/>
                <w:sz w:val="14"/>
              </w:rPr>
              <w:t>Aggregate</w:t>
              <w:br/>
              <w:t>Offering</w:t>
            </w:r>
          </w:p>
          <w:p>
            <w:pPr>
              <w:pStyle w:val="TableContents"/>
              <w:bidi w:val="0"/>
              <w:spacing w:before="0" w:after="0"/>
              <w:jc w:val="center"/>
              <w:rPr>
                <w:rFonts w:ascii="Times New Roman" w:hAnsi="Times New Roman"/>
                <w:sz w:val="14"/>
              </w:rPr>
            </w:pPr>
            <w:r>
              <w:rPr>
                <w:rFonts w:ascii="Times New Roman" w:hAnsi="Times New Roman"/>
                <w:sz w:val="14"/>
              </w:rPr>
              <w:t>Amount</w:t>
              <w:br/>
              <w:t>Associated</w:t>
            </w:r>
          </w:p>
          <w:p>
            <w:pPr>
              <w:pStyle w:val="TableContents"/>
              <w:bidi w:val="0"/>
              <w:spacing w:before="0" w:after="0"/>
              <w:jc w:val="center"/>
              <w:rPr>
                <w:rFonts w:ascii="Times New Roman" w:hAnsi="Times New Roman"/>
                <w:sz w:val="14"/>
              </w:rPr>
            </w:pPr>
            <w:r>
              <w:rPr>
                <w:rFonts w:ascii="Times New Roman" w:hAnsi="Times New Roman"/>
                <w:sz w:val="14"/>
              </w:rPr>
              <w:t>with Fee</w:t>
            </w:r>
          </w:p>
          <w:p>
            <w:pPr>
              <w:pStyle w:val="TableContents"/>
              <w:bidi w:val="0"/>
              <w:spacing w:before="0" w:after="0"/>
              <w:jc w:val="center"/>
              <w:rPr>
                <w:rFonts w:ascii="Times New Roman" w:hAnsi="Times New Roman"/>
                <w:sz w:val="14"/>
              </w:rPr>
            </w:pPr>
            <w:r>
              <w:rPr>
                <w:rFonts w:ascii="Times New Roman" w:hAnsi="Times New Roman"/>
                <w:sz w:val="14"/>
              </w:rPr>
              <w:t>Offset</w:t>
            </w:r>
          </w:p>
          <w:p>
            <w:pPr>
              <w:pStyle w:val="TableContents"/>
              <w:bidi w:val="0"/>
              <w:spacing w:before="0" w:after="20"/>
              <w:jc w:val="center"/>
              <w:rPr>
                <w:rFonts w:ascii="Times New Roman" w:hAnsi="Times New Roman"/>
                <w:sz w:val="14"/>
              </w:rPr>
            </w:pPr>
            <w:r>
              <w:rPr>
                <w:rFonts w:ascii="Times New Roman" w:hAnsi="Times New Roman"/>
                <w:sz w:val="14"/>
              </w:rP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3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Paid</w:t>
            </w:r>
          </w:p>
          <w:p>
            <w:pPr>
              <w:pStyle w:val="TableContents"/>
              <w:bidi w:val="0"/>
              <w:spacing w:before="0" w:after="0"/>
              <w:jc w:val="center"/>
              <w:rPr>
                <w:rFonts w:ascii="Times New Roman" w:hAnsi="Times New Roman"/>
                <w:sz w:val="14"/>
              </w:rPr>
            </w:pPr>
            <w:r>
              <w:rPr>
                <w:rFonts w:ascii="Times New Roman" w:hAnsi="Times New Roman"/>
                <w:sz w:val="14"/>
              </w:rPr>
              <w:t>with</w:t>
            </w:r>
          </w:p>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Offset</w:t>
              <w:br/>
              <w:t>Source</w:t>
            </w:r>
          </w:p>
        </w:tc>
      </w:tr>
      <w:tr>
        <w:trPr>
          <w:trHeight w:val="15" w:hRule="atLeast"/>
        </w:trPr>
        <w:tc>
          <w:tcPr>
            <w:tcW w:w="14080" w:type="dxa"/>
            <w:gridSpan w:val="21"/>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080" w:type="dxa"/>
            <w:gridSpan w:val="21"/>
            <w:tcBorders>
              <w:left w:val="single" w:sz="2" w:space="0" w:color="000000"/>
              <w:right w:val="single" w:sz="2" w:space="0" w:color="000000"/>
            </w:tcBorders>
            <w:tcMar>
              <w:left w:w="160" w:type="dxa"/>
              <w:right w:w="40" w:type="dxa"/>
            </w:tcMar>
          </w:tcPr>
          <w:p>
            <w:pPr>
              <w:pStyle w:val="TableContents"/>
              <w:bidi w:val="0"/>
              <w:spacing w:before="0" w:after="283"/>
              <w:jc w:val="center"/>
              <w:rPr/>
            </w:pPr>
            <w:r>
              <w:rPr/>
              <w:t>Rule 457(p)</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8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center"/>
              <w:rPr/>
            </w:pPr>
            <w:r>
              <w:rPr/>
              <w:t>Fee Offset Claims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Repare Therapeutics Inc.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center"/>
              <w:rPr/>
            </w:pPr>
            <w:r>
              <w:rPr/>
              <w:t>S-3-ASR 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333-257668 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July 2,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3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8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center"/>
              <w:rPr/>
            </w:pPr>
            <w:r>
              <w:rPr/>
              <w:t>Fee Offset Sources 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Repare Therapeutics  Inc.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center"/>
              <w:rPr/>
            </w:pPr>
            <w:r>
              <w:rPr/>
              <w:t>POSASR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333-257668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center"/>
              <w:rPr/>
            </w:pPr>
            <w:r>
              <w:rPr/>
              <w:t>March 1, 2022 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$32,445 (1) 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center"/>
              <w:rPr/>
            </w:pPr>
            <w:r>
              <w:rPr/>
              <w:t>$350,000,000 (1) 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30" w:type="dxa"/>
            <w:tcBorders>
              <w:right w:val="single" w:sz="2" w:space="0" w:color="000000"/>
            </w:tcBorders>
            <w:tcMar>
              <w:right w:w="40" w:type="dxa"/>
            </w:tcMar>
            <w:vAlign w:val="bottom"/>
          </w:tcPr>
          <w:p>
            <w:pPr>
              <w:pStyle w:val="TableContents"/>
              <w:bidi w:val="0"/>
              <w:spacing w:before="0" w:after="283"/>
              <w:jc w:val="center"/>
              <w:rPr/>
            </w:pPr>
            <w:r>
              <w:rPr/>
              <w:t>$32,445 (1)</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8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center"/>
              <w:rPr/>
            </w:pPr>
            <w:r>
              <w:rPr/>
              <w:t>Fee Offset Sources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Repare Therapeutics Inc.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center"/>
              <w:rPr/>
            </w:pPr>
            <w:r>
              <w:rPr/>
              <w:t>POS AM</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333-257668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center"/>
              <w:rPr/>
            </w:pPr>
            <w:r>
              <w:rPr/>
              <w:t>March 2, 2022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3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8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Fee Offset Sources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55" w:type="dxa"/>
            <w:tcBorders>
              <w:bottom w:val="single" w:sz="2" w:space="0" w:color="000000"/>
            </w:tcBorders>
            <w:tcMar>
              <w:bottom w:w="28" w:type="dxa"/>
            </w:tcMar>
            <w:vAlign w:val="bottom"/>
          </w:tcPr>
          <w:p>
            <w:pPr>
              <w:pStyle w:val="TableContents"/>
              <w:bidi w:val="0"/>
              <w:spacing w:before="0" w:after="283"/>
              <w:jc w:val="center"/>
              <w:rPr/>
            </w:pPr>
            <w:r>
              <w:rPr/>
              <w:t>Repare Therapeutics Inc.</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 w:type="dxa"/>
            <w:tcBorders>
              <w:bottom w:val="single" w:sz="2" w:space="0" w:color="000000"/>
            </w:tcBorders>
            <w:tcMar>
              <w:bottom w:w="28" w:type="dxa"/>
            </w:tcMar>
            <w:vAlign w:val="bottom"/>
          </w:tcPr>
          <w:p>
            <w:pPr>
              <w:pStyle w:val="TableContents"/>
              <w:bidi w:val="0"/>
              <w:spacing w:before="0" w:after="283"/>
              <w:jc w:val="center"/>
              <w:rPr/>
            </w:pPr>
            <w:r>
              <w:rPr/>
              <w:t>POS AM</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bottom"/>
          </w:tcPr>
          <w:p>
            <w:pPr>
              <w:pStyle w:val="TableContents"/>
              <w:bidi w:val="0"/>
              <w:spacing w:before="0" w:after="283"/>
              <w:jc w:val="center"/>
              <w:rPr/>
            </w:pPr>
            <w:r>
              <w:rPr/>
              <w:t>333-257668</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5" w:type="dxa"/>
            <w:tcBorders>
              <w:bottom w:val="single" w:sz="2" w:space="0" w:color="000000"/>
            </w:tcBorders>
            <w:tcMar>
              <w:bottom w:w="28" w:type="dxa"/>
            </w:tcMar>
            <w:vAlign w:val="bottom"/>
          </w:tcPr>
          <w:p>
            <w:pPr>
              <w:pStyle w:val="TableContents"/>
              <w:bidi w:val="0"/>
              <w:spacing w:before="0" w:after="283"/>
              <w:jc w:val="center"/>
              <w:rPr/>
            </w:pPr>
            <w:r>
              <w:rPr/>
              <w:t>March 7, 2022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9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 (4) under Table 1 above.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08158/000095017024021651/rptx-20231231.htm" TargetMode="External"/><Relationship Id="rId4" Type="http://schemas.openxmlformats.org/officeDocument/2006/relationships/hyperlink" Target="http://www.sec.gov/Archives/edgar/data/1808158/000119312524117976/d23477ddef14a.htm" TargetMode="External"/><Relationship Id="rId5" Type="http://schemas.openxmlformats.org/officeDocument/2006/relationships/hyperlink" Target="http://www.sec.gov/Archives/edgar/data/1808158/000095017024054515/rptx-20240331.htm" TargetMode="External"/><Relationship Id="rId6" Type="http://schemas.openxmlformats.org/officeDocument/2006/relationships/hyperlink" Target="http://www.sec.gov/Archives/edgar/data/../../../ix?doc=/Archives/edgar/data/1808158/000095017024091850/rptx-20240630.htm" TargetMode="External"/><Relationship Id="rId7" Type="http://schemas.openxmlformats.org/officeDocument/2006/relationships/hyperlink" Target="http://www.sec.gov/Archives/edgar/data/1808158/000119312524007503/d730642d8k.htm" TargetMode="External"/><Relationship Id="rId8" Type="http://schemas.openxmlformats.org/officeDocument/2006/relationships/hyperlink" Target="http://www.sec.gov/Archives/edgar/data/1808158/000095017024007321/rptx-20240125.htm" TargetMode="External"/><Relationship Id="rId9" Type="http://schemas.openxmlformats.org/officeDocument/2006/relationships/hyperlink" Target="http://www.sec.gov/Archives/edgar/data/1808158/000119312524032209/d741398d8k.htm" TargetMode="External"/><Relationship Id="rId10" Type="http://schemas.openxmlformats.org/officeDocument/2006/relationships/hyperlink" Target="http://www.sec.gov/Archives/edgar/data/1808158/000119312524118073/d798198d8k.htm" TargetMode="External"/><Relationship Id="rId11" Type="http://schemas.openxmlformats.org/officeDocument/2006/relationships/hyperlink" Target="http://www.sec.gov/Archives/edgar/data/1808158/000119312524162595/d835544d8k.htm" TargetMode="External"/><Relationship Id="rId12" Type="http://schemas.openxmlformats.org/officeDocument/2006/relationships/hyperlink" Target="http://www.sec.gov/Archives/edgar/data/1808158/000119312520170457/d944254d8a12b.htm" TargetMode="External"/><Relationship Id="rId13" Type="http://schemas.openxmlformats.org/officeDocument/2006/relationships/hyperlink" Target="http://www.sec.gov/Archives/edgar/data/1808158/000119312520176579/d920931dex31.htm" TargetMode="External"/><Relationship Id="rId14" Type="http://schemas.openxmlformats.org/officeDocument/2006/relationships/hyperlink" Target="http://www.sec.gov/Archives/edgar/data/1808158/000119312520176579/d920931dex32.htm" TargetMode="External"/><Relationship Id="rId15" Type="http://schemas.openxmlformats.org/officeDocument/2006/relationships/hyperlink" Target="http://www.sec.gov/Archives/edgar/data/0001808158/000119312520168295/d908774dex41.htm" TargetMode="External"/><Relationship Id="rId16" Type="http://schemas.openxmlformats.org/officeDocument/2006/relationships/hyperlink" Target="http://www.sec.gov/Archives/edgar/data/1808158/000119312520155961/d908774dex42.htm" TargetMode="External"/><Relationship Id="rId17" Type="http://schemas.openxmlformats.org/officeDocument/2006/relationships/hyperlink" Target="http://www.sec.gov/Archives/edgar/data/1808158/000156459021011011/rptx-ex44_737.htm" TargetMode="External"/><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174</Pages>
  <Words>80796</Words>
  <Characters>411009</Characters>
  <CharactersWithSpaces>492085</CharactersWithSpaces>
  <Paragraphs>4735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