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424(b)(4)</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333-238822</w:t>
      </w:r>
    </w:p>
    <w:p>
      <w:pPr>
        <w:spacing w:after="0" w:line="136"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PROSPECTUS</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32"/>
          <w:szCs w:val="32"/>
          <w:i w:val="1"/>
          <w:iCs w:val="1"/>
          <w:color w:val="auto"/>
        </w:rPr>
        <w:t>11,000,000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113030</wp:posOffset>
            </wp:positionV>
            <wp:extent cx="165417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417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229870</wp:posOffset>
            </wp:positionV>
            <wp:extent cx="1491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offering 11,000,000 common shares. This is our initial public offering and no public market currently exists for our common shares. The initial public offering price is $20.00 per common share. Our common shares have been approved for listing on the Nasdaq Global Select Market under the symbol “RPTX.”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211455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the federal securities laws and will be subject to reduced public company reporting requirements for this prospectus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203200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Investing in our common shares involves a high degree of risk. See “</w:t>
      </w:r>
      <w:hyperlink w:anchor="page17">
        <w:r>
          <w:rPr>
            <w:rFonts w:ascii="Arial" w:cs="Arial" w:eastAsia="Arial" w:hAnsi="Arial"/>
            <w:sz w:val="19"/>
            <w:szCs w:val="19"/>
            <w:b w:val="1"/>
            <w:bCs w:val="1"/>
            <w:i w:val="1"/>
            <w:iCs w:val="1"/>
            <w:u w:val="single" w:color="auto"/>
            <w:color w:val="0000EE"/>
          </w:rPr>
          <w:t>Risk Factors</w:t>
        </w:r>
      </w:hyperlink>
      <w:r>
        <w:rPr>
          <w:rFonts w:ascii="Arial" w:cs="Arial" w:eastAsia="Arial" w:hAnsi="Arial"/>
          <w:sz w:val="19"/>
          <w:szCs w:val="19"/>
          <w:b w:val="1"/>
          <w:bCs w:val="1"/>
          <w:i w:val="1"/>
          <w:iCs w:val="1"/>
          <w:color w:val="auto"/>
        </w:rPr>
        <w:t>” beginning on page 15 of this prospectus.</w:t>
      </w:r>
    </w:p>
    <w:p>
      <w:pPr>
        <w:spacing w:after="0" w:line="24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211455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95"/>
              </w:rPr>
              <w:t>PER SHARE</w:t>
            </w:r>
          </w:p>
        </w:tc>
        <w:tc>
          <w:tcPr>
            <w:tcW w:w="600" w:type="dxa"/>
            <w:vAlign w:val="bottom"/>
          </w:tcPr>
          <w:p>
            <w:pPr>
              <w:spacing w:after="0"/>
              <w:rPr>
                <w:sz w:val="14"/>
                <w:szCs w:val="14"/>
                <w:color w:val="auto"/>
              </w:rPr>
            </w:pPr>
          </w:p>
        </w:tc>
        <w:tc>
          <w:tcPr>
            <w:tcW w:w="1560" w:type="dxa"/>
            <w:vAlign w:val="bottom"/>
            <w:gridSpan w:val="3"/>
          </w:tcPr>
          <w:p>
            <w:pPr>
              <w:jc w:val="right"/>
              <w:ind w:right="36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29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80" w:type="dxa"/>
            <w:vAlign w:val="bottom"/>
            <w:vMerge w:val="continue"/>
          </w:tcPr>
          <w:p>
            <w:pPr>
              <w:spacing w:after="0"/>
              <w:rPr>
                <w:sz w:val="16"/>
                <w:szCs w:val="16"/>
                <w:color w:val="auto"/>
              </w:rPr>
            </w:pPr>
          </w:p>
        </w:tc>
        <w:tc>
          <w:tcPr>
            <w:tcW w:w="2940" w:type="dxa"/>
            <w:vAlign w:val="bottom"/>
            <w:vMerge w:val="continue"/>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i w:val="1"/>
                <w:iCs w:val="1"/>
                <w:color w:val="auto"/>
              </w:rPr>
              <w:t>$20.00</w:t>
            </w:r>
          </w:p>
        </w:tc>
        <w:tc>
          <w:tcPr>
            <w:tcW w:w="6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20" w:type="dxa"/>
            <w:vAlign w:val="bottom"/>
            <w:gridSpan w:val="2"/>
          </w:tcPr>
          <w:p>
            <w:pPr>
              <w:jc w:val="right"/>
              <w:spacing w:after="0" w:line="195" w:lineRule="exact"/>
              <w:rPr>
                <w:sz w:val="20"/>
                <w:szCs w:val="20"/>
                <w:color w:val="auto"/>
              </w:rPr>
            </w:pPr>
            <w:r>
              <w:rPr>
                <w:rFonts w:ascii="Arial" w:cs="Arial" w:eastAsia="Arial" w:hAnsi="Arial"/>
                <w:sz w:val="18"/>
                <w:szCs w:val="18"/>
                <w:i w:val="1"/>
                <w:iCs w:val="1"/>
                <w:color w:val="auto"/>
                <w:w w:val="79"/>
              </w:rPr>
              <w:t>220,000,000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i w:val="1"/>
                <w:iCs w:val="1"/>
                <w:color w:val="auto"/>
              </w:rPr>
              <w:t>Underwriting commissions</w:t>
            </w:r>
            <w:r>
              <w:rPr>
                <w:rFonts w:ascii="Arial" w:cs="Arial" w:eastAsia="Arial" w:hAnsi="Arial"/>
                <w:sz w:val="15"/>
                <w:szCs w:val="15"/>
                <w:i w:val="1"/>
                <w:iCs w:val="1"/>
                <w:color w:val="auto"/>
              </w:rPr>
              <w:t>(1)</w:t>
            </w:r>
          </w:p>
        </w:tc>
        <w:tc>
          <w:tcPr>
            <w:tcW w:w="4340" w:type="dxa"/>
            <w:vAlign w:val="bottom"/>
            <w:gridSpan w:val="3"/>
          </w:tcPr>
          <w:p>
            <w:pPr>
              <w:jc w:val="right"/>
              <w:ind w:right="560"/>
              <w:spacing w:after="0"/>
              <w:rPr>
                <w:sz w:val="20"/>
                <w:szCs w:val="20"/>
                <w:color w:val="auto"/>
              </w:rPr>
            </w:pPr>
            <w:r>
              <w:rPr>
                <w:rFonts w:ascii="Arial" w:cs="Arial" w:eastAsia="Arial" w:hAnsi="Arial"/>
                <w:sz w:val="18"/>
                <w:szCs w:val="18"/>
                <w:i w:val="1"/>
                <w:iCs w:val="1"/>
                <w:color w:val="auto"/>
              </w:rPr>
              <w:t>$1.40</w:t>
            </w:r>
          </w:p>
        </w:tc>
        <w:tc>
          <w:tcPr>
            <w:tcW w:w="1560" w:type="dxa"/>
            <w:vAlign w:val="bottom"/>
            <w:gridSpan w:val="3"/>
          </w:tcPr>
          <w:p>
            <w:pPr>
              <w:jc w:val="right"/>
              <w:spacing w:after="0"/>
              <w:rPr>
                <w:sz w:val="20"/>
                <w:szCs w:val="20"/>
                <w:color w:val="auto"/>
              </w:rPr>
            </w:pPr>
            <w:r>
              <w:rPr>
                <w:rFonts w:ascii="Arial" w:cs="Arial" w:eastAsia="Arial" w:hAnsi="Arial"/>
                <w:sz w:val="18"/>
                <w:szCs w:val="18"/>
                <w:i w:val="1"/>
                <w:iCs w:val="1"/>
                <w:color w:val="auto"/>
              </w:rPr>
              <w:t>$15,400,000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i w:val="1"/>
                <w:iCs w:val="1"/>
                <w:color w:val="auto"/>
              </w:rPr>
              <w:t>Proceeds, before expenses, to us</w:t>
            </w:r>
          </w:p>
        </w:tc>
        <w:tc>
          <w:tcPr>
            <w:tcW w:w="4340" w:type="dxa"/>
            <w:vAlign w:val="bottom"/>
            <w:gridSpan w:val="3"/>
          </w:tcPr>
          <w:p>
            <w:pPr>
              <w:jc w:val="right"/>
              <w:ind w:right="560"/>
              <w:spacing w:after="0"/>
              <w:rPr>
                <w:sz w:val="20"/>
                <w:szCs w:val="20"/>
                <w:color w:val="auto"/>
              </w:rPr>
            </w:pPr>
            <w:r>
              <w:rPr>
                <w:rFonts w:ascii="Arial" w:cs="Arial" w:eastAsia="Arial" w:hAnsi="Arial"/>
                <w:sz w:val="18"/>
                <w:szCs w:val="18"/>
                <w:i w:val="1"/>
                <w:iCs w:val="1"/>
                <w:color w:val="auto"/>
              </w:rPr>
              <w:t>$18.60</w:t>
            </w:r>
          </w:p>
        </w:tc>
        <w:tc>
          <w:tcPr>
            <w:tcW w:w="1560" w:type="dxa"/>
            <w:vAlign w:val="bottom"/>
            <w:gridSpan w:val="3"/>
          </w:tcPr>
          <w:p>
            <w:pPr>
              <w:jc w:val="right"/>
              <w:spacing w:after="0"/>
              <w:rPr>
                <w:sz w:val="20"/>
                <w:szCs w:val="20"/>
                <w:color w:val="auto"/>
              </w:rPr>
            </w:pPr>
            <w:r>
              <w:rPr>
                <w:rFonts w:ascii="Arial" w:cs="Arial" w:eastAsia="Arial" w:hAnsi="Arial"/>
                <w:sz w:val="18"/>
                <w:szCs w:val="18"/>
                <w:i w:val="1"/>
                <w:iCs w:val="1"/>
                <w:color w:val="auto"/>
              </w:rPr>
              <w:t>$204,600,000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4"/>
          <w:szCs w:val="24"/>
          <w:color w:val="auto"/>
        </w:rPr>
      </w:pPr>
    </w:p>
    <w:p>
      <w:pPr>
        <w:ind w:right="2100" w:firstLine="8"/>
        <w:spacing w:after="0" w:line="593" w:lineRule="auto"/>
        <w:tabs>
          <w:tab w:leader="none" w:pos="445"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We refer you to “Underwriting” beginning on page 212 for additional information regarding underwriter compensation. We have granted the underwriters an option for a period of 30 days to purchase up to 1,650,000 additional common shares. The underwriters expect to deliver the common shares against payment in New York, New York on or about June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52070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49" w:lineRule="exact"/>
        <w:rPr>
          <w:sz w:val="24"/>
          <w:szCs w:val="24"/>
          <w:color w:val="auto"/>
        </w:rPr>
      </w:pPr>
    </w:p>
    <w:p>
      <w:pPr>
        <w:ind w:left="500"/>
        <w:spacing w:after="0"/>
        <w:tabs>
          <w:tab w:leader="none" w:pos="3620" w:val="left"/>
          <w:tab w:leader="none" w:pos="7740" w:val="left"/>
          <w:tab w:leader="none" w:pos="9340" w:val="left"/>
        </w:tabs>
        <w:rPr>
          <w:sz w:val="20"/>
          <w:szCs w:val="20"/>
          <w:color w:val="auto"/>
        </w:rPr>
      </w:pPr>
      <w:r>
        <w:rPr>
          <w:rFonts w:ascii="Arial" w:cs="Arial" w:eastAsia="Arial" w:hAnsi="Arial"/>
          <w:sz w:val="25"/>
          <w:szCs w:val="25"/>
          <w:i w:val="1"/>
          <w:iCs w:val="1"/>
          <w:color w:val="auto"/>
        </w:rPr>
        <w:t>Morgan Stanley</w:t>
      </w:r>
      <w:r>
        <w:rPr>
          <w:sz w:val="20"/>
          <w:szCs w:val="20"/>
          <w:color w:val="auto"/>
        </w:rPr>
        <w:tab/>
      </w:r>
      <w:r>
        <w:rPr>
          <w:rFonts w:ascii="Arial" w:cs="Arial" w:eastAsia="Arial" w:hAnsi="Arial"/>
          <w:sz w:val="25"/>
          <w:szCs w:val="25"/>
          <w:i w:val="1"/>
          <w:iCs w:val="1"/>
          <w:color w:val="auto"/>
        </w:rPr>
        <w:t>Goldman Sachs &amp; Co. LLC</w:t>
      </w:r>
      <w:r>
        <w:rPr>
          <w:sz w:val="20"/>
          <w:szCs w:val="20"/>
          <w:color w:val="auto"/>
        </w:rPr>
        <w:tab/>
      </w:r>
      <w:r>
        <w:rPr>
          <w:rFonts w:ascii="Arial" w:cs="Arial" w:eastAsia="Arial" w:hAnsi="Arial"/>
          <w:sz w:val="25"/>
          <w:szCs w:val="25"/>
          <w:i w:val="1"/>
          <w:iCs w:val="1"/>
          <w:color w:val="auto"/>
        </w:rPr>
        <w:t>Cowen</w:t>
      </w:r>
      <w:r>
        <w:rPr>
          <w:sz w:val="20"/>
          <w:szCs w:val="20"/>
          <w:color w:val="auto"/>
        </w:rPr>
        <w:tab/>
      </w:r>
      <w:r>
        <w:rPr>
          <w:rFonts w:ascii="Arial" w:cs="Arial" w:eastAsia="Arial" w:hAnsi="Arial"/>
          <w:sz w:val="23"/>
          <w:szCs w:val="23"/>
          <w:i w:val="1"/>
          <w:iCs w:val="1"/>
          <w:color w:val="auto"/>
        </w:rPr>
        <w:t>Piper Sandler</w:t>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Prospectus dated June 18, 2020</w:t>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20" w:type="dxa"/>
            <w:vAlign w:val="bottom"/>
            <w:gridSpan w:val="9"/>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PAGE</w:t>
            </w:r>
          </w:p>
        </w:tc>
        <w:tc>
          <w:tcPr>
            <w:tcW w:w="5060" w:type="dxa"/>
            <w:vAlign w:val="bottom"/>
            <w:gridSpan w:val="10"/>
            <w:vMerge w:val="restart"/>
          </w:tcPr>
          <w:p>
            <w:pPr>
              <w:ind w:left="200"/>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DESCRIPTION OF SHARE CAPITAL</w:t>
              </w:r>
            </w:hyperlink>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920" w:type="dxa"/>
            <w:vAlign w:val="bottom"/>
            <w:gridSpan w:val="9"/>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5060" w:type="dxa"/>
            <w:vAlign w:val="bottom"/>
            <w:gridSpan w:val="10"/>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920" w:type="dxa"/>
            <w:vAlign w:val="bottom"/>
            <w:gridSpan w:val="9"/>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SHARES ELIGIBLE FOR FUTURE SALE</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90"/>
        </w:trPr>
        <w:tc>
          <w:tcPr>
            <w:tcW w:w="4920" w:type="dxa"/>
            <w:vAlign w:val="bottom"/>
            <w:gridSpan w:val="9"/>
          </w:tcPr>
          <w:p>
            <w:pPr>
              <w:spacing w:after="0" w:line="190" w:lineRule="exact"/>
              <w:rPr>
                <w:rFonts w:ascii="Arial" w:cs="Arial" w:eastAsia="Arial" w:hAnsi="Arial"/>
                <w:sz w:val="18"/>
                <w:szCs w:val="18"/>
                <w:color w:val="0000EE"/>
              </w:rPr>
            </w:pPr>
            <w:hyperlink w:anchor="page80">
              <w:r>
                <w:rPr>
                  <w:rFonts w:ascii="Arial" w:cs="Arial" w:eastAsia="Arial" w:hAnsi="Arial"/>
                  <w:sz w:val="18"/>
                  <w:szCs w:val="18"/>
                  <w:color w:val="0000EE"/>
                </w:rPr>
                <w:t>SPECIAL NOTE REGARDING FORWARD-LOOKING</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gridSpan w:val="10"/>
          </w:tcPr>
          <w:p>
            <w:pPr>
              <w:ind w:left="200"/>
              <w:spacing w:after="0" w:line="190" w:lineRule="exact"/>
              <w:rPr>
                <w:rFonts w:ascii="Arial" w:cs="Arial" w:eastAsia="Arial" w:hAnsi="Arial"/>
                <w:sz w:val="18"/>
                <w:szCs w:val="18"/>
                <w:color w:val="0000EE"/>
              </w:rPr>
            </w:pPr>
            <w:hyperlink w:anchor="page194">
              <w:r>
                <w:rPr>
                  <w:rFonts w:ascii="Arial" w:cs="Arial" w:eastAsia="Arial" w:hAnsi="Arial"/>
                  <w:sz w:val="18"/>
                  <w:szCs w:val="18"/>
                  <w:color w:val="0000EE"/>
                </w:rPr>
                <w:t>MATERIAL DIFFERENCES BETWEEN THE BUSINESS</w:t>
              </w:r>
            </w:hyperlink>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960" w:type="dxa"/>
            <w:vAlign w:val="bottom"/>
            <w:gridSpan w:val="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STATEMENTS</w:t>
              </w:r>
            </w:hyperlink>
          </w:p>
        </w:tc>
        <w:tc>
          <w:tcPr>
            <w:tcW w:w="780" w:type="dxa"/>
            <w:vAlign w:val="bottom"/>
            <w:gridSpan w:val="2"/>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0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94">
              <w:r>
                <w:rPr>
                  <w:rFonts w:ascii="Arial" w:cs="Arial" w:eastAsia="Arial" w:hAnsi="Arial"/>
                  <w:sz w:val="18"/>
                  <w:szCs w:val="18"/>
                  <w:color w:val="0000EE"/>
                  <w:w w:val="95"/>
                </w:rPr>
                <w:t>CORPORATIONS ACT (QUÉBEC) AND THE DELAWARE</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gridSpan w:val="9"/>
          </w:tcPr>
          <w:p>
            <w:pPr>
              <w:spacing w:after="0" w:line="196" w:lineRule="exact"/>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MARKET AND INDUSTRY DATA</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8"/>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GENERAL CORPORATION LAW</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4920" w:type="dxa"/>
            <w:vAlign w:val="bottom"/>
            <w:gridSpan w:val="9"/>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9"/>
          </w:tcPr>
          <w:p>
            <w:pPr>
              <w:spacing w:after="0" w:line="196" w:lineRule="exact"/>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USE OF PROCEEDS</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4860" w:type="dxa"/>
            <w:vAlign w:val="bottom"/>
            <w:gridSpan w:val="9"/>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MATERIAL U.S. FEDERAL INCOME TAX</w:t>
              </w:r>
            </w:hyperlink>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gridSpan w:val="9"/>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9"/>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DIVIDEND POLICY</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80" w:type="dxa"/>
            <w:vAlign w:val="bottom"/>
            <w:gridSpan w:val="8"/>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CONSIDERATIONS FOR U.S. HOLDERS</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90"/>
        </w:trPr>
        <w:tc>
          <w:tcPr>
            <w:tcW w:w="4920" w:type="dxa"/>
            <w:vAlign w:val="bottom"/>
            <w:gridSpan w:val="9"/>
          </w:tcPr>
          <w:p>
            <w:pPr>
              <w:spacing w:after="0" w:line="190" w:lineRule="exact"/>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CAPITALIZATION</w:t>
              </w:r>
            </w:hyperlink>
          </w:p>
        </w:tc>
        <w:tc>
          <w:tcPr>
            <w:tcW w:w="600" w:type="dxa"/>
            <w:vAlign w:val="bottom"/>
            <w:gridSpan w:val="2"/>
          </w:tcPr>
          <w:p>
            <w:pPr>
              <w:jc w:val="right"/>
              <w:ind w:right="200"/>
              <w:spacing w:after="0" w:line="190"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6"/>
                <w:szCs w:val="16"/>
                <w:color w:val="auto"/>
              </w:rPr>
            </w:pPr>
          </w:p>
        </w:tc>
        <w:tc>
          <w:tcPr>
            <w:tcW w:w="4860" w:type="dxa"/>
            <w:vAlign w:val="bottom"/>
            <w:gridSpan w:val="9"/>
          </w:tcPr>
          <w:p>
            <w:pPr>
              <w:spacing w:after="0" w:line="190" w:lineRule="exact"/>
              <w:rPr>
                <w:rFonts w:ascii="Arial" w:cs="Arial" w:eastAsia="Arial" w:hAnsi="Arial"/>
                <w:sz w:val="18"/>
                <w:szCs w:val="18"/>
                <w:color w:val="0000EE"/>
              </w:rPr>
            </w:pPr>
            <w:hyperlink w:anchor="page212">
              <w:r>
                <w:rPr>
                  <w:rFonts w:ascii="Arial" w:cs="Arial" w:eastAsia="Arial" w:hAnsi="Arial"/>
                  <w:sz w:val="18"/>
                  <w:szCs w:val="18"/>
                  <w:color w:val="0000EE"/>
                </w:rPr>
                <w:t>MATERIAL CANADIAN FEDERAL INCOME TAX</w:t>
              </w:r>
            </w:hyperlink>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gridSpan w:val="9"/>
          </w:tcPr>
          <w:p>
            <w:pPr>
              <w:spacing w:after="0" w:line="196" w:lineRule="exact"/>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DILUTION</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85</w:t>
            </w:r>
          </w:p>
        </w:tc>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12">
              <w:r>
                <w:rPr>
                  <w:rFonts w:ascii="Arial" w:cs="Arial" w:eastAsia="Arial" w:hAnsi="Arial"/>
                  <w:sz w:val="18"/>
                  <w:szCs w:val="18"/>
                  <w:color w:val="0000EE"/>
                  <w:w w:val="93"/>
                </w:rPr>
                <w:t>CONSIDERATIONS</w:t>
              </w:r>
            </w:hyperlink>
          </w:p>
        </w:tc>
        <w:tc>
          <w:tcPr>
            <w:tcW w:w="2200" w:type="dxa"/>
            <w:vAlign w:val="bottom"/>
            <w:tcBorders>
              <w:top w:val="single" w:sz="8" w:color="0000EE"/>
            </w:tcBorders>
            <w:gridSpan w:val="3"/>
          </w:tcPr>
          <w:p>
            <w:pPr>
              <w:spacing w:after="0"/>
              <w:rPr>
                <w:sz w:val="17"/>
                <w:szCs w:val="17"/>
                <w:color w:val="auto"/>
              </w:rPr>
            </w:pPr>
          </w:p>
        </w:tc>
        <w:tc>
          <w:tcPr>
            <w:tcW w:w="940" w:type="dxa"/>
            <w:vAlign w:val="bottom"/>
            <w:gridSpan w:val="3"/>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2"/>
        </w:trPr>
        <w:tc>
          <w:tcPr>
            <w:tcW w:w="4920" w:type="dxa"/>
            <w:vAlign w:val="bottom"/>
            <w:gridSpan w:val="9"/>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SELECTED CONSOLIDATED FINANCIAL DATA</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UNDERWRITING</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90"/>
        </w:trPr>
        <w:tc>
          <w:tcPr>
            <w:tcW w:w="4920" w:type="dxa"/>
            <w:vAlign w:val="bottom"/>
            <w:gridSpan w:val="9"/>
          </w:tcPr>
          <w:p>
            <w:pPr>
              <w:spacing w:after="0" w:line="190" w:lineRule="exact"/>
              <w:rPr>
                <w:rFonts w:ascii="Arial" w:cs="Arial" w:eastAsia="Arial" w:hAnsi="Arial"/>
                <w:sz w:val="18"/>
                <w:szCs w:val="18"/>
                <w:color w:val="0000EE"/>
              </w:rPr>
            </w:pPr>
            <w:hyperlink w:anchor="page92">
              <w:r>
                <w:rPr>
                  <w:rFonts w:ascii="Arial" w:cs="Arial" w:eastAsia="Arial" w:hAnsi="Arial"/>
                  <w:sz w:val="18"/>
                  <w:szCs w:val="18"/>
                  <w:color w:val="0000EE"/>
                </w:rPr>
                <w:t>MANAGEMENT’S DISCUSSION AND ANALYSIS OF</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gridSpan w:val="10"/>
          </w:tcPr>
          <w:p>
            <w:pPr>
              <w:ind w:left="200"/>
              <w:spacing w:after="0" w:line="190" w:lineRule="exact"/>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LEGAL MATTERS</w:t>
              </w:r>
            </w:hyperlink>
          </w:p>
        </w:tc>
        <w:tc>
          <w:tcPr>
            <w:tcW w:w="5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FINANCIAL CONDITION AND RESULTS OF</w:t>
              </w:r>
            </w:hyperlink>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gridSpan w:val="10"/>
          </w:tcPr>
          <w:p>
            <w:pPr>
              <w:ind w:left="200"/>
              <w:spacing w:after="0" w:line="196" w:lineRule="exact"/>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EXPERTS</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OPERATIONS</w:t>
              </w:r>
            </w:hyperlink>
          </w:p>
        </w:tc>
        <w:tc>
          <w:tcPr>
            <w:tcW w:w="1220" w:type="dxa"/>
            <w:vAlign w:val="bottom"/>
            <w:gridSpan w:val="4"/>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90</w:t>
            </w:r>
          </w:p>
        </w:tc>
        <w:tc>
          <w:tcPr>
            <w:tcW w:w="5060" w:type="dxa"/>
            <w:vAlign w:val="bottom"/>
            <w:gridSpan w:val="10"/>
          </w:tcPr>
          <w:p>
            <w:pPr>
              <w:ind w:left="200"/>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SERVICE OF PROCESS AND ENFORCEMENT OF</w:t>
              </w:r>
            </w:hyperlink>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9"/>
          </w:tcPr>
          <w:p>
            <w:pPr>
              <w:spacing w:after="0" w:line="196" w:lineRule="exact"/>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BUSINESS</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8"/>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LIABILITIES</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4920" w:type="dxa"/>
            <w:vAlign w:val="bottom"/>
            <w:gridSpan w:val="9"/>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9"/>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MANAGEMENT</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WHERE YOU CAN FIND ADDITIONAL INFORMATION</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920" w:type="dxa"/>
            <w:vAlign w:val="bottom"/>
            <w:gridSpan w:val="9"/>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EXECUTIVE COMPENSATION</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INDEX TO FINANCIAL STATEMENTS</w:t>
              </w:r>
            </w:hyperlink>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0"/>
        </w:trPr>
        <w:tc>
          <w:tcPr>
            <w:tcW w:w="4920" w:type="dxa"/>
            <w:vAlign w:val="bottom"/>
            <w:gridSpan w:val="9"/>
          </w:tcPr>
          <w:p>
            <w:pPr>
              <w:spacing w:after="0" w:line="190" w:lineRule="exact"/>
              <w:rPr>
                <w:rFonts w:ascii="Arial" w:cs="Arial" w:eastAsia="Arial" w:hAnsi="Arial"/>
                <w:sz w:val="18"/>
                <w:szCs w:val="18"/>
                <w:color w:val="0000EE"/>
              </w:rPr>
            </w:pPr>
            <w:hyperlink w:anchor="page178">
              <w:r>
                <w:rPr>
                  <w:rFonts w:ascii="Arial" w:cs="Arial" w:eastAsia="Arial" w:hAnsi="Arial"/>
                  <w:sz w:val="18"/>
                  <w:szCs w:val="18"/>
                  <w:color w:val="0000EE"/>
                </w:rPr>
                <w:t>CERTAIN RELATIONSHIPS AND RELATED PARTY</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178">
              <w:r>
                <w:rPr>
                  <w:rFonts w:ascii="Arial" w:cs="Arial" w:eastAsia="Arial" w:hAnsi="Arial"/>
                  <w:sz w:val="18"/>
                  <w:szCs w:val="18"/>
                  <w:color w:val="0000EE"/>
                  <w:w w:val="94"/>
                </w:rPr>
                <w:t>TRANSACTIONS</w:t>
              </w:r>
            </w:hyperlink>
          </w:p>
        </w:tc>
        <w:tc>
          <w:tcPr>
            <w:tcW w:w="2500" w:type="dxa"/>
            <w:vAlign w:val="bottom"/>
            <w:tcBorders>
              <w:top w:val="single" w:sz="8" w:color="0000EE"/>
            </w:tcBorders>
            <w:gridSpan w:val="2"/>
          </w:tcPr>
          <w:p>
            <w:pPr>
              <w:spacing w:after="0"/>
              <w:rPr>
                <w:sz w:val="17"/>
                <w:szCs w:val="17"/>
                <w:color w:val="auto"/>
              </w:rPr>
            </w:pPr>
          </w:p>
        </w:tc>
        <w:tc>
          <w:tcPr>
            <w:tcW w:w="880" w:type="dxa"/>
            <w:vAlign w:val="bottom"/>
            <w:gridSpan w:val="3"/>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176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20" w:type="dxa"/>
            <w:vAlign w:val="bottom"/>
            <w:gridSpan w:val="9"/>
          </w:tcPr>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PRINCIPAL SHAREHOLDERS</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317500</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 xml:space="preserve">“Repare Therapeutics” and the Repare logo appearing in this prospectus are unregistered trademarks and SNIPRx is a registered trademark of Repare Therapeutics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pacing w:after="0" w:line="18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common shares. Our business, financial condition, results of operations and prospects may have changed since that date.</w:t>
      </w:r>
    </w:p>
    <w:p>
      <w:pPr>
        <w:spacing w:after="0" w:line="178"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ectPr>
          <w:pgSz w:w="11900" w:h="16838" w:orient="portrait"/>
          <w:cols w:equalWidth="0" w:num="1">
            <w:col w:w="11220"/>
          </w:cols>
          <w:pgMar w:left="320" w:top="459"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96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3962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firstLine="434"/>
        <w:spacing w:after="0" w:line="273" w:lineRule="auto"/>
        <w:rPr>
          <w:sz w:val="20"/>
          <w:szCs w:val="20"/>
          <w:color w:val="auto"/>
        </w:rPr>
      </w:pPr>
      <w:r>
        <w:rPr>
          <w:rFonts w:ascii="Arial" w:cs="Arial" w:eastAsia="Arial" w:hAnsi="Arial"/>
          <w:sz w:val="17"/>
          <w:szCs w:val="17"/>
          <w:i w:val="1"/>
          <w:iCs w:val="1"/>
          <w:color w:val="auto"/>
        </w:rPr>
        <w:t>This summary highlights, and is qualified in its entirety by, the more detailed information contained elsewhere in this prospectus. This summary is not complete and does not contain all of the information you should consider in making your investment decision. Before investing in our common shares, you should carefully read this entire prospectus, especially the sections titled “Risk Factors” and “Management’s Discussion and Analysis of Financial Condition and Results of Operations” and our consolidated financial statements and the related notes included elsewhere in this prospectus. Unless the context otherwise requires, the terms “Repare,” “Repare Therapeutics,” “the company,” “we,” “us,” “our” and similar references in this prospectus refer to Repare Therapeutics Inc. and its consolidated subsidiary.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00" w:firstLine="434"/>
        <w:spacing w:after="0" w:line="290" w:lineRule="auto"/>
        <w:rPr>
          <w:sz w:val="20"/>
          <w:szCs w:val="20"/>
          <w:color w:val="auto"/>
        </w:rPr>
      </w:pPr>
      <w:r>
        <w:rPr>
          <w:rFonts w:ascii="Arial" w:cs="Arial" w:eastAsia="Arial" w:hAnsi="Arial"/>
          <w:sz w:val="16"/>
          <w:szCs w:val="16"/>
          <w:color w:val="auto"/>
        </w:rPr>
        <w:t>We are a leading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lead product candidate, RP-3500, an oral small molecule inhibitor for the treatment of solid tumors with specific DNA damage repair-related genomic alterations. We anticipate filing an investigational new drug, or IND, application in the second quarter of 2020 and initiating an open-label Phase 1/2 clinical trial of RP-3500 in the third quarter of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believe our powerful SL-based approach to the development of new precision oncology therapeutics has multiple potential benefits:</w:t>
      </w:r>
    </w:p>
    <w:p>
      <w:pPr>
        <w:spacing w:after="0" w:line="127" w:lineRule="exact"/>
        <w:rPr>
          <w:sz w:val="20"/>
          <w:szCs w:val="20"/>
          <w:color w:val="auto"/>
        </w:rPr>
      </w:pPr>
    </w:p>
    <w:p>
      <w:pPr>
        <w:ind w:left="1160" w:hanging="534"/>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Ability to address previously untargetable tumor biology</w:t>
      </w:r>
      <w:r>
        <w:rPr>
          <w:rFonts w:ascii="Arial" w:cs="Arial" w:eastAsia="Arial" w:hAnsi="Arial"/>
          <w:sz w:val="18"/>
          <w:szCs w:val="18"/>
          <w:color w:val="auto"/>
        </w:rPr>
        <w:t>, including, for example, loss-of-function mutations;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Enhanced benefit-risk profile</w:t>
      </w:r>
      <w:r>
        <w:rPr>
          <w:rFonts w:ascii="Arial" w:cs="Arial" w:eastAsia="Arial" w:hAnsi="Arial"/>
          <w:sz w:val="16"/>
          <w:szCs w:val="16"/>
          <w:color w:val="auto"/>
        </w:rPr>
        <w:t>, by precisely targeting tumor cells with the defined mutation while sparing normal, non-cancerous cells;</w:t>
      </w:r>
    </w:p>
    <w:p>
      <w:pPr>
        <w:spacing w:after="0" w:line="153" w:lineRule="exact"/>
        <w:rPr>
          <w:rFonts w:ascii="Arial" w:cs="Arial" w:eastAsia="Arial" w:hAnsi="Arial"/>
          <w:sz w:val="16"/>
          <w:szCs w:val="16"/>
          <w:color w:val="auto"/>
        </w:rPr>
      </w:pPr>
    </w:p>
    <w:p>
      <w:pPr>
        <w:ind w:left="1160" w:hanging="534"/>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Genetic stratification of patients</w:t>
      </w:r>
      <w:r>
        <w:rPr>
          <w:rFonts w:ascii="Arial" w:cs="Arial" w:eastAsia="Arial" w:hAnsi="Arial"/>
          <w:sz w:val="18"/>
          <w:szCs w:val="18"/>
          <w:color w:val="auto"/>
        </w:rPr>
        <w:t>, potentially enabling higher response rates;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Tumor-agnostic approach</w:t>
      </w:r>
      <w:r>
        <w:rPr>
          <w:rFonts w:ascii="Arial" w:cs="Arial" w:eastAsia="Arial" w:hAnsi="Arial"/>
          <w:sz w:val="18"/>
          <w:szCs w:val="18"/>
          <w:color w:val="auto"/>
        </w:rPr>
        <w:t>, focusing on specific genetics and enabling the application to multiple tumor types.</w:t>
      </w:r>
    </w:p>
    <w:p>
      <w:pPr>
        <w:spacing w:after="0" w:line="229" w:lineRule="exact"/>
        <w:rPr>
          <w:sz w:val="20"/>
          <w:szCs w:val="20"/>
          <w:color w:val="auto"/>
        </w:rPr>
      </w:pPr>
    </w:p>
    <w:p>
      <w:pPr>
        <w:ind w:left="200" w:firstLine="434"/>
        <w:spacing w:after="0" w:line="289" w:lineRule="auto"/>
        <w:rPr>
          <w:sz w:val="20"/>
          <w:szCs w:val="20"/>
          <w:color w:val="auto"/>
        </w:rPr>
      </w:pPr>
      <w:r>
        <w:rPr>
          <w:rFonts w:ascii="Arial" w:cs="Arial" w:eastAsia="Arial" w:hAnsi="Arial"/>
          <w:sz w:val="16"/>
          <w:szCs w:val="16"/>
          <w:color w:val="auto"/>
        </w:rPr>
        <w:t>A cornerstone of our company is our SNIPRx platform, which enables us to accurately identify SL gene pairs and the corresponding patients who are most likely to benefit from our therapies based on the genetic profile of their tumors. These differentiated patient selection insights have driven the development of our lead product candidate, RP-3500, which is designed as a selective inhibitor of the DNA repair protein ataxia telangiectasia and Rad3-related protein, or ATR, a kinase that is activated by DNA replication stress. Tumors containing alterations in genes encoding other DNA repair proteins, such as ataxia-telangiectasia mutated kinase, or ATM, are SL with ATR inhibition and were observed to be hypersensitive to RP-3500 in our preclinical models. We believe that the preclinical selectivity and pharmacokinetic properties of RP-3500 support the profile of a differentiated therapy with the potential to enhance anti-tumor activity as compared to third party ATR inhibitors currently in development. Based on our preclinical studies, we believe RP-3500 has the potential to provide therapeutic benefit to identified patient populations both as a monotherapy and in combination with other therapies such as poly (ADP-ribose) polymerase, or PARP, inhibitors.</w:t>
      </w: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810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810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60" w:firstLine="434"/>
        <w:spacing w:after="0" w:line="255" w:lineRule="auto"/>
        <w:rPr>
          <w:sz w:val="20"/>
          <w:szCs w:val="20"/>
          <w:color w:val="auto"/>
        </w:rPr>
      </w:pPr>
      <w:r>
        <w:rPr>
          <w:rFonts w:ascii="Arial" w:cs="Arial" w:eastAsia="Arial" w:hAnsi="Arial"/>
          <w:sz w:val="18"/>
          <w:szCs w:val="18"/>
          <w:color w:val="auto"/>
        </w:rPr>
        <w:t>In addition to RP-3500, we are developing a portfolio of product candidates based on targets identified using our SNIPRx platform to treat cancers with a high unmet medical need. We have a preclinical program that is focused on a novel target we discovered to be SL with amplification of cyclin E1, or CCNE1, in tumors such as gynecological and upper gastrointestinal malignancies. We anticipate advancing a clinical candidate for this potential first-in-class program into IND-enabling studies in the fourth quarter of 2020. We are also developing an inhibitor of polymerase theta, or Polq, which is SL with multiple gene deficiencies found in tumors, including BRCA1 or BRCA2. We anticipate advancing a clinical candidate and initiating IND-enabling studies for this program in the second half of 2021.</w:t>
      </w:r>
    </w:p>
    <w:p>
      <w:pPr>
        <w:spacing w:after="0" w:line="192" w:lineRule="exact"/>
        <w:rPr>
          <w:sz w:val="20"/>
          <w:szCs w:val="20"/>
          <w:color w:val="auto"/>
        </w:rPr>
      </w:pPr>
    </w:p>
    <w:p>
      <w:pPr>
        <w:ind w:left="200" w:right="100" w:firstLine="434"/>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We have built our SNIPRx platform based on three primary pillars:</w:t>
      </w:r>
    </w:p>
    <w:p>
      <w:pPr>
        <w:spacing w:after="0" w:line="76" w:lineRule="exact"/>
        <w:rPr>
          <w:sz w:val="20"/>
          <w:szCs w:val="20"/>
          <w:color w:val="auto"/>
        </w:rPr>
      </w:pPr>
    </w:p>
    <w:p>
      <w:pPr>
        <w:ind w:left="1160" w:right="680" w:hanging="345"/>
        <w:spacing w:after="0" w:line="277" w:lineRule="auto"/>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Identify </w:t>
      </w:r>
      <w:r>
        <w:rPr>
          <w:rFonts w:ascii="Arial" w:cs="Arial" w:eastAsia="Arial" w:hAnsi="Arial"/>
          <w:sz w:val="18"/>
          <w:szCs w:val="18"/>
          <w:color w:val="auto"/>
        </w:rPr>
        <w:t>novel SL targets using our proprietary, genome-wide, CRISPR-enabled screening technology against clinically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genomic alterations in tumors with high unmet medical need;</w:t>
      </w:r>
    </w:p>
    <w:p>
      <w:pPr>
        <w:spacing w:after="0" w:line="75" w:lineRule="exact"/>
        <w:rPr>
          <w:rFonts w:ascii="Arial" w:cs="Arial" w:eastAsia="Arial" w:hAnsi="Arial"/>
          <w:sz w:val="18"/>
          <w:szCs w:val="18"/>
          <w:b w:val="1"/>
          <w:bCs w:val="1"/>
          <w:color w:val="auto"/>
        </w:rPr>
      </w:pPr>
    </w:p>
    <w:p>
      <w:pPr>
        <w:ind w:left="1160" w:hanging="345"/>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 and synthesize </w:t>
      </w:r>
      <w:r>
        <w:rPr>
          <w:rFonts w:ascii="Arial" w:cs="Arial" w:eastAsia="Arial" w:hAnsi="Arial"/>
          <w:sz w:val="18"/>
          <w:szCs w:val="18"/>
          <w:color w:val="auto"/>
        </w:rPr>
        <w:t>potent and selective small molecule inhibitors of these targets; and</w:t>
      </w:r>
    </w:p>
    <w:p>
      <w:pPr>
        <w:spacing w:after="0" w:line="130" w:lineRule="exact"/>
        <w:rPr>
          <w:rFonts w:ascii="Arial" w:cs="Arial" w:eastAsia="Arial" w:hAnsi="Arial"/>
          <w:sz w:val="18"/>
          <w:szCs w:val="18"/>
          <w:b w:val="1"/>
          <w:bCs w:val="1"/>
          <w:color w:val="auto"/>
        </w:rPr>
      </w:pPr>
    </w:p>
    <w:p>
      <w:pPr>
        <w:ind w:left="1160" w:right="300" w:hanging="345"/>
        <w:spacing w:after="0" w:line="277" w:lineRule="auto"/>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Expand </w:t>
      </w:r>
      <w:r>
        <w:rPr>
          <w:rFonts w:ascii="Arial" w:cs="Arial" w:eastAsia="Arial" w:hAnsi="Arial"/>
          <w:sz w:val="18"/>
          <w:szCs w:val="18"/>
          <w:color w:val="auto"/>
        </w:rPr>
        <w:t>beyond the initial target patient population based on the additional genomic alterations identified by our proprietary SNIPRx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Expansion of Patient Populations, or STEP</w:t>
      </w:r>
      <w:r>
        <w:rPr>
          <w:rFonts w:ascii="Arial" w:cs="Arial" w:eastAsia="Arial" w:hAnsi="Arial"/>
          <w:sz w:val="15"/>
          <w:szCs w:val="15"/>
          <w:color w:val="auto"/>
        </w:rPr>
        <w:t>2</w:t>
      </w:r>
      <w:r>
        <w:rPr>
          <w:rFonts w:ascii="Arial" w:cs="Arial" w:eastAsia="Arial" w:hAnsi="Arial"/>
          <w:sz w:val="18"/>
          <w:szCs w:val="18"/>
          <w:color w:val="auto"/>
        </w:rPr>
        <w:t>, screens that are SL with our inhibitors.</w:t>
      </w:r>
    </w:p>
    <w:p>
      <w:pPr>
        <w:spacing w:after="0" w:line="170" w:lineRule="exact"/>
        <w:rPr>
          <w:sz w:val="20"/>
          <w:szCs w:val="20"/>
          <w:color w:val="auto"/>
        </w:rPr>
      </w:pPr>
    </w:p>
    <w:p>
      <w:pPr>
        <w:ind w:left="200" w:firstLine="434"/>
        <w:spacing w:after="0" w:line="270" w:lineRule="auto"/>
        <w:rPr>
          <w:sz w:val="20"/>
          <w:szCs w:val="20"/>
          <w:color w:val="auto"/>
        </w:rPr>
      </w:pPr>
      <w:r>
        <w:rPr>
          <w:rFonts w:ascii="Arial" w:cs="Arial" w:eastAsia="Arial" w:hAnsi="Arial"/>
          <w:sz w:val="17"/>
          <w:szCs w:val="17"/>
          <w:color w:val="auto"/>
        </w:rPr>
        <w:t>In May 2020, we entered into a collaboration and license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The collaboration consists of programs directed to both druggable targets and to targets commonly considered undruggable by traditional small molecule approaches. As part of the agreement, Bristol Myers Squibb paid us an initial upfront fee payment of $50.0 million and made an equity investment of $15.0 million into our company. We will also be eligible to receive up to to $3.0 billion in total milestones across all potential programs. Such milestones consist of $301 million in total milestones per program subject upon the achievement of certain specified research, development, regulatory and commercial milestones. See “Business—Collaborations and License Agreements—Collaboration and License Agreement with Bristol-Myers Squibb Company”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7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3734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200" w:right="440" w:firstLine="434"/>
        <w:spacing w:after="0" w:line="277" w:lineRule="auto"/>
        <w:rPr>
          <w:sz w:val="20"/>
          <w:szCs w:val="20"/>
          <w:color w:val="auto"/>
        </w:rPr>
      </w:pPr>
      <w:r>
        <w:rPr>
          <w:rFonts w:ascii="Arial" w:cs="Arial" w:eastAsia="Arial" w:hAnsi="Arial"/>
          <w:sz w:val="18"/>
          <w:szCs w:val="18"/>
          <w:color w:val="auto"/>
        </w:rPr>
        <w:t>We are leveraging our proprietary SNIPRx platform to discover, validate and build a robust pipeline of SL-based therapeutics. Our current pipeline is represented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20" w:hanging="426"/>
        <w:spacing w:after="0" w:line="263"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Ono Pharmaceutical has development and commercialization rights in Japan, South Korea, Taiwan, Hong Kong, Macau and certain other Southeast Asian countries. We retained all other rights outside of those countries. See “Business—Research Services, License and Collaboration Agreement with Ono Pharmaceutical Co.” for additional information.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on Targeted Oncology Therapeutics</w:t>
      </w:r>
    </w:p>
    <w:p>
      <w:pPr>
        <w:spacing w:after="0" w:line="121" w:lineRule="exact"/>
        <w:rPr>
          <w:sz w:val="20"/>
          <w:szCs w:val="20"/>
          <w:color w:val="auto"/>
        </w:rPr>
      </w:pPr>
    </w:p>
    <w:p>
      <w:pPr>
        <w:ind w:left="200" w:right="60" w:firstLine="434"/>
        <w:spacing w:after="0" w:line="255" w:lineRule="auto"/>
        <w:rPr>
          <w:sz w:val="20"/>
          <w:szCs w:val="20"/>
          <w:color w:val="auto"/>
        </w:rPr>
      </w:pPr>
      <w:r>
        <w:rPr>
          <w:rFonts w:ascii="Arial" w:cs="Arial" w:eastAsia="Arial" w:hAnsi="Arial"/>
          <w:sz w:val="18"/>
          <w:szCs w:val="18"/>
          <w:color w:val="auto"/>
        </w:rPr>
        <w:t>A new generation of targeted oncology therapeutics has recently emerged that transcends single tumor, organ or histology-targeted cancers. These new therapies are tumor agnostic and are instead targeted at specific genomic alterations that underlie more complex tumor cell vulnerabilities. This has led to the approval of therapies that address specific genomic features of tumors, such as nTRK kinase inhibitors, including larotrectinib, for the treatment of tumors with nTRK gene fusions, and PD1 inhibitors, including pembrolizumab, for the treatment of tumors with microsatellite instability. This emerging trend for tumor-agnostic indications represents a breakthrough in drug development, clinical trial designs, drug approval patterns and speed to market.</w:t>
      </w:r>
    </w:p>
    <w:p>
      <w:pPr>
        <w:spacing w:after="0" w:line="192" w:lineRule="exact"/>
        <w:rPr>
          <w:sz w:val="20"/>
          <w:szCs w:val="20"/>
          <w:color w:val="auto"/>
        </w:rPr>
      </w:pPr>
    </w:p>
    <w:p>
      <w:pPr>
        <w:ind w:left="200" w:right="200" w:firstLine="434"/>
        <w:spacing w:after="0" w:line="259" w:lineRule="auto"/>
        <w:rPr>
          <w:sz w:val="20"/>
          <w:szCs w:val="20"/>
          <w:color w:val="auto"/>
        </w:rPr>
      </w:pPr>
      <w:r>
        <w:rPr>
          <w:rFonts w:ascii="Arial" w:cs="Arial" w:eastAsia="Arial" w:hAnsi="Arial"/>
          <w:sz w:val="18"/>
          <w:szCs w:val="18"/>
          <w:color w:val="auto"/>
        </w:rPr>
        <w:t>Oncology drug development has been primarily focused on genes with 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67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580" w:firstLine="434"/>
        <w:spacing w:after="0" w:line="308" w:lineRule="auto"/>
        <w:rPr>
          <w:sz w:val="20"/>
          <w:szCs w:val="20"/>
          <w:color w:val="auto"/>
        </w:rPr>
      </w:pPr>
      <w:r>
        <w:rPr>
          <w:rFonts w:ascii="Arial" w:cs="Arial" w:eastAsia="Arial" w:hAnsi="Arial"/>
          <w:sz w:val="17"/>
          <w:szCs w:val="17"/>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48" w:lineRule="exact"/>
        <w:rPr>
          <w:sz w:val="20"/>
          <w:szCs w:val="20"/>
          <w:color w:val="auto"/>
        </w:rPr>
      </w:pPr>
    </w:p>
    <w:p>
      <w:pPr>
        <w:ind w:left="1160" w:right="180" w:hanging="534"/>
        <w:spacing w:after="0" w:line="282"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Clinically-relevant tumor genomic data: </w:t>
      </w:r>
      <w:r>
        <w:rPr>
          <w:rFonts w:ascii="Arial" w:cs="Arial" w:eastAsia="Arial" w:hAnsi="Arial"/>
          <w:sz w:val="18"/>
          <w:szCs w:val="18"/>
          <w:color w:val="auto"/>
        </w:rPr>
        <w:t>the increasing adoption and regulatory acceptance of molecular tumor testing,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profiling of patient tumors;</w:t>
      </w:r>
    </w:p>
    <w:p>
      <w:pPr>
        <w:spacing w:after="0" w:line="67" w:lineRule="exact"/>
        <w:rPr>
          <w:rFonts w:ascii="Arial" w:cs="Arial" w:eastAsia="Arial" w:hAnsi="Arial"/>
          <w:sz w:val="18"/>
          <w:szCs w:val="18"/>
          <w:color w:val="auto"/>
        </w:rPr>
      </w:pPr>
    </w:p>
    <w:p>
      <w:pPr>
        <w:ind w:left="1160" w:right="240" w:hanging="534"/>
        <w:spacing w:after="0" w:line="282"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and annotated databases: </w:t>
      </w:r>
      <w:r>
        <w:rPr>
          <w:rFonts w:ascii="Arial" w:cs="Arial" w:eastAsia="Arial" w:hAnsi="Arial"/>
          <w:sz w:val="18"/>
          <w:szCs w:val="18"/>
          <w:color w:val="auto"/>
        </w:rPr>
        <w:t>the availability of multiple new and publicly accessible databases that consolidate, analyze</w:t>
      </w:r>
      <w:r>
        <w:rPr>
          <w:rFonts w:ascii="Arial" w:cs="Arial" w:eastAsia="Arial" w:hAnsi="Arial"/>
          <w:sz w:val="18"/>
          <w:szCs w:val="18"/>
          <w:b w:val="1"/>
          <w:bCs w:val="1"/>
          <w:color w:val="auto"/>
        </w:rPr>
        <w:t xml:space="preserve"> </w:t>
      </w:r>
      <w:r>
        <w:rPr>
          <w:rFonts w:ascii="Arial" w:cs="Arial" w:eastAsia="Arial" w:hAnsi="Arial"/>
          <w:sz w:val="18"/>
          <w:szCs w:val="18"/>
          <w:color w:val="auto"/>
        </w:rPr>
        <w:t>and synthesize new genetic data on tens of thousands of tumors; and</w:t>
      </w:r>
    </w:p>
    <w:p>
      <w:pPr>
        <w:spacing w:after="0" w:line="67" w:lineRule="exact"/>
        <w:rPr>
          <w:rFonts w:ascii="Arial" w:cs="Arial" w:eastAsia="Arial" w:hAnsi="Arial"/>
          <w:sz w:val="18"/>
          <w:szCs w:val="18"/>
          <w:color w:val="auto"/>
        </w:rPr>
      </w:pPr>
    </w:p>
    <w:p>
      <w:pPr>
        <w:ind w:left="1160" w:right="40" w:hanging="534"/>
        <w:spacing w:after="0" w:line="282"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Tools to apply emerging genetic knowledge: </w:t>
      </w:r>
      <w:r>
        <w:rPr>
          <w:rFonts w:ascii="Arial" w:cs="Arial" w:eastAsia="Arial" w:hAnsi="Arial"/>
          <w:sz w:val="18"/>
          <w:szCs w:val="18"/>
          <w:color w:val="auto"/>
        </w:rPr>
        <w:t>the emergence of new tools and methodologies, including CRISPR/Cas9, enabling large-scale studies of genetic networks underlying cancer biology.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Synthetic Lethality Opportunity and Challenge</w:t>
      </w:r>
    </w:p>
    <w:p>
      <w:pPr>
        <w:spacing w:after="0" w:line="121" w:lineRule="exact"/>
        <w:rPr>
          <w:sz w:val="20"/>
          <w:szCs w:val="20"/>
          <w:color w:val="auto"/>
        </w:rPr>
      </w:pPr>
    </w:p>
    <w:p>
      <w:pPr>
        <w:ind w:left="200" w:right="120" w:firstLine="434"/>
        <w:spacing w:after="0" w:line="311" w:lineRule="auto"/>
        <w:rPr>
          <w:sz w:val="20"/>
          <w:szCs w:val="20"/>
          <w:color w:val="auto"/>
        </w:rPr>
      </w:pPr>
      <w:r>
        <w:rPr>
          <w:rFonts w:ascii="Arial" w:cs="Arial" w:eastAsia="Arial" w:hAnsi="Arial"/>
          <w:sz w:val="16"/>
          <w:szCs w:val="16"/>
          <w:color w:val="auto"/>
        </w:rPr>
        <w:t>Synthetic lethality is a powerful approach and opportunity in oncology drug development that combines two key principles in treating patients with cancer through precision oncology: (1) identifying and selecting patient subgroups with specific genomic alterations in tumors that are most likely to benefit from these therapies and (2) improving tolerability and reducing toxicity by not affecting normal, non-cancerous cells.</w:t>
      </w:r>
    </w:p>
    <w:p>
      <w:pPr>
        <w:spacing w:after="0" w:line="149" w:lineRule="exact"/>
        <w:rPr>
          <w:sz w:val="20"/>
          <w:szCs w:val="20"/>
          <w:color w:val="auto"/>
        </w:rPr>
      </w:pPr>
    </w:p>
    <w:p>
      <w:pPr>
        <w:jc w:val="both"/>
        <w:ind w:left="200" w:firstLine="434"/>
        <w:spacing w:after="0" w:line="311" w:lineRule="auto"/>
        <w:rPr>
          <w:sz w:val="20"/>
          <w:szCs w:val="20"/>
          <w:color w:val="auto"/>
        </w:rPr>
      </w:pPr>
      <w:r>
        <w:rPr>
          <w:rFonts w:ascii="Arial" w:cs="Arial" w:eastAsia="Arial" w:hAnsi="Arial"/>
          <w:sz w:val="16"/>
          <w:szCs w:val="16"/>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right="200" w:firstLine="434"/>
        <w:spacing w:after="0" w:line="257" w:lineRule="auto"/>
        <w:rPr>
          <w:sz w:val="20"/>
          <w:szCs w:val="20"/>
          <w:color w:val="auto"/>
        </w:rPr>
      </w:pPr>
      <w:r>
        <w:rPr>
          <w:rFonts w:ascii="Arial" w:cs="Arial" w:eastAsia="Arial" w:hAnsi="Arial"/>
          <w:sz w:val="18"/>
          <w:szCs w:val="18"/>
          <w:color w:val="auto"/>
        </w:rPr>
        <w:t>The first clinically-validated SL gene pair was PARP-BRCA1/2, and based on the efficacy of PARP inhibitors, the SL approach to treating cancer has achieved substantial commercial validation. Multiple PARP inhibitors, including olaparib (AstraZeneca), niraparib (GlaxoSmithKline), talazoparib (Pfizer) and rucaparib (Clovis), have been approved for the treatment of tumors with BRCA and other DNA damage repair alterations, including ovarian, breast and pancreatic cancers. These four drugs generated over $1.6 billion in worldwide sales in 2019 and are expected to reach over $6.1 billion in worldwide sales by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320" w:top="459" w:right="5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562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562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Approach: An Overview of Our Drug Discovery and Development Platform</w:t>
      </w:r>
    </w:p>
    <w:p>
      <w:pPr>
        <w:spacing w:after="0" w:line="121" w:lineRule="exact"/>
        <w:rPr>
          <w:sz w:val="20"/>
          <w:szCs w:val="20"/>
          <w:color w:val="auto"/>
        </w:rPr>
      </w:pPr>
    </w:p>
    <w:p>
      <w:pPr>
        <w:ind w:left="200" w:right="80" w:firstLine="434"/>
        <w:spacing w:after="0" w:line="279" w:lineRule="auto"/>
        <w:rPr>
          <w:sz w:val="20"/>
          <w:szCs w:val="20"/>
          <w:color w:val="auto"/>
        </w:rPr>
      </w:pPr>
      <w:r>
        <w:rPr>
          <w:rFonts w:ascii="Arial" w:cs="Arial" w:eastAsia="Arial" w:hAnsi="Arial"/>
          <w:sz w:val="17"/>
          <w:szCs w:val="17"/>
          <w:color w:val="auto"/>
        </w:rPr>
        <w:t>Our SNIPRx platform begins with a genome-wide CRISPR-based screening approach that utilizes our proprietary isogenic cell lines, which are cell lines that are identical with the exception of a single genomic alteration, to identify SL gene 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71"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We have systematically analyzed genomic data from approximately 60,000 tumor samples and identified an initial set of 16 clinically relevant tumor genomic alterations, which we refer to as tumor lesions, that are linked to genomic instability. These 16 tumor lesions are present in approximately 30% of tumors, and are largely mutually exclusive. For each of these 16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to advance into drug discovery based on a systematic and proprietary set of criteria, which include thresholds for biological validation, cellular function, known and likely toxicity, druggability with small molecules, patentability and the potential for clinical impact versus alternative therapies. Once a SL product candidate is identified, we perform our STEP</w:t>
      </w:r>
      <w:r>
        <w:rPr>
          <w:rFonts w:ascii="Arial" w:cs="Arial" w:eastAsia="Arial" w:hAnsi="Arial"/>
          <w:sz w:val="14"/>
          <w:szCs w:val="14"/>
          <w:color w:val="auto"/>
        </w:rPr>
        <w:t>2</w:t>
      </w:r>
      <w:r>
        <w:rPr>
          <w:rFonts w:ascii="Arial" w:cs="Arial" w:eastAsia="Arial" w:hAnsi="Arial"/>
          <w:sz w:val="17"/>
          <w:szCs w:val="17"/>
          <w:color w:val="auto"/>
        </w:rPr>
        <w:t xml:space="preserve"> screen to identify additional genomic alterations that are SL with our product candidate. We believe the identification of these new SL pairs will allow us to rationally expand our targeted patient populations by enabling us to potentially treat patients with tumors across multiple genomic alterations with the same product candidate. For our clinical trials, we plan to enroll patients with tumors that contain either the original tumor lesion or any one of the genomic alterations identified by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this strategy will allow us to enroll only those patients who are most likely to achieve clinical benefit from our product candidates. This approach can be divided into six steps, as depicted in the graphic below.</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Integrated Approach to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Clinical Program, RP-3500</w:t>
      </w:r>
    </w:p>
    <w:p>
      <w:pPr>
        <w:spacing w:after="0" w:line="121" w:lineRule="exact"/>
        <w:rPr>
          <w:sz w:val="20"/>
          <w:szCs w:val="20"/>
          <w:color w:val="auto"/>
        </w:rPr>
      </w:pPr>
    </w:p>
    <w:p>
      <w:pPr>
        <w:ind w:left="200" w:right="100" w:firstLine="434"/>
        <w:spacing w:after="0" w:line="263" w:lineRule="auto"/>
        <w:rPr>
          <w:sz w:val="20"/>
          <w:szCs w:val="20"/>
          <w:color w:val="auto"/>
        </w:rPr>
      </w:pPr>
      <w:r>
        <w:rPr>
          <w:rFonts w:ascii="Arial" w:cs="Arial" w:eastAsia="Arial" w:hAnsi="Arial"/>
          <w:sz w:val="18"/>
          <w:szCs w:val="18"/>
          <w:color w:val="auto"/>
        </w:rPr>
        <w:t>Our lead product candidate, RP-3500, is a potent and selective oral small molecule inhibitor of ATR that we are developing for the treatment of tumors with mutations in ATM, which is a SL pair with ATR. ATR is a critical DNA damage response, or DDR, protein that acts as both the master regulator of the response to DNA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30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3303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20"/>
        <w:spacing w:after="0" w:line="257" w:lineRule="auto"/>
        <w:rPr>
          <w:sz w:val="20"/>
          <w:szCs w:val="20"/>
          <w:color w:val="auto"/>
        </w:rPr>
      </w:pPr>
      <w:r>
        <w:rPr>
          <w:rFonts w:ascii="Arial" w:cs="Arial" w:eastAsia="Arial" w:hAnsi="Arial"/>
          <w:sz w:val="18"/>
          <w:szCs w:val="18"/>
          <w:color w:val="auto"/>
        </w:rPr>
        <w:t>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that we have more precisely identified and expanded the patient populations that would benefit from RP-3500, which allows us to differentiate and enrich our clinical development strategy, as well as address multiple types of solid tumors.</w:t>
      </w:r>
    </w:p>
    <w:p>
      <w:pPr>
        <w:spacing w:after="0" w:line="188" w:lineRule="exact"/>
        <w:rPr>
          <w:sz w:val="20"/>
          <w:szCs w:val="20"/>
          <w:color w:val="auto"/>
        </w:rPr>
      </w:pPr>
    </w:p>
    <w:p>
      <w:pPr>
        <w:ind w:left="200" w:right="40" w:firstLine="434"/>
        <w:spacing w:after="0" w:line="270" w:lineRule="auto"/>
        <w:rPr>
          <w:sz w:val="20"/>
          <w:szCs w:val="20"/>
          <w:color w:val="auto"/>
        </w:rPr>
      </w:pPr>
      <w:r>
        <w:rPr>
          <w:rFonts w:ascii="Arial" w:cs="Arial" w:eastAsia="Arial" w:hAnsi="Arial"/>
          <w:sz w:val="17"/>
          <w:szCs w:val="17"/>
          <w:color w:val="auto"/>
        </w:rPr>
        <w:t>RP-3500 has demonstrated an optimized anti-tumor effect, selectivity and pharmacokinetics profile in preclinical studies that we believe supports the potential for it to be a leading ATR inhibitor, if approved. These data led to our decision to advance RP-3500 into IND-enabling studies. We also conducted multiple STEP</w:t>
      </w:r>
      <w:r>
        <w:rPr>
          <w:rFonts w:ascii="Arial" w:cs="Arial" w:eastAsia="Arial" w:hAnsi="Arial"/>
          <w:sz w:val="14"/>
          <w:szCs w:val="14"/>
          <w:color w:val="auto"/>
        </w:rPr>
        <w:t>2</w:t>
      </w:r>
      <w:r>
        <w:rPr>
          <w:rFonts w:ascii="Arial" w:cs="Arial" w:eastAsia="Arial" w:hAnsi="Arial"/>
          <w:sz w:val="17"/>
          <w:szCs w:val="17"/>
          <w:color w:val="auto"/>
        </w:rPr>
        <w:t xml:space="preserve"> screens in which we confirmed the SL relationship between ATR and ATM and identified an additional 19 genes that are also SL with ATR, potentially expanding the patient populations that may benefit from our product candidate. We anticipate filing an IND application in the second quarter of 2020 and initiating an open-label Phase 1/2 clinical trial of RP-3500 in the third quarter of 2020. We have designed our Phase 1/2 clinical trial to enroll patients based on the presence of alterations in ATM or any of the 19 STEP</w:t>
      </w:r>
      <w:r>
        <w:rPr>
          <w:rFonts w:ascii="Arial" w:cs="Arial" w:eastAsia="Arial" w:hAnsi="Arial"/>
          <w:sz w:val="14"/>
          <w:szCs w:val="14"/>
          <w:color w:val="auto"/>
        </w:rPr>
        <w:t>2</w:t>
      </w:r>
      <w:r>
        <w:rPr>
          <w:rFonts w:ascii="Arial" w:cs="Arial" w:eastAsia="Arial" w:hAnsi="Arial"/>
          <w:sz w:val="17"/>
          <w:szCs w:val="17"/>
          <w:color w:val="auto"/>
        </w:rPr>
        <w:t>-identified genes. Based on the observed synergistic activity in preclinical models with ATM and STEP</w:t>
      </w:r>
      <w:r>
        <w:rPr>
          <w:rFonts w:ascii="Arial" w:cs="Arial" w:eastAsia="Arial" w:hAnsi="Arial"/>
          <w:sz w:val="14"/>
          <w:szCs w:val="14"/>
          <w:color w:val="auto"/>
        </w:rPr>
        <w:t>2</w:t>
      </w:r>
      <w:r>
        <w:rPr>
          <w:rFonts w:ascii="Arial" w:cs="Arial" w:eastAsia="Arial" w:hAnsi="Arial"/>
          <w:sz w:val="17"/>
          <w:szCs w:val="17"/>
          <w:color w:val="auto"/>
        </w:rPr>
        <w:t>-identified genes, we also intend to include a combination arm in this trial to evaluate the anti-tumor activity of RP-3500 with an approved PARP inhibitor. We expect to report preliminary safety and efficacy data for the monotherapy and combination therapy dose escalation phase of the trial in the second half of 2021.</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Preclinical Programs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CCNE1-SL Inhibitor Program</w:t>
      </w:r>
    </w:p>
    <w:p>
      <w:pPr>
        <w:spacing w:after="0" w:line="117" w:lineRule="exact"/>
        <w:rPr>
          <w:sz w:val="20"/>
          <w:szCs w:val="20"/>
          <w:color w:val="auto"/>
        </w:rPr>
      </w:pPr>
    </w:p>
    <w:p>
      <w:pPr>
        <w:ind w:left="200" w:right="200" w:firstLine="434"/>
        <w:spacing w:after="0" w:line="272" w:lineRule="auto"/>
        <w:rPr>
          <w:sz w:val="20"/>
          <w:szCs w:val="20"/>
          <w:color w:val="auto"/>
        </w:rPr>
      </w:pPr>
      <w:r>
        <w:rPr>
          <w:rFonts w:ascii="Arial" w:cs="Arial" w:eastAsia="Arial" w:hAnsi="Arial"/>
          <w:sz w:val="17"/>
          <w:szCs w:val="17"/>
          <w:color w:val="auto"/>
        </w:rPr>
        <w:t>Our CCNE1-SL inhibitor program is a proprietary drug discovery program for tumors with amplification of CCNE1. We have identified an undisclosed gene and corresponding protein, which we have found to be SL with amplifications in the gene for CCNE1. Amplification of CCNE1 is found in many tumor types, including gynecological and upper gastrointestinal malignancies, and these CCNE1-amplified tumors typically do not respond well to platinum or PARP inhibitor treatment. Through our SNIPRx screen campaign for targets that are SL with CCNE1 amplification, we have identified and validated a SL target that we believe has the characteristics of a therapeutic target. We have developed novel and selective inhibitors against the target that have repeatedly demonstrated compelling anti-tumor activity. We anticipate advancing a clinical candidate for this potential first-in-class program into IND-enabling studies in the fourth quarter of 2020.</w:t>
      </w:r>
    </w:p>
    <w:p>
      <w:pPr>
        <w:spacing w:after="0" w:line="28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Polymerase Theta (Pol</w:t>
      </w:r>
      <w:r>
        <w:rPr>
          <w:rFonts w:ascii="Arial" w:cs="Arial" w:eastAsia="Arial" w:hAnsi="Arial"/>
          <w:sz w:val="18"/>
          <w:szCs w:val="18"/>
          <w:i w:val="1"/>
          <w:iCs w:val="1"/>
          <w:color w:val="auto"/>
        </w:rPr>
        <w:t>q</w:t>
      </w:r>
      <w:r>
        <w:rPr>
          <w:rFonts w:ascii="Arial" w:cs="Arial" w:eastAsia="Arial" w:hAnsi="Arial"/>
          <w:sz w:val="18"/>
          <w:szCs w:val="18"/>
          <w:b w:val="1"/>
          <w:bCs w:val="1"/>
          <w:i w:val="1"/>
          <w:iCs w:val="1"/>
          <w:color w:val="auto"/>
        </w:rPr>
        <w:t>) Program</w:t>
      </w:r>
    </w:p>
    <w:p>
      <w:pPr>
        <w:spacing w:after="0" w:line="117" w:lineRule="exact"/>
        <w:rPr>
          <w:sz w:val="20"/>
          <w:szCs w:val="20"/>
          <w:color w:val="auto"/>
        </w:rPr>
      </w:pPr>
    </w:p>
    <w:p>
      <w:pPr>
        <w:ind w:left="200" w:firstLine="434"/>
        <w:spacing w:after="0" w:line="254" w:lineRule="auto"/>
        <w:rPr>
          <w:sz w:val="20"/>
          <w:szCs w:val="20"/>
          <w:color w:val="auto"/>
        </w:rPr>
      </w:pPr>
      <w:r>
        <w:rPr>
          <w:rFonts w:ascii="Arial" w:cs="Arial" w:eastAsia="Arial" w:hAnsi="Arial"/>
          <w:sz w:val="18"/>
          <w:szCs w:val="18"/>
          <w:color w:val="auto"/>
        </w:rPr>
        <w:t>We are developing a small molecule inhibitor of polymerase theta, or Polq, a SL target associated with BRCA mutations as well as other genomic alterations. Polymerase theta enzyme, or POLQ, is a DNA polymerase enzyme that participates in the repair of double-strand breaks in DNA. Mutations in genes such as BRCA1 and BRCA2 increase the frequency of these breaks, resulting in SL with Polq. Preclinical studies have shown that inactivation of Polq both on its own and in combination with PARP inhibitors reduces survival in BRCA-mutated cells, but not in BRCA wild-type cells. BRCA1 and BRCA2 mutations are routinely identified in multiple genetic profiling tests and observed in approximately 1% to 7% of patients with breast and ovarian cancer. We anticipate advancing a clinical candidate and initiating IND-enabling studies for this program in the second half of 2021.</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580" w:firstLine="434"/>
        <w:spacing w:after="0" w:line="277" w:lineRule="auto"/>
        <w:rPr>
          <w:sz w:val="20"/>
          <w:szCs w:val="20"/>
          <w:color w:val="auto"/>
        </w:rPr>
      </w:pPr>
      <w:r>
        <w:rPr>
          <w:rFonts w:ascii="Arial" w:cs="Arial" w:eastAsia="Arial" w:hAnsi="Arial"/>
          <w:sz w:val="18"/>
          <w:szCs w:val="18"/>
          <w:color w:val="auto"/>
        </w:rPr>
        <w:t>Our goal is to be the leading biopharmaceutical company developing precision oncology, small molecule therapies based on SL. The key elements of our strategy are to:</w:t>
      </w:r>
    </w:p>
    <w:p>
      <w:pPr>
        <w:spacing w:after="0" w:line="72" w:lineRule="exact"/>
        <w:rPr>
          <w:sz w:val="20"/>
          <w:szCs w:val="20"/>
          <w:color w:val="auto"/>
        </w:rPr>
      </w:pPr>
    </w:p>
    <w:p>
      <w:pPr>
        <w:ind w:left="1160" w:right="38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Advance our lead product candidate, RP-3500, through clinical development by leveraging our differentiated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patient selection approach</w:t>
      </w:r>
      <w:r>
        <w:rPr>
          <w:rFonts w:ascii="Arial" w:cs="Arial" w:eastAsia="Arial" w:hAnsi="Arial"/>
          <w:sz w:val="18"/>
          <w:szCs w:val="18"/>
          <w:color w:val="auto"/>
        </w:rPr>
        <w:t>. We designed RP-3500 to have a highly selective</w:t>
      </w: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67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line="254" w:lineRule="auto"/>
        <w:rPr>
          <w:sz w:val="20"/>
          <w:szCs w:val="20"/>
          <w:color w:val="auto"/>
        </w:rPr>
      </w:pPr>
      <w:r>
        <w:rPr>
          <w:rFonts w:ascii="Arial" w:cs="Arial" w:eastAsia="Arial" w:hAnsi="Arial"/>
          <w:sz w:val="18"/>
          <w:szCs w:val="18"/>
          <w:color w:val="auto"/>
        </w:rPr>
        <w:t>and potent profile that may enable it to be a leading inhibitor of ATR, if approved. We intend to initiate an open-label Phase 1/2 clinical trial of RP-3500 in the third quarter of 2020 in patients with advanced tumors that have alterations in the ATM gene or any of the 19 genes identified through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this clinical trial design element will enrich the patient population in our trials with those who are most likely to respond to RP-3500. In parallel with the monotherapy dose-escalation portion of the trial, we intend to initiate a combination therapy arm to evaluate the safety and efficacy of RP-3500 in combination with an approved PARP inhibitor in the same patient subgroups. We expect preliminary safety and efficacy data for the monotherapy and combination therapy dose escalation phase of the trial in the second half of 2021, which may inform the design, including the targeted patient population, of a future pivotal trial.</w:t>
      </w:r>
    </w:p>
    <w:p>
      <w:pPr>
        <w:spacing w:after="0" w:line="93" w:lineRule="exact"/>
        <w:rPr>
          <w:sz w:val="20"/>
          <w:szCs w:val="20"/>
          <w:color w:val="auto"/>
        </w:rPr>
      </w:pPr>
    </w:p>
    <w:p>
      <w:pPr>
        <w:ind w:left="1160" w:hanging="534"/>
        <w:spacing w:after="0" w:line="274" w:lineRule="auto"/>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Continue to advance our preclinical programs into clinical development</w:t>
      </w:r>
      <w:r>
        <w:rPr>
          <w:rFonts w:ascii="Arial" w:cs="Arial" w:eastAsia="Arial" w:hAnsi="Arial"/>
          <w:sz w:val="17"/>
          <w:szCs w:val="17"/>
          <w:color w:val="auto"/>
        </w:rPr>
        <w:t>. In addition to RP-3500, we have two programs in advanced</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development. One of these programs is focused on a novel target we discovered using our SNIPRx platform to be SL with CCNE1 amplification in tumors such as gynecological and upper gastrointestinal malignancies. We anticipate advancing a clinical candidate for this potential first-in-class program into IND-enabling studies in the fourth quarter of 2020. We are also developing an inhibitor of Polq, which is SL with multiple gene deficiencies found in tumors, including BRCA1 or BRCA2. We anticipate advancing a clinical candidate and initiating IND-enabling studies for this program in the second half of 2021.</w:t>
      </w:r>
    </w:p>
    <w:p>
      <w:pPr>
        <w:spacing w:after="0" w:line="78" w:lineRule="exact"/>
        <w:rPr>
          <w:rFonts w:ascii="Arial" w:cs="Arial" w:eastAsia="Arial" w:hAnsi="Arial"/>
          <w:sz w:val="17"/>
          <w:szCs w:val="17"/>
          <w:color w:val="auto"/>
        </w:rPr>
      </w:pPr>
    </w:p>
    <w:p>
      <w:pPr>
        <w:ind w:left="1160" w:right="120" w:hanging="534"/>
        <w:spacing w:after="0" w:line="292"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Extend our leading position in SL drug discovery</w:t>
      </w:r>
      <w:r>
        <w:rPr>
          <w:rFonts w:ascii="Arial" w:cs="Arial" w:eastAsia="Arial" w:hAnsi="Arial"/>
          <w:sz w:val="16"/>
          <w:szCs w:val="16"/>
          <w:color w:val="auto"/>
        </w:rPr>
        <w:t>. We have systematically analyzed genomic data from approximately 60,000 tumor</w:t>
      </w:r>
      <w:r>
        <w:rPr>
          <w:rFonts w:ascii="Arial" w:cs="Arial" w:eastAsia="Arial" w:hAnsi="Arial"/>
          <w:sz w:val="16"/>
          <w:szCs w:val="16"/>
          <w:b w:val="1"/>
          <w:bCs w:val="1"/>
          <w:color w:val="auto"/>
        </w:rPr>
        <w:t xml:space="preserve"> </w:t>
      </w:r>
      <w:r>
        <w:rPr>
          <w:rFonts w:ascii="Arial" w:cs="Arial" w:eastAsia="Arial" w:hAnsi="Arial"/>
          <w:sz w:val="16"/>
          <w:szCs w:val="16"/>
          <w:color w:val="auto"/>
        </w:rPr>
        <w:t>samples and have identified an initial set of 16 tumor lesions that are linked to genomic instability. This initial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w:t>
      </w:r>
      <w:r>
        <w:rPr>
          <w:rFonts w:ascii="Arial" w:cs="Arial" w:eastAsia="Arial" w:hAnsi="Arial"/>
          <w:sz w:val="13"/>
          <w:szCs w:val="13"/>
          <w:color w:val="auto"/>
        </w:rPr>
        <w:t>2</w:t>
      </w:r>
      <w:r>
        <w:rPr>
          <w:rFonts w:ascii="Arial" w:cs="Arial" w:eastAsia="Arial" w:hAnsi="Arial"/>
          <w:sz w:val="16"/>
          <w:szCs w:val="16"/>
          <w:color w:val="auto"/>
        </w:rPr>
        <w:t xml:space="preserve"> screens to expand 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66" w:lineRule="exact"/>
        <w:rPr>
          <w:rFonts w:ascii="Arial" w:cs="Arial" w:eastAsia="Arial" w:hAnsi="Arial"/>
          <w:sz w:val="16"/>
          <w:szCs w:val="16"/>
          <w:color w:val="auto"/>
        </w:rPr>
      </w:pPr>
    </w:p>
    <w:p>
      <w:pPr>
        <w:ind w:left="1160" w:right="20" w:hanging="534"/>
        <w:spacing w:after="0" w:line="294"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Opportunistically pursue strategic partnerships to maximize the full potential of our pipeline and SNIPRx platform</w:t>
      </w:r>
      <w:r>
        <w:rPr>
          <w:rFonts w:ascii="Arial" w:cs="Arial" w:eastAsia="Arial" w:hAnsi="Arial"/>
          <w:sz w:val="16"/>
          <w:szCs w:val="16"/>
          <w:color w:val="auto"/>
        </w:rPr>
        <w:t>. The large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intend to selectively evaluate partnerships to maximize the long-term value of our research and development portfolio. We believe our recent collaboration and license agreement with Bristol Myers Squibb highlights the potential broad application of our platform in the search for the next generation of precision oncology medicines.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As of May 29, 2020, our patent portfolio included four pending U.S. provisional patent applications, consisting of one application covering RP-3500 and its use, one application covering uses of RP-3500, one application covering CCNE1-SL inhibitors and their use and one application covering uses of CCNE1-SL inhibitors. In addition, our patent portfolio included one pending international application under the Patent Cooperation Treaty of 1970 covering RP-3500 and its uses. See “Business—Intellectual Property” for additional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left="200" w:right="280" w:firstLine="434"/>
        <w:spacing w:after="0" w:line="277" w:lineRule="auto"/>
        <w:rPr>
          <w:sz w:val="20"/>
          <w:szCs w:val="20"/>
          <w:color w:val="auto"/>
        </w:rPr>
      </w:pPr>
      <w:r>
        <w:rPr>
          <w:rFonts w:ascii="Arial" w:cs="Arial" w:eastAsia="Arial" w:hAnsi="Arial"/>
          <w:sz w:val="18"/>
          <w:szCs w:val="18"/>
          <w:color w:val="auto"/>
        </w:rPr>
        <w:t>Our company was founded in 2016 by field-leading academics and Versant Ventures to systematically employ SL insights and platforms and develop new precision oncology medicines. Our co-founder, Daniel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55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00"/>
        <w:spacing w:after="0" w:line="311" w:lineRule="auto"/>
        <w:rPr>
          <w:sz w:val="20"/>
          <w:szCs w:val="20"/>
          <w:color w:val="auto"/>
        </w:rPr>
      </w:pPr>
      <w:r>
        <w:rPr>
          <w:rFonts w:ascii="Arial" w:cs="Arial" w:eastAsia="Arial" w:hAnsi="Arial"/>
          <w:sz w:val="16"/>
          <w:szCs w:val="16"/>
          <w:color w:val="auto"/>
        </w:rPr>
        <w:t>Durocher, Ph.D., a principal investigator at the Lunenfeld-Tanenbaum Research Institute, was an early pioneer of genome-wide, SL screening using CRISPR, which formed the framework for our SNIPRx platform. Our other co-founders, Agnel Sfeir, Ph.D. at NYU-Langone Medical Center and Frank Sicheri, Ph.D. at the Lunenfeld-Tanenbaum Research Institute, also played a key role in the development of our company.</w:t>
      </w:r>
    </w:p>
    <w:p>
      <w:pPr>
        <w:spacing w:after="0" w:line="149"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We have assembled a highly qualified management team with broad experience in drug discovery and development to execute on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Merck, Bicycle Therapeutics and Clementia Pharmaceuticals. Since our inception, we have raised an aggregate of approximately $135.2 million of gross proceeds from the sale of our preferred shares. Our investors include Versant Ventures, MPM Capital, Cowen Healthcare Investments, OrbiMed, BVF Partners, Redmile Group, Logos Capital, Celgene/Bristol Myers Squibb, Fonds de Solidarité FTQ, and Amplitude Ventures.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firstLine="434"/>
        <w:spacing w:after="0" w:line="277"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shares. These risks are more fully described in the section titled “Risk Factors,” including the following:</w:t>
      </w:r>
    </w:p>
    <w:p>
      <w:pPr>
        <w:spacing w:after="0" w:line="76" w:lineRule="exact"/>
        <w:rPr>
          <w:sz w:val="20"/>
          <w:szCs w:val="20"/>
          <w:color w:val="auto"/>
        </w:rPr>
      </w:pPr>
    </w:p>
    <w:p>
      <w:pPr>
        <w:ind w:left="1160" w:right="56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75" w:lineRule="exact"/>
        <w:rPr>
          <w:rFonts w:ascii="Arial" w:cs="Arial" w:eastAsia="Arial" w:hAnsi="Arial"/>
          <w:sz w:val="18"/>
          <w:szCs w:val="18"/>
          <w:color w:val="auto"/>
        </w:rPr>
      </w:pPr>
    </w:p>
    <w:p>
      <w:pPr>
        <w:ind w:left="1160" w:right="44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very early in our development efforts. All of our product candidates are in preclinical development.</w:t>
      </w:r>
    </w:p>
    <w:p>
      <w:pPr>
        <w:spacing w:after="0" w:line="130" w:lineRule="exact"/>
        <w:rPr>
          <w:rFonts w:ascii="Arial" w:cs="Arial" w:eastAsia="Arial" w:hAnsi="Arial"/>
          <w:sz w:val="18"/>
          <w:szCs w:val="18"/>
          <w:color w:val="auto"/>
        </w:rPr>
      </w:pPr>
    </w:p>
    <w:p>
      <w:pPr>
        <w:ind w:left="1160" w:right="400" w:hanging="534"/>
        <w:spacing w:after="0" w:line="259"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substantially depends upon the successful development of product candidates generated through the application of our SNIPRx platform, and in particular, our lead product candidate, RP-3500. If we are unable to obtain regulatory approval for, and successfully commercialize, products developed through the application of our SNIPRx platform, our business may be materially harmed.</w:t>
      </w:r>
    </w:p>
    <w:p>
      <w:pPr>
        <w:spacing w:after="0" w:line="92" w:lineRule="exact"/>
        <w:rPr>
          <w:rFonts w:ascii="Arial" w:cs="Arial" w:eastAsia="Arial" w:hAnsi="Arial"/>
          <w:sz w:val="18"/>
          <w:szCs w:val="18"/>
          <w:color w:val="auto"/>
        </w:rPr>
      </w:pPr>
    </w:p>
    <w:p>
      <w:pPr>
        <w:ind w:left="1160" w:right="46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outbreak of the novel strain of coronavirus disease, COVID-19, could adversely impact our business, including our preclinical studies and clinical trials.</w:t>
      </w:r>
    </w:p>
    <w:p>
      <w:pPr>
        <w:spacing w:after="0" w:line="75" w:lineRule="exact"/>
        <w:rPr>
          <w:rFonts w:ascii="Arial" w:cs="Arial" w:eastAsia="Arial" w:hAnsi="Arial"/>
          <w:sz w:val="18"/>
          <w:szCs w:val="18"/>
          <w:color w:val="auto"/>
        </w:rPr>
      </w:pPr>
    </w:p>
    <w:p>
      <w:pPr>
        <w:ind w:left="1160" w:right="18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successful development of targeted therapeutics, including our portfolio of synthetic lethality small molecule inhibitors, as well as any related diagnostics, is highly uncertain.</w:t>
      </w:r>
    </w:p>
    <w:p>
      <w:pPr>
        <w:spacing w:after="0" w:line="75" w:lineRule="exact"/>
        <w:rPr>
          <w:rFonts w:ascii="Arial" w:cs="Arial" w:eastAsia="Arial" w:hAnsi="Arial"/>
          <w:sz w:val="18"/>
          <w:szCs w:val="18"/>
          <w:color w:val="auto"/>
        </w:rPr>
      </w:pPr>
    </w:p>
    <w:p>
      <w:pPr>
        <w:ind w:left="1160" w:right="40" w:hanging="534"/>
        <w:spacing w:after="0" w:line="263"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89" w:lineRule="exact"/>
        <w:rPr>
          <w:rFonts w:ascii="Arial" w:cs="Arial" w:eastAsia="Arial" w:hAnsi="Arial"/>
          <w:sz w:val="18"/>
          <w:szCs w:val="18"/>
          <w:color w:val="auto"/>
        </w:rPr>
      </w:pPr>
    </w:p>
    <w:p>
      <w:pPr>
        <w:ind w:left="1160" w:right="40" w:hanging="534"/>
        <w:spacing w:after="0" w:line="263"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89" w:lineRule="exact"/>
        <w:rPr>
          <w:rFonts w:ascii="Arial" w:cs="Arial" w:eastAsia="Arial" w:hAnsi="Arial"/>
          <w:sz w:val="18"/>
          <w:szCs w:val="18"/>
          <w:color w:val="auto"/>
        </w:rPr>
      </w:pPr>
    </w:p>
    <w:p>
      <w:pPr>
        <w:ind w:left="1160" w:right="460" w:hanging="534"/>
        <w:spacing w:after="0" w:line="342"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not be successful in applying our SNIPRx platform to discover synthetic lethality targets with therapeutic and commercial potential or in the discovery and development of commercially viable product candidates for us or our collaborators.</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42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140" w:hanging="534"/>
        <w:spacing w:after="0" w:line="308"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Difficulty in enrolling patients could delay or prevent clinical trials of our product candidates. We may find it difficult to enroll patients in our open-label Phase 1/2 clinical trial for RP-3500 with the genomic alterations that RP-3500 is designed to target.</w:t>
      </w:r>
    </w:p>
    <w:p>
      <w:pPr>
        <w:spacing w:after="0" w:line="51" w:lineRule="exact"/>
        <w:rPr>
          <w:rFonts w:ascii="Arial" w:cs="Arial" w:eastAsia="Arial" w:hAnsi="Arial"/>
          <w:sz w:val="17"/>
          <w:szCs w:val="17"/>
          <w:color w:val="auto"/>
        </w:rPr>
      </w:pPr>
    </w:p>
    <w:p>
      <w:pPr>
        <w:ind w:left="1160" w:hanging="534"/>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face substantial competition, which may result in others developing or commercializing drugs before or more successfully than us.</w:t>
      </w:r>
    </w:p>
    <w:p>
      <w:pPr>
        <w:spacing w:after="0" w:line="153" w:lineRule="exact"/>
        <w:rPr>
          <w:rFonts w:ascii="Arial" w:cs="Arial" w:eastAsia="Arial" w:hAnsi="Arial"/>
          <w:sz w:val="16"/>
          <w:szCs w:val="16"/>
          <w:color w:val="auto"/>
        </w:rPr>
      </w:pPr>
    </w:p>
    <w:p>
      <w:pPr>
        <w:ind w:left="1160" w:right="74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third parties to supply and manufacture our product candidates, and we expect to continue to rely on third parties to manufacture our products, if approved.</w:t>
      </w:r>
    </w:p>
    <w:p>
      <w:pPr>
        <w:spacing w:after="0" w:line="75" w:lineRule="exact"/>
        <w:rPr>
          <w:rFonts w:ascii="Arial" w:cs="Arial" w:eastAsia="Arial" w:hAnsi="Arial"/>
          <w:sz w:val="18"/>
          <w:szCs w:val="18"/>
          <w:color w:val="auto"/>
        </w:rPr>
      </w:pPr>
    </w:p>
    <w:p>
      <w:pPr>
        <w:ind w:left="1160" w:right="60" w:hanging="534"/>
        <w:spacing w:after="0" w:line="263"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80" w:firstLine="434"/>
        <w:spacing w:after="0" w:line="255" w:lineRule="auto"/>
        <w:rPr>
          <w:sz w:val="20"/>
          <w:szCs w:val="20"/>
          <w:color w:val="auto"/>
        </w:rPr>
      </w:pPr>
      <w:r>
        <w:rPr>
          <w:rFonts w:ascii="Arial" w:cs="Arial" w:eastAsia="Arial" w:hAnsi="Arial"/>
          <w:sz w:val="18"/>
          <w:szCs w:val="18"/>
          <w:color w:val="auto"/>
        </w:rPr>
        <w:t xml:space="preserve">We were incorporated under the Canada Business Corporations Act, or CBCA, on September 6, 2016. Immediately prior to completion of this offering, we will be continued as a corporation under the Business Corporations Act (Québec), or QBCA. Our principal executive offices are located at 7210 Frederick-Banting, Suite 100, Montréal, Québec, Canada H4S 2A1, and our telephone number is (857) 412-7018. In June 2017, we incorporated our wholly-owned subsidiary, Repare Therapeutics USA Inc., a Delaware corporation. Our corporate website address is </w:t>
      </w:r>
      <w:r>
        <w:rPr>
          <w:rFonts w:ascii="Arial" w:cs="Arial" w:eastAsia="Arial" w:hAnsi="Arial"/>
          <w:sz w:val="18"/>
          <w:szCs w:val="18"/>
          <w:i w:val="1"/>
          <w:iCs w:val="1"/>
          <w:color w:val="auto"/>
        </w:rPr>
        <w:t>www.reparerx.com</w:t>
      </w:r>
      <w:r>
        <w:rPr>
          <w:rFonts w:ascii="Arial" w:cs="Arial" w:eastAsia="Arial" w:hAnsi="Arial"/>
          <w:sz w:val="18"/>
          <w:szCs w:val="18"/>
          <w:color w:val="auto"/>
        </w:rPr>
        <w:t>. Information contained on, or accessible through, our website is not a part of this prospectus. We have included our website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solely as an inactive textual reference.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40" w:firstLine="434"/>
        <w:spacing w:after="0" w:line="34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so long as we remain an emerging growth company, we are permitted to rely on certain exemptions from various public company reporting requirements, including:</w:t>
      </w:r>
    </w:p>
    <w:p>
      <w:pPr>
        <w:spacing w:after="0" w:line="29" w:lineRule="exact"/>
        <w:rPr>
          <w:sz w:val="20"/>
          <w:szCs w:val="20"/>
          <w:color w:val="auto"/>
        </w:rPr>
      </w:pPr>
    </w:p>
    <w:p>
      <w:pPr>
        <w:ind w:left="1160" w:right="1100" w:hanging="534"/>
        <w:spacing w:after="0" w:line="308"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being permitted to present in this prospectus only two years of audited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160" w:hanging="53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w:t>
      </w:r>
    </w:p>
    <w:p>
      <w:pPr>
        <w:spacing w:after="0" w:line="130" w:lineRule="exact"/>
        <w:rPr>
          <w:rFonts w:ascii="Arial" w:cs="Arial" w:eastAsia="Arial" w:hAnsi="Arial"/>
          <w:sz w:val="18"/>
          <w:szCs w:val="18"/>
          <w:color w:val="auto"/>
        </w:rPr>
      </w:pPr>
    </w:p>
    <w:p>
      <w:pPr>
        <w:ind w:left="1160" w:right="62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being required to submit to our shareholders a nonbinding advisory vote on executive compensation or any golden parachute payments not previously approved;</w:t>
      </w:r>
    </w:p>
    <w:p>
      <w:pPr>
        <w:spacing w:after="0" w:line="75" w:lineRule="exact"/>
        <w:rPr>
          <w:rFonts w:ascii="Arial" w:cs="Arial" w:eastAsia="Arial" w:hAnsi="Arial"/>
          <w:sz w:val="18"/>
          <w:szCs w:val="18"/>
          <w:color w:val="auto"/>
        </w:rPr>
      </w:pPr>
    </w:p>
    <w:p>
      <w:pPr>
        <w:ind w:left="1160" w:right="36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being required to have our internal control over financial reporting audited by our independent registered public accounting firm pursuant to Section 404(b) of the Sarbanes-Oxley Act of 2002; and</w:t>
      </w:r>
    </w:p>
    <w:p>
      <w:pPr>
        <w:spacing w:after="0" w:line="75" w:lineRule="exact"/>
        <w:rPr>
          <w:rFonts w:ascii="Arial" w:cs="Arial" w:eastAsia="Arial" w:hAnsi="Arial"/>
          <w:sz w:val="18"/>
          <w:szCs w:val="18"/>
          <w:color w:val="auto"/>
        </w:rPr>
      </w:pPr>
    </w:p>
    <w:p>
      <w:pPr>
        <w:ind w:left="1160" w:right="20" w:hanging="534"/>
        <w:spacing w:after="0" w:line="308"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6" w:lineRule="exact"/>
        <w:rPr>
          <w:sz w:val="20"/>
          <w:szCs w:val="20"/>
          <w:color w:val="auto"/>
        </w:rPr>
      </w:pPr>
    </w:p>
    <w:p>
      <w:pPr>
        <w:ind w:left="200" w:right="80" w:firstLine="434"/>
        <w:spacing w:after="0" w:line="291" w:lineRule="auto"/>
        <w:rPr>
          <w:sz w:val="20"/>
          <w:szCs w:val="20"/>
          <w:color w:val="auto"/>
        </w:rPr>
      </w:pPr>
      <w:r>
        <w:rPr>
          <w:rFonts w:ascii="Arial" w:cs="Arial" w:eastAsia="Arial" w:hAnsi="Arial"/>
          <w:sz w:val="16"/>
          <w:szCs w:val="16"/>
          <w:color w:val="auto"/>
        </w:rPr>
        <w:t>We may take advantage of these exemptions for up to the last day of the fiscal year ending after the fifth anniversary of this offering or such earlier time that we are no longer an emerging growth company. We would cease to be an emerging growth company on the date that is the earliest of</w:t>
      </w:r>
    </w:p>
    <w:p>
      <w:pPr>
        <w:ind w:left="200" w:hanging="6"/>
        <w:spacing w:after="0" w:line="260"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revenues of $1.07 billion or more; (2) the last day of our fiscal year following the fifth anniversary of the date of the completion of this offering; (3) the date on which we have issued more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070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2070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than $1.0 billion in nonconvertible debt during the previous three years; or (4) the date on which we are deemed to be a large accelerated filer under the rules of the Securities and Exchange Commission, or the SEC. We may choose to take advantage of some but not all of these exemptions. We have taken advantage of certain reduced reporting requirements in this prospectus. Accordingly, the information contained herein may be different from the information you receive from other public companies in which you hold stock.</w:t>
      </w:r>
    </w:p>
    <w:p>
      <w:pPr>
        <w:spacing w:after="0" w:line="187" w:lineRule="exact"/>
        <w:rPr>
          <w:sz w:val="20"/>
          <w:szCs w:val="20"/>
          <w:color w:val="auto"/>
        </w:rPr>
      </w:pPr>
    </w:p>
    <w:p>
      <w:pPr>
        <w:ind w:left="200" w:right="20" w:firstLine="434"/>
        <w:spacing w:after="0" w:line="290"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shares less attractive as a result of these elections, which may result in a less active trading market for our common shares and higher volatility in our share price.</w:t>
      </w: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4440" w:type="dxa"/>
            <w:vAlign w:val="bottom"/>
            <w:tcBorders>
              <w:top w:val="single" w:sz="8" w:color="auto"/>
              <w:left w:val="single" w:sz="8" w:color="auto"/>
            </w:tcBorders>
          </w:tcPr>
          <w:p>
            <w:pPr>
              <w:spacing w:after="0"/>
              <w:rPr>
                <w:sz w:val="24"/>
                <w:szCs w:val="24"/>
                <w:color w:val="auto"/>
              </w:rPr>
            </w:pPr>
          </w:p>
        </w:tc>
        <w:tc>
          <w:tcPr>
            <w:tcW w:w="6800" w:type="dxa"/>
            <w:vAlign w:val="bottom"/>
            <w:tcBorders>
              <w:top w:val="single" w:sz="8" w:color="auto"/>
              <w:right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THE OFFERING</w:t>
            </w:r>
          </w:p>
        </w:tc>
      </w:tr>
      <w:tr>
        <w:trPr>
          <w:trHeight w:val="527"/>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shares to be offered</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11,000,000 shares</w:t>
            </w:r>
          </w:p>
        </w:tc>
      </w:tr>
      <w:tr>
        <w:trPr>
          <w:trHeight w:val="283"/>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 to purchase additional common shares</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1,650,000 shares</w:t>
            </w:r>
          </w:p>
        </w:tc>
      </w:tr>
      <w:tr>
        <w:trPr>
          <w:trHeight w:val="269"/>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shares to be outstanding after this offering</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7"/>
              </w:rPr>
              <w:t>35,018,085 shares (36,668,085 shares if the underwriters exercise in</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full their option to purchase additional shares)</w:t>
            </w:r>
          </w:p>
        </w:tc>
      </w:tr>
      <w:tr>
        <w:trPr>
          <w:trHeight w:val="269"/>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We estimate that the net proceeds from this offering will be</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approximately $200.6 million (or approximately $231.3 million if the</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underwriters exercise in full their option to purchase up to 1,650,000</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additional common shares), based on the initial public offering price</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$20.00 per share, after deducting underwriting fees and</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commissions and estimated offering expenses payable by us.</w:t>
            </w:r>
          </w:p>
        </w:tc>
      </w:tr>
      <w:tr>
        <w:trPr>
          <w:trHeight w:val="283"/>
        </w:trPr>
        <w:tc>
          <w:tcPr>
            <w:tcW w:w="4440" w:type="dxa"/>
            <w:vAlign w:val="bottom"/>
            <w:tcBorders>
              <w:left w:val="single" w:sz="8" w:color="auto"/>
            </w:tcBorders>
          </w:tcPr>
          <w:p>
            <w:pPr>
              <w:spacing w:after="0"/>
              <w:rPr>
                <w:sz w:val="24"/>
                <w:szCs w:val="24"/>
                <w:color w:val="auto"/>
              </w:rPr>
            </w:pP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4"/>
              </w:rPr>
              <w:t>We currently intend to use the net proceeds from this offering, together</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 our existing cash, as follows:</w:t>
            </w:r>
          </w:p>
        </w:tc>
      </w:tr>
      <w:tr>
        <w:trPr>
          <w:trHeight w:val="283"/>
        </w:trPr>
        <w:tc>
          <w:tcPr>
            <w:tcW w:w="4440" w:type="dxa"/>
            <w:vAlign w:val="bottom"/>
            <w:tcBorders>
              <w:left w:val="single" w:sz="8" w:color="auto"/>
            </w:tcBorders>
          </w:tcPr>
          <w:p>
            <w:pPr>
              <w:spacing w:after="0"/>
              <w:rPr>
                <w:sz w:val="24"/>
                <w:szCs w:val="24"/>
                <w:color w:val="auto"/>
              </w:rPr>
            </w:pPr>
          </w:p>
        </w:tc>
        <w:tc>
          <w:tcPr>
            <w:tcW w:w="1520" w:type="dxa"/>
            <w:vAlign w:val="bottom"/>
          </w:tcPr>
          <w:p>
            <w:pPr>
              <w:ind w:left="1420"/>
              <w:spacing w:after="0"/>
              <w:rPr>
                <w:sz w:val="20"/>
                <w:szCs w:val="20"/>
                <w:color w:val="auto"/>
              </w:rPr>
            </w:pPr>
            <w:r>
              <w:rPr>
                <w:rFonts w:ascii="Arial" w:cs="Arial" w:eastAsia="Arial" w:hAnsi="Arial"/>
                <w:sz w:val="18"/>
                <w:szCs w:val="18"/>
                <w:color w:val="auto"/>
              </w:rPr>
              <w:t>•</w:t>
            </w: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approximately $50.0 million to advance clinical development of</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RP-3500 through completion of our planned open-label Phase 1/2</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clinical trial;</w:t>
            </w:r>
          </w:p>
        </w:tc>
      </w:tr>
      <w:tr>
        <w:trPr>
          <w:trHeight w:val="283"/>
        </w:trPr>
        <w:tc>
          <w:tcPr>
            <w:tcW w:w="4440" w:type="dxa"/>
            <w:vAlign w:val="bottom"/>
            <w:tcBorders>
              <w:left w:val="single" w:sz="8" w:color="auto"/>
            </w:tcBorders>
          </w:tcPr>
          <w:p>
            <w:pPr>
              <w:spacing w:after="0"/>
              <w:rPr>
                <w:sz w:val="24"/>
                <w:szCs w:val="24"/>
                <w:color w:val="auto"/>
              </w:rPr>
            </w:pPr>
          </w:p>
        </w:tc>
        <w:tc>
          <w:tcPr>
            <w:tcW w:w="1520" w:type="dxa"/>
            <w:vAlign w:val="bottom"/>
          </w:tcPr>
          <w:p>
            <w:pPr>
              <w:ind w:left="1420"/>
              <w:spacing w:after="0"/>
              <w:rPr>
                <w:sz w:val="20"/>
                <w:szCs w:val="20"/>
                <w:color w:val="auto"/>
              </w:rPr>
            </w:pPr>
            <w:r>
              <w:rPr>
                <w:rFonts w:ascii="Arial" w:cs="Arial" w:eastAsia="Arial" w:hAnsi="Arial"/>
                <w:sz w:val="18"/>
                <w:szCs w:val="18"/>
                <w:color w:val="auto"/>
              </w:rPr>
              <w:t>•</w:t>
            </w: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approximately $110.0 million to fund other research and</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development initiatives; and</w:t>
            </w:r>
          </w:p>
        </w:tc>
      </w:tr>
      <w:tr>
        <w:trPr>
          <w:trHeight w:val="283"/>
        </w:trPr>
        <w:tc>
          <w:tcPr>
            <w:tcW w:w="4440" w:type="dxa"/>
            <w:vAlign w:val="bottom"/>
            <w:tcBorders>
              <w:left w:val="single" w:sz="8" w:color="auto"/>
            </w:tcBorders>
          </w:tcPr>
          <w:p>
            <w:pPr>
              <w:spacing w:after="0"/>
              <w:rPr>
                <w:sz w:val="24"/>
                <w:szCs w:val="24"/>
                <w:color w:val="auto"/>
              </w:rPr>
            </w:pPr>
          </w:p>
        </w:tc>
        <w:tc>
          <w:tcPr>
            <w:tcW w:w="1520" w:type="dxa"/>
            <w:vAlign w:val="bottom"/>
          </w:tcPr>
          <w:p>
            <w:pPr>
              <w:ind w:left="1420"/>
              <w:spacing w:after="0"/>
              <w:rPr>
                <w:sz w:val="20"/>
                <w:szCs w:val="20"/>
                <w:color w:val="auto"/>
              </w:rPr>
            </w:pPr>
            <w:r>
              <w:rPr>
                <w:rFonts w:ascii="Arial" w:cs="Arial" w:eastAsia="Arial" w:hAnsi="Arial"/>
                <w:sz w:val="18"/>
                <w:szCs w:val="18"/>
                <w:color w:val="auto"/>
              </w:rPr>
              <w:t>•</w:t>
            </w: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the remainder to fund working capital and other general corporate</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purposes.</w:t>
            </w:r>
          </w:p>
        </w:tc>
      </w:tr>
      <w:tr>
        <w:trPr>
          <w:trHeight w:val="297"/>
        </w:trPr>
        <w:tc>
          <w:tcPr>
            <w:tcW w:w="4440" w:type="dxa"/>
            <w:vAlign w:val="bottom"/>
            <w:tcBorders>
              <w:left w:val="single" w:sz="8" w:color="auto"/>
            </w:tcBorders>
          </w:tcPr>
          <w:p>
            <w:pPr>
              <w:spacing w:after="0"/>
              <w:rPr>
                <w:sz w:val="24"/>
                <w:szCs w:val="24"/>
                <w:color w:val="auto"/>
              </w:rPr>
            </w:pP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See “Use of Proceeds” for additional information.</w:t>
            </w:r>
          </w:p>
        </w:tc>
      </w:tr>
      <w:tr>
        <w:trPr>
          <w:trHeight w:val="283"/>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Directed share program</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9"/>
              </w:rPr>
              <w:t>At our request, the underwriters have reserved for sale, at the initial</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public offering price, up to five percent of the shares offered by this</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prospectus for sale to some of our directors, officers, employees,</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business associates and related persons through a directed share</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program. If these persons purchase shares through the directed share</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program, this will reduce the number of shares available for sale to</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the general public. Any reserved shares that are not so purchased will</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 offered by the underwriters to the general public on the same</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terms as the other shares offered by this prospectus.</w:t>
            </w:r>
          </w:p>
        </w:tc>
      </w:tr>
      <w:tr>
        <w:trPr>
          <w:trHeight w:val="269"/>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You should read the section titled “Risk Factors” for a discussion of</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factors to consider carefully, together with all the other information</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included in this prospectus, before deciding to invest in our common</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w:t>
            </w:r>
          </w:p>
        </w:tc>
      </w:tr>
      <w:tr>
        <w:trPr>
          <w:trHeight w:val="283"/>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Nasdaq Global Select Market symbol</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“RPTX”</w:t>
            </w:r>
          </w:p>
        </w:tc>
      </w:tr>
      <w:tr>
        <w:trPr>
          <w:trHeight w:val="240"/>
        </w:trPr>
        <w:tc>
          <w:tcPr>
            <w:tcW w:w="444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280" w:type="dxa"/>
            <w:vAlign w:val="bottom"/>
            <w:tcBorders>
              <w:bottom w:val="single" w:sz="8" w:color="auto"/>
              <w:right w:val="single" w:sz="8" w:color="auto"/>
            </w:tcBorders>
          </w:tcPr>
          <w:p>
            <w:pPr>
              <w:spacing w:after="0"/>
              <w:rPr>
                <w:sz w:val="20"/>
                <w:szCs w:val="20"/>
                <w:color w:val="auto"/>
              </w:rPr>
            </w:pPr>
          </w:p>
        </w:tc>
      </w:tr>
      <w:tr>
        <w:trPr>
          <w:trHeight w:val="604"/>
        </w:trPr>
        <w:tc>
          <w:tcPr>
            <w:tcW w:w="4440" w:type="dxa"/>
            <w:vAlign w:val="bottom"/>
          </w:tcPr>
          <w:p>
            <w:pPr>
              <w:spacing w:after="0"/>
              <w:rPr>
                <w:sz w:val="24"/>
                <w:szCs w:val="24"/>
                <w:color w:val="auto"/>
              </w:rPr>
            </w:pPr>
          </w:p>
        </w:tc>
        <w:tc>
          <w:tcPr>
            <w:tcW w:w="1520" w:type="dxa"/>
            <w:vAlign w:val="bottom"/>
          </w:tcPr>
          <w:p>
            <w:pPr>
              <w:ind w:left="1100"/>
              <w:spacing w:after="0"/>
              <w:rPr>
                <w:sz w:val="20"/>
                <w:szCs w:val="20"/>
                <w:color w:val="auto"/>
              </w:rPr>
            </w:pPr>
            <w:r>
              <w:rPr>
                <w:rFonts w:ascii="Arial" w:cs="Arial" w:eastAsia="Arial" w:hAnsi="Arial"/>
                <w:sz w:val="18"/>
                <w:szCs w:val="18"/>
                <w:color w:val="auto"/>
              </w:rPr>
              <w:t>11</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64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54648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40" w:firstLine="434"/>
        <w:spacing w:after="0" w:line="279" w:lineRule="auto"/>
        <w:rPr>
          <w:sz w:val="20"/>
          <w:szCs w:val="20"/>
          <w:color w:val="auto"/>
        </w:rPr>
      </w:pPr>
      <w:r>
        <w:rPr>
          <w:rFonts w:ascii="Arial" w:cs="Arial" w:eastAsia="Arial" w:hAnsi="Arial"/>
          <w:sz w:val="17"/>
          <w:szCs w:val="17"/>
          <w:color w:val="auto"/>
        </w:rPr>
        <w:t>The number of common shares to be outstanding after this offering is based on 24,018,085 common shares outstanding as of March 31, 2020, which gives effect to (i) the conversion of all outstanding preferred shares into an aggregate of 21,558,393 common shares and (ii) the automatic exercise of the warrant held by an affiliate of Bristol Myers Squibb into an aggregate of 750,000 common shares, based on the initial public offering price of $20.00 per share, in each case effected immediately prior to the completion of this offering, and excludes:</w:t>
      </w:r>
    </w:p>
    <w:p>
      <w:pPr>
        <w:spacing w:after="0" w:line="77" w:lineRule="exact"/>
        <w:rPr>
          <w:sz w:val="20"/>
          <w:szCs w:val="20"/>
          <w:color w:val="auto"/>
        </w:rPr>
      </w:pPr>
    </w:p>
    <w:p>
      <w:pPr>
        <w:ind w:left="1160" w:right="10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3,323,801 common shares issuable upon the exercise of outstanding options as of March 31, 2020, at a weighted-average exercise price of $2.09 per share;</w:t>
      </w:r>
    </w:p>
    <w:p>
      <w:pPr>
        <w:spacing w:after="0" w:line="75" w:lineRule="exact"/>
        <w:rPr>
          <w:rFonts w:ascii="Arial" w:cs="Arial" w:eastAsia="Arial" w:hAnsi="Arial"/>
          <w:sz w:val="18"/>
          <w:szCs w:val="18"/>
          <w:color w:val="auto"/>
        </w:rPr>
      </w:pPr>
    </w:p>
    <w:p>
      <w:pPr>
        <w:ind w:left="1160" w:right="80" w:hanging="534"/>
        <w:spacing w:after="0" w:line="263"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569,016 common shares reserved for future issuance under our Repare Therapeutics Inc. Amended and Restated Option Plan, or the Existing Plan, as of March 31, 2020, which shares ceased to be available for future issuance immediately prior to the time that our 2020 Plan became effective in connection with this offering;</w:t>
      </w:r>
    </w:p>
    <w:p>
      <w:pPr>
        <w:spacing w:after="0" w:line="89" w:lineRule="exact"/>
        <w:rPr>
          <w:rFonts w:ascii="Arial" w:cs="Arial" w:eastAsia="Arial" w:hAnsi="Arial"/>
          <w:sz w:val="18"/>
          <w:szCs w:val="18"/>
          <w:color w:val="auto"/>
        </w:rPr>
      </w:pPr>
    </w:p>
    <w:p>
      <w:pPr>
        <w:ind w:left="1160" w:right="6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278,373 common shares issuable upon the exercise of outstanding options granted after March 31, 2020, at a weighted-average exercise price of $8.60 per share;</w:t>
      </w:r>
    </w:p>
    <w:p>
      <w:pPr>
        <w:spacing w:after="0" w:line="75" w:lineRule="exact"/>
        <w:rPr>
          <w:rFonts w:ascii="Arial" w:cs="Arial" w:eastAsia="Arial" w:hAnsi="Arial"/>
          <w:sz w:val="18"/>
          <w:szCs w:val="18"/>
          <w:color w:val="auto"/>
        </w:rPr>
      </w:pPr>
    </w:p>
    <w:p>
      <w:pPr>
        <w:ind w:left="1160" w:right="28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exercise of outstanding options subsequent to March 31, 2020 into an aggregate of 85,369 common shares, at a weighted-average exercise price of $1.92 per share;</w:t>
      </w:r>
    </w:p>
    <w:p>
      <w:pPr>
        <w:spacing w:after="0" w:line="75" w:lineRule="exact"/>
        <w:rPr>
          <w:rFonts w:ascii="Arial" w:cs="Arial" w:eastAsia="Arial" w:hAnsi="Arial"/>
          <w:sz w:val="18"/>
          <w:szCs w:val="18"/>
          <w:color w:val="auto"/>
        </w:rPr>
      </w:pPr>
    </w:p>
    <w:p>
      <w:pPr>
        <w:ind w:left="1160" w:right="120" w:hanging="534"/>
        <w:spacing w:after="0" w:line="279"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3,600,000 common shares reserved for future issuance under our 2020 Equity Incentive Plan, or the 2020 Plan (of which 590,702 common shares issuable upon the exercise of options were granted upon the execution of the underwriting agreement for this offering), which became effective immediately prior to the execution of the underwriting agreement related to this offering, as well as any future increases in the number of common shares reserved for issuance under our 2020 Plan; and</w:t>
      </w:r>
    </w:p>
    <w:p>
      <w:pPr>
        <w:spacing w:after="0" w:line="76" w:lineRule="exact"/>
        <w:rPr>
          <w:rFonts w:ascii="Arial" w:cs="Arial" w:eastAsia="Arial" w:hAnsi="Arial"/>
          <w:sz w:val="17"/>
          <w:szCs w:val="17"/>
          <w:color w:val="auto"/>
        </w:rPr>
      </w:pPr>
    </w:p>
    <w:p>
      <w:pPr>
        <w:ind w:left="1160" w:right="100" w:hanging="534"/>
        <w:spacing w:after="0" w:line="263"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327,000 common shares reserved for future issuance under our 2020 Employee Share Purchase Plan, or the ESPP, which became effective immediately prior to the execution of the underwriting agreement related to this offering, as well as any future increases in the number of common shares reserved for issuance under our ESPP.</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131" w:lineRule="exact"/>
        <w:rPr>
          <w:sz w:val="20"/>
          <w:szCs w:val="20"/>
          <w:color w:val="auto"/>
        </w:rPr>
      </w:pPr>
    </w:p>
    <w:p>
      <w:pPr>
        <w:ind w:left="1160" w:right="280" w:hanging="534"/>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filing and effectiveness of our articles of continuance immediately prior to the completion of this offering and the adoption of our amended and restated bylaws immediately prior to the completion of this offering;</w:t>
      </w:r>
    </w:p>
    <w:p>
      <w:pPr>
        <w:spacing w:after="0" w:line="75" w:lineRule="exact"/>
        <w:rPr>
          <w:rFonts w:ascii="Arial" w:cs="Arial" w:eastAsia="Arial" w:hAnsi="Arial"/>
          <w:sz w:val="18"/>
          <w:szCs w:val="18"/>
          <w:color w:val="auto"/>
        </w:rPr>
      </w:pPr>
    </w:p>
    <w:p>
      <w:pPr>
        <w:ind w:left="1160" w:right="160" w:hanging="534"/>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of all outstanding preferred shares into an aggregate of 21,558,393 common shares immediately prior to the completion of this offering;</w:t>
      </w:r>
    </w:p>
    <w:p>
      <w:pPr>
        <w:spacing w:after="0" w:line="75" w:lineRule="exact"/>
        <w:rPr>
          <w:rFonts w:ascii="Arial" w:cs="Arial" w:eastAsia="Arial" w:hAnsi="Arial"/>
          <w:sz w:val="18"/>
          <w:szCs w:val="18"/>
          <w:color w:val="auto"/>
        </w:rPr>
      </w:pPr>
    </w:p>
    <w:p>
      <w:pPr>
        <w:ind w:left="1160" w:hanging="534"/>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automatic exercise of the warrant held by an affiliate of Bristol Myers Squibb into an aggregate of 750,000 common shares, based on the initial public offering price of $20.00 per share, immediately prior to the completion of this offering;</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1-for-6.062 reverse stock split of our common shares and preferred shares effected on June 12, 2020;</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1,650,000 additional common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320" w:top="459" w:right="5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876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6876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220" w:firstLine="434"/>
        <w:spacing w:after="0" w:line="296" w:lineRule="auto"/>
        <w:rPr>
          <w:sz w:val="20"/>
          <w:szCs w:val="20"/>
          <w:color w:val="auto"/>
        </w:rPr>
      </w:pPr>
      <w:r>
        <w:rPr>
          <w:rFonts w:ascii="Arial" w:cs="Arial" w:eastAsia="Arial" w:hAnsi="Arial"/>
          <w:sz w:val="16"/>
          <w:szCs w:val="16"/>
          <w:color w:val="auto"/>
        </w:rPr>
        <w:t>The following tables set forth our financial data for the periods indicated. We have derived the summary consolidated statements of operations data for the years ended December 31, 2017, 2018 and 2019 from our audited consolidated financial statements appearing elsewhere in this prospectus. We have derived the summary consolidated statements of operations data for the three-month periods ended March 31, 2019 and 2020 and the summary consolidated balance sheet data as of March 31, 2020 from our unaudited interim consolidated financial statements appearing elsewhere in this prospectus. Our historical results are not necessarily indicative of the results to be expected in the future.</w:t>
      </w:r>
    </w:p>
    <w:p>
      <w:pPr>
        <w:spacing w:after="0" w:line="161" w:lineRule="exact"/>
        <w:rPr>
          <w:sz w:val="20"/>
          <w:szCs w:val="20"/>
          <w:color w:val="auto"/>
        </w:rPr>
      </w:pPr>
    </w:p>
    <w:p>
      <w:pPr>
        <w:ind w:left="200" w:right="240" w:firstLine="434"/>
        <w:spacing w:after="0" w:line="279" w:lineRule="auto"/>
        <w:rPr>
          <w:sz w:val="20"/>
          <w:szCs w:val="20"/>
          <w:color w:val="auto"/>
        </w:rPr>
      </w:pPr>
      <w:r>
        <w:rPr>
          <w:rFonts w:ascii="Arial" w:cs="Arial" w:eastAsia="Arial" w:hAnsi="Arial"/>
          <w:sz w:val="17"/>
          <w:szCs w:val="17"/>
          <w:color w:val="auto"/>
        </w:rPr>
        <w:t>You should read this consolidated summary financial data together with our consolidated financial statements and related notes to those statements, as well as the section titled “Management’s Discussion and Analysis of Financial Condition and Results of Operations,” which are included elsewhere in this prospectus. The summary financial data in this section are not intended to replace our consolidated financial statements and are qualified in their entirety by our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10"/>
          </w:tcPr>
          <w:p>
            <w:pPr>
              <w:jc w:val="right"/>
              <w:ind w:right="520"/>
              <w:spacing w:after="0" w:line="142" w:lineRule="exact"/>
              <w:rPr>
                <w:sz w:val="20"/>
                <w:szCs w:val="20"/>
                <w:color w:val="auto"/>
              </w:rPr>
            </w:pPr>
            <w:r>
              <w:rPr>
                <w:rFonts w:ascii="Arial" w:cs="Arial" w:eastAsia="Arial" w:hAnsi="Arial"/>
                <w:sz w:val="14"/>
                <w:szCs w:val="14"/>
                <w:b w:val="1"/>
                <w:bCs w:val="1"/>
                <w:color w:val="auto"/>
                <w:w w:val="93"/>
              </w:rPr>
              <w:t>(in thousands, except share and per share amounts)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Operations Data:</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20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Realized and unrealized (loss) gain on foreign</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540"/>
              <w:spacing w:after="0"/>
              <w:rPr>
                <w:sz w:val="20"/>
                <w:szCs w:val="20"/>
                <w:color w:val="auto"/>
              </w:rPr>
            </w:pPr>
            <w:r>
              <w:rPr>
                <w:rFonts w:ascii="Arial" w:cs="Arial" w:eastAsia="Arial" w:hAnsi="Arial"/>
                <w:sz w:val="18"/>
                <w:szCs w:val="18"/>
                <w:color w:val="auto"/>
              </w:rPr>
              <w:t>exchange</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(1,731)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w w:val="97"/>
              </w:rPr>
              <w:t>Change in fair value of series A preferred share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540"/>
              <w:spacing w:after="0"/>
              <w:rPr>
                <w:sz w:val="20"/>
                <w:szCs w:val="20"/>
                <w:color w:val="auto"/>
              </w:rPr>
            </w:pPr>
            <w:r>
              <w:rPr>
                <w:rFonts w:ascii="Arial" w:cs="Arial" w:eastAsia="Arial" w:hAnsi="Arial"/>
                <w:sz w:val="18"/>
                <w:szCs w:val="18"/>
                <w:color w:val="auto"/>
              </w:rPr>
              <w:t>tranche obligation</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loss per share:</w:t>
            </w:r>
            <w:r>
              <w:rPr>
                <w:rFonts w:ascii="Arial" w:cs="Arial" w:eastAsia="Arial" w:hAnsi="Arial"/>
                <w:sz w:val="15"/>
                <w:szCs w:val="15"/>
                <w:color w:val="auto"/>
              </w:rPr>
              <w:t>(1)</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0"/>
              <w:spacing w:after="0"/>
              <w:rPr>
                <w:sz w:val="20"/>
                <w:szCs w:val="20"/>
                <w:color w:val="auto"/>
              </w:rPr>
            </w:pPr>
            <w:r>
              <w:rPr>
                <w:rFonts w:ascii="Arial" w:cs="Arial" w:eastAsia="Arial" w:hAnsi="Arial"/>
                <w:sz w:val="18"/>
                <w:szCs w:val="18"/>
                <w:color w:val="auto"/>
                <w:w w:val="95"/>
              </w:rPr>
              <w:t>Weighted average shares used in computing net loss</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per share:</w:t>
            </w:r>
            <w:r>
              <w:rPr>
                <w:rFonts w:ascii="Arial" w:cs="Arial" w:eastAsia="Arial" w:hAnsi="Arial"/>
                <w:sz w:val="15"/>
                <w:szCs w:val="15"/>
                <w:color w:val="auto"/>
              </w:rPr>
              <w:t>(1)</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1,522,544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1,528,374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1,528,374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1,528,374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1,634,056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176"/>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830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48304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11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1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96"/>
              </w:rPr>
              <w:t>2017</w:t>
            </w:r>
          </w:p>
        </w:tc>
        <w:tc>
          <w:tcPr>
            <w:tcW w:w="108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9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0" w:type="dxa"/>
            <w:vAlign w:val="bottom"/>
            <w:gridSpan w:val="6"/>
          </w:tcPr>
          <w:p>
            <w:pPr>
              <w:ind w:left="660"/>
              <w:spacing w:after="0" w:line="142" w:lineRule="exact"/>
              <w:rPr>
                <w:sz w:val="20"/>
                <w:szCs w:val="20"/>
                <w:color w:val="auto"/>
              </w:rPr>
            </w:pPr>
            <w:r>
              <w:rPr>
                <w:rFonts w:ascii="Arial" w:cs="Arial" w:eastAsia="Arial" w:hAnsi="Arial"/>
                <w:sz w:val="14"/>
                <w:szCs w:val="14"/>
                <w:b w:val="1"/>
                <w:bCs w:val="1"/>
                <w:color w:val="auto"/>
                <w:w w:val="95"/>
              </w:rPr>
              <w:t>(in thousands, except share and per share amounts)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net loss per share (unaudited):</w:t>
            </w:r>
            <w:r>
              <w:rPr>
                <w:rFonts w:ascii="Arial" w:cs="Arial" w:eastAsia="Arial" w:hAnsi="Arial"/>
                <w:sz w:val="15"/>
                <w:szCs w:val="15"/>
                <w:color w:val="auto"/>
              </w:rPr>
              <w:t>(1)</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60" w:type="dxa"/>
            <w:vAlign w:val="bottom"/>
            <w:gridSpan w:val="3"/>
          </w:tcPr>
          <w:p>
            <w:pPr>
              <w:ind w:left="360"/>
              <w:spacing w:after="0"/>
              <w:rPr>
                <w:sz w:val="20"/>
                <w:szCs w:val="20"/>
                <w:color w:val="auto"/>
              </w:rPr>
            </w:pPr>
            <w:r>
              <w:rPr>
                <w:rFonts w:ascii="Arial" w:cs="Arial" w:eastAsia="Arial" w:hAnsi="Arial"/>
                <w:sz w:val="18"/>
                <w:szCs w:val="18"/>
                <w:color w:val="auto"/>
              </w:rPr>
              <w:t>Basic and diluted</w:t>
            </w:r>
          </w:p>
        </w:tc>
        <w:tc>
          <w:tcPr>
            <w:tcW w:w="13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(1.64)</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(0.54)</w:t>
            </w:r>
          </w:p>
        </w:tc>
      </w:tr>
      <w:tr>
        <w:trPr>
          <w:trHeight w:val="20"/>
        </w:trPr>
        <w:tc>
          <w:tcPr>
            <w:tcW w:w="1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566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outstanding used in computing pro</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forma net loss per share (unaudited):</w:t>
            </w:r>
            <w:r>
              <w:rPr>
                <w:rFonts w:ascii="Arial" w:cs="Arial" w:eastAsia="Arial" w:hAnsi="Arial"/>
                <w:sz w:val="15"/>
                <w:szCs w:val="15"/>
                <w:color w:val="auto"/>
              </w:rPr>
              <w:t>(1)</w:t>
            </w: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5660" w:type="dxa"/>
            <w:vAlign w:val="bottom"/>
            <w:gridSpan w:val="3"/>
          </w:tcPr>
          <w:p>
            <w:pPr>
              <w:ind w:left="360"/>
              <w:spacing w:after="0"/>
              <w:rPr>
                <w:sz w:val="20"/>
                <w:szCs w:val="20"/>
                <w:color w:val="auto"/>
              </w:rPr>
            </w:pPr>
            <w:r>
              <w:rPr>
                <w:rFonts w:ascii="Arial" w:cs="Arial" w:eastAsia="Arial" w:hAnsi="Arial"/>
                <w:sz w:val="18"/>
                <w:szCs w:val="18"/>
                <w:color w:val="auto"/>
              </w:rPr>
              <w:t>Basic and diluted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15,790,631</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23,192,449</w:t>
            </w:r>
          </w:p>
        </w:tc>
      </w:tr>
      <w:tr>
        <w:trPr>
          <w:trHeight w:val="20"/>
        </w:trPr>
        <w:tc>
          <w:tcPr>
            <w:tcW w:w="1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118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6" w:lineRule="exact"/>
        <w:rPr>
          <w:sz w:val="20"/>
          <w:szCs w:val="20"/>
          <w:color w:val="auto"/>
        </w:rPr>
      </w:pPr>
    </w:p>
    <w:p>
      <w:pPr>
        <w:ind w:left="620" w:right="120" w:hanging="426"/>
        <w:spacing w:after="0" w:line="286"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 Note 13 to our audited consolidated financial statements and Note 7 to our unaudited condensed consolidated financial statements included elsewhere in this prospectus for an explanation of the calculations of our basic and diluted net loss per share, pro forma net loss per share and the weighted-average number of shares used in the computation of the per share amounts.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AS OF MARCH 31, 2020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0"/>
                <w:szCs w:val="10"/>
                <w:color w:val="auto"/>
              </w:rPr>
            </w:pPr>
          </w:p>
        </w:tc>
        <w:tc>
          <w:tcPr>
            <w:tcW w:w="960" w:type="dxa"/>
            <w:vAlign w:val="bottom"/>
          </w:tcPr>
          <w:p>
            <w:pPr>
              <w:jc w:val="right"/>
              <w:ind w:right="405"/>
              <w:spacing w:after="0" w:line="119" w:lineRule="exact"/>
              <w:rPr>
                <w:sz w:val="20"/>
                <w:szCs w:val="20"/>
                <w:color w:val="auto"/>
              </w:rPr>
            </w:pPr>
            <w:r>
              <w:rPr>
                <w:rFonts w:ascii="Arial" w:cs="Arial" w:eastAsia="Arial" w:hAnsi="Arial"/>
                <w:sz w:val="13"/>
                <w:szCs w:val="13"/>
                <w:b w:val="1"/>
                <w:bCs w:val="1"/>
                <w:color w:val="auto"/>
              </w:rPr>
              <w:t>PRO</w:t>
            </w:r>
          </w:p>
        </w:tc>
        <w:tc>
          <w:tcPr>
            <w:tcW w:w="1380" w:type="dxa"/>
            <w:vAlign w:val="bottom"/>
            <w:gridSpan w:val="2"/>
          </w:tcPr>
          <w:p>
            <w:pPr>
              <w:jc w:val="right"/>
              <w:ind w:right="30"/>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205"/>
              <w:spacing w:after="0"/>
              <w:rPr>
                <w:sz w:val="20"/>
                <w:szCs w:val="20"/>
                <w:color w:val="auto"/>
              </w:rPr>
            </w:pPr>
            <w:r>
              <w:rPr>
                <w:rFonts w:ascii="Arial" w:cs="Arial" w:eastAsia="Arial" w:hAnsi="Arial"/>
                <w:sz w:val="14"/>
                <w:szCs w:val="14"/>
                <w:b w:val="1"/>
                <w:bCs w:val="1"/>
                <w:color w:val="auto"/>
                <w:w w:val="99"/>
              </w:rPr>
              <w:t>FORMA</w:t>
            </w:r>
            <w:r>
              <w:rPr>
                <w:rFonts w:ascii="Arial" w:cs="Arial" w:eastAsia="Arial" w:hAnsi="Arial"/>
                <w:sz w:val="12"/>
                <w:szCs w:val="12"/>
                <w:b w:val="1"/>
                <w:bCs w:val="1"/>
                <w:color w:val="auto"/>
                <w:w w:val="99"/>
              </w:rPr>
              <w:t>(1)</w:t>
            </w:r>
          </w:p>
        </w:tc>
        <w:tc>
          <w:tcPr>
            <w:tcW w:w="1500" w:type="dxa"/>
            <w:vAlign w:val="bottom"/>
            <w:gridSpan w:val="3"/>
          </w:tcPr>
          <w:p>
            <w:pPr>
              <w:ind w:left="24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Borders>
              <w:top w:val="single" w:sz="8" w:color="auto"/>
            </w:tcBorders>
            <w:gridSpan w:val="2"/>
          </w:tcPr>
          <w:p>
            <w:pPr>
              <w:ind w:left="7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$ 83,711</w:t>
            </w:r>
          </w:p>
        </w:tc>
        <w:tc>
          <w:tcPr>
            <w:tcW w:w="180" w:type="dxa"/>
            <w:vAlign w:val="bottom"/>
          </w:tcPr>
          <w:p>
            <w:pPr>
              <w:spacing w:after="0"/>
              <w:rPr>
                <w:sz w:val="18"/>
                <w:szCs w:val="18"/>
                <w:color w:val="auto"/>
              </w:rPr>
            </w:pPr>
          </w:p>
        </w:tc>
        <w:tc>
          <w:tcPr>
            <w:tcW w:w="1300" w:type="dxa"/>
            <w:vAlign w:val="bottom"/>
            <w:gridSpan w:val="2"/>
          </w:tcPr>
          <w:p>
            <w:pPr>
              <w:jc w:val="right"/>
              <w:ind w:right="205"/>
              <w:spacing w:after="0"/>
              <w:rPr>
                <w:sz w:val="20"/>
                <w:szCs w:val="20"/>
                <w:color w:val="auto"/>
              </w:rPr>
            </w:pPr>
            <w:r>
              <w:rPr>
                <w:rFonts w:ascii="Arial" w:cs="Arial" w:eastAsia="Arial" w:hAnsi="Arial"/>
                <w:sz w:val="18"/>
                <w:szCs w:val="18"/>
                <w:color w:val="auto"/>
              </w:rPr>
              <w:t>$ 83,711</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299,311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3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80,578</w:t>
            </w:r>
          </w:p>
        </w:tc>
        <w:tc>
          <w:tcPr>
            <w:tcW w:w="13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80,578</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296,178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assets</w:t>
            </w:r>
          </w:p>
        </w:tc>
        <w:tc>
          <w:tcPr>
            <w:tcW w:w="3160" w:type="dxa"/>
            <w:vAlign w:val="bottom"/>
            <w:gridSpan w:val="3"/>
          </w:tcPr>
          <w:p>
            <w:pPr>
              <w:jc w:val="right"/>
              <w:ind w:right="180"/>
              <w:spacing w:after="0"/>
              <w:rPr>
                <w:sz w:val="20"/>
                <w:szCs w:val="20"/>
                <w:color w:val="auto"/>
              </w:rPr>
            </w:pPr>
            <w:r>
              <w:rPr>
                <w:rFonts w:ascii="Arial" w:cs="Arial" w:eastAsia="Arial" w:hAnsi="Arial"/>
                <w:sz w:val="18"/>
                <w:szCs w:val="18"/>
                <w:color w:val="auto"/>
              </w:rPr>
              <w:t>93,569</w:t>
            </w:r>
          </w:p>
        </w:tc>
        <w:tc>
          <w:tcPr>
            <w:tcW w:w="1300" w:type="dxa"/>
            <w:vAlign w:val="bottom"/>
            <w:gridSpan w:val="2"/>
          </w:tcPr>
          <w:p>
            <w:pPr>
              <w:jc w:val="right"/>
              <w:ind w:right="205"/>
              <w:spacing w:after="0"/>
              <w:rPr>
                <w:sz w:val="20"/>
                <w:szCs w:val="20"/>
                <w:color w:val="auto"/>
              </w:rPr>
            </w:pPr>
            <w:r>
              <w:rPr>
                <w:rFonts w:ascii="Arial" w:cs="Arial" w:eastAsia="Arial" w:hAnsi="Arial"/>
                <w:sz w:val="18"/>
                <w:szCs w:val="18"/>
                <w:color w:val="auto"/>
              </w:rPr>
              <w:t>93,569</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309,169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135,997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Accumulated deficit</w:t>
            </w:r>
          </w:p>
        </w:tc>
        <w:tc>
          <w:tcPr>
            <w:tcW w:w="3160" w:type="dxa"/>
            <w:vAlign w:val="bottom"/>
            <w:gridSpan w:val="3"/>
          </w:tcPr>
          <w:p>
            <w:pPr>
              <w:jc w:val="right"/>
              <w:ind w:right="120"/>
              <w:spacing w:after="0"/>
              <w:rPr>
                <w:sz w:val="20"/>
                <w:szCs w:val="20"/>
                <w:color w:val="auto"/>
              </w:rPr>
            </w:pPr>
            <w:r>
              <w:rPr>
                <w:rFonts w:ascii="Arial" w:cs="Arial" w:eastAsia="Arial" w:hAnsi="Arial"/>
                <w:sz w:val="18"/>
                <w:szCs w:val="18"/>
                <w:color w:val="auto"/>
              </w:rPr>
              <w:t>(62,542)</w:t>
            </w:r>
          </w:p>
        </w:tc>
        <w:tc>
          <w:tcPr>
            <w:tcW w:w="1300" w:type="dxa"/>
            <w:vAlign w:val="bottom"/>
            <w:gridSpan w:val="2"/>
          </w:tcPr>
          <w:p>
            <w:pPr>
              <w:jc w:val="right"/>
              <w:ind w:right="145"/>
              <w:spacing w:after="0"/>
              <w:rPr>
                <w:sz w:val="20"/>
                <w:szCs w:val="20"/>
                <w:color w:val="auto"/>
              </w:rPr>
            </w:pPr>
            <w:r>
              <w:rPr>
                <w:rFonts w:ascii="Arial" w:cs="Arial" w:eastAsia="Arial" w:hAnsi="Arial"/>
                <w:sz w:val="18"/>
                <w:szCs w:val="18"/>
                <w:color w:val="auto"/>
              </w:rPr>
              <w:t>(62,542)</w:t>
            </w:r>
          </w:p>
        </w:tc>
        <w:tc>
          <w:tcPr>
            <w:tcW w:w="7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(62,542)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 equity</w:t>
            </w:r>
          </w:p>
        </w:tc>
        <w:tc>
          <w:tcPr>
            <w:tcW w:w="3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(58,135)</w:t>
            </w:r>
          </w:p>
        </w:tc>
        <w:tc>
          <w:tcPr>
            <w:tcW w:w="13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77,862</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20" w:right="260" w:hanging="426"/>
        <w:spacing w:after="0" w:line="25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 forma column reflects the conversion of all of the outstanding preferred shares into an aggregate of 21,558,393 common shares upon completion of this offering.</w:t>
      </w:r>
    </w:p>
    <w:p>
      <w:pPr>
        <w:spacing w:after="0" w:line="1" w:lineRule="exact"/>
        <w:rPr>
          <w:rFonts w:ascii="Arial" w:cs="Arial" w:eastAsia="Arial" w:hAnsi="Arial"/>
          <w:sz w:val="18"/>
          <w:szCs w:val="18"/>
          <w:color w:val="auto"/>
        </w:rPr>
      </w:pPr>
    </w:p>
    <w:p>
      <w:pPr>
        <w:ind w:left="620" w:right="40" w:hanging="426"/>
        <w:spacing w:after="0" w:line="25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 forma as adjusted column reflects (i) the pro forma adjustments set forth above, (ii) the sale of 11,000,000 common shares in this offering at the initial public offering price of $20.00 per share, after deducting underwriting fees and commissions and estimated offering expenses payable by us, and (iii) the issuance of a warrant to an affiliate of Bristol Myers Squibb on May 26, 2020 for proceeds of $15.0 million and the automatic exercise of the warrant into an aggregate of 750,000 common shares, based on the initial public offering price of $20.00 per share. The pro forma as adjusted column excludes the $50.0 million upfront payment from Bristol Myers Squibb pursuant to the collaboration and license agreement entered into on May 26, 2020.</w:t>
      </w:r>
    </w:p>
    <w:p>
      <w:pPr>
        <w:spacing w:after="0" w:line="2" w:lineRule="exact"/>
        <w:rPr>
          <w:rFonts w:ascii="Arial" w:cs="Arial" w:eastAsia="Arial" w:hAnsi="Arial"/>
          <w:sz w:val="18"/>
          <w:szCs w:val="18"/>
          <w:color w:val="auto"/>
        </w:rPr>
      </w:pPr>
    </w:p>
    <w:p>
      <w:pPr>
        <w:ind w:left="620" w:hanging="42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Investing in our common shares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shares. The occurrence of any of the events or developments described below could harm our business, financial condition, results of operations and prospects. In such an event, the market price of our common shares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We are a preclinical-stage biopharmaceutical company founded in 2016, and our operations to date have focused primarily on raising capital, organizing and staffing our company, conducting discovery and research activities, identifying potential synthetic lethal, or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Additionally, as an organization, we have not yet demonstrated an ability to successfully complete clinical development, obtain regulatory approvals, manufacture a commercial-scale product or arrange for a third party to do so on our behalf, or conduct sales and marketing activities necessary for successful commercialization. Consequently, any predictions about our future success or viability may not be as accurate as they could be if we had a longer operating history.</w:t>
      </w:r>
    </w:p>
    <w:p>
      <w:pPr>
        <w:spacing w:after="0" w:line="19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In time, we will need to transition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Additionally, we expect our financial condition and operating results to continue to fluctuate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62"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early stages of development of our product candidates and have not yet initiated our first clinical trial. We have no products approved for commercial sale and have not generated any product revenue to date, and we are devoting substantially all of our financial resources and efforts to research and development of our product candidates including RP-3500, as well as to enhancing our SNIPRx platform. Since our inception, we have funded our operations primarily through equity financings, and have raised an aggregate of approximately $135.2 million of gross proceeds from the sale of our preferred shares.</w:t>
      </w:r>
    </w:p>
    <w:p>
      <w:pPr>
        <w:spacing w:after="0" w:line="17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have incurred significant operating losses since our inception in 2016. Our net loss was $12.6 million for the three months ended March 31, 2020 and $7.8 million, $14.3 million and $27.2 million for the years 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December 31, 2017, 2018 and 2019, respectively. As of March 31, 2020, we had an accumulated deficit of $62.5 million. We expect to continue to incur significant expenses and increasing operating losses for the foreseeable future. It could be several years, if ever, before we have a commercialized drug. We anticipate that our expenses will increase substantially if, and as, we:</w:t>
      </w:r>
    </w:p>
    <w:p>
      <w:pPr>
        <w:spacing w:after="0" w:line="89" w:lineRule="exact"/>
        <w:rPr>
          <w:sz w:val="20"/>
          <w:szCs w:val="20"/>
          <w:color w:val="auto"/>
        </w:rPr>
      </w:pPr>
    </w:p>
    <w:p>
      <w:pPr>
        <w:ind w:left="1000" w:hanging="547"/>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continue our ongoing and planned development of RP-3500, including our planned open-label Phase 1/2 clinical trial of RP-3500;</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that we may pursue in the future, including our earlier-stage programs;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identify novel SL targets, develop small molecule inhibitors of these targets, nominate and develop additional product candidates and further expand our clinical product pipeline;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for RP-3500 and any future product candidates that successfully complete clinical trials;</w:t>
      </w:r>
    </w:p>
    <w:p>
      <w:pPr>
        <w:spacing w:after="0" w:line="130"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 a portfolio of product candidates through the discovery, development, or acquisition or in-license of drugs, product candidates or technologies;</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 sales, marketing, manufacturing and distribution capability to commercialize RP-3500 and any future product candidate for which we may obtain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25"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clinical trials of RP-3500 and any future product candidates that we may pursue, obtaining regulatory approval, procuring commercial-scale manufacturing, marketing and selling RP-3500 and any future products for which we may obtain regulatory approval, as well as discovering or acquiring and then developing additional product candidates. We are only in the preliminary stages of some of these activities and have never initiated a clinical trial. We may never succeed in these activities and, even if we do, may never generate revenues that are significant enough to achieve profitability.</w:t>
      </w:r>
    </w:p>
    <w:p>
      <w:pPr>
        <w:spacing w:after="0" w:line="178"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Our expenses could increase beyond our expectations if we are required by the U.S. Food and Drug Administration, or FDA, the European Medicines Agency, or EMA, or other regulatory authorities to perform studies in addition to those we currently expect, or if there are any delays in the initiation and completion of our clinical trials or the development of RP-3500 or any future product candidates.</w:t>
      </w:r>
    </w:p>
    <w:p>
      <w:pPr>
        <w:spacing w:after="0" w:line="188"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common shares and could impair our ability to raise capital, maintain our research and development efforts, expand our business or continue our operations. A decline in the value of our common shares could also cause you to lose all or part of your investment.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To date, we have primarily funded our operations through private placements of equity securities. We expect to spend substantial amounts to advance our product candidates into clinical development and to complete the clinical development of, seek regulatory approvals for and commercialize our product candidates, if approved. We will require additional capital beyond the proceeds of this offering, which we may raise through equity offerings, debt financings, marketing and distribution arrangements and other collaborations, strategic alliances and licensing arrangements or other sources to enable us to complete the development and potential commercialization of our product candidates. Furthermore, upon the closing of this offering, we expect to incur additional costs associated with operating as a public company.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product candidate development efforts. If we are unable to raise capital when needed or on acceptable terms, we would be forced to delay, reduce or eliminate certain of our research and development programs.</w:t>
      </w:r>
    </w:p>
    <w:p>
      <w:pPr>
        <w:spacing w:after="0" w:line="18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of March 31, 2020, our cash was $83.7 million. We believe that the net proceeds from this offering, together with our existing cash on hand and the $65.0 million payment Bristol-Myers Squibb Company, or Bristol Myers Squibb, paid us in connection with our entry into the collaboration and license agreement during the second quarter of 2020, will enable us to fund our operating expenses and capital expenditure requirements at least through 2022. However, we will need to obtain substantial additional funding in connection with our continuing operations and planned activities. Our future capital requirements will depend on many factors, including:</w:t>
      </w:r>
    </w:p>
    <w:p>
      <w:pPr>
        <w:spacing w:after="0" w:line="93" w:lineRule="exact"/>
        <w:rPr>
          <w:sz w:val="20"/>
          <w:szCs w:val="20"/>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scope, progress, results and costs of our research programs and preclinical development of other product candidates that we may pursue;</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00" w:right="46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establishing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RP-3500 and any future product candidates for which we receive marketing approval;</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RP-3500 and any future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terminate our research and development programs or future commercialization efforts.</w:t>
      </w:r>
    </w:p>
    <w:p>
      <w:pPr>
        <w:spacing w:after="0" w:line="286"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dilution to our shareholders, including purchasers of our common shares in this offering, restrict our operations or require us to relinquish rights to our product candidates.</w:t>
      </w:r>
    </w:p>
    <w:p>
      <w:pPr>
        <w:spacing w:after="0" w:line="62"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jc w:val="both"/>
        <w:ind w:left="460" w:right="20"/>
        <w:spacing w:after="0" w:line="311" w:lineRule="auto"/>
        <w:rPr>
          <w:sz w:val="20"/>
          <w:szCs w:val="20"/>
          <w:color w:val="auto"/>
        </w:rPr>
      </w:pPr>
      <w:r>
        <w:rPr>
          <w:rFonts w:ascii="Arial" w:cs="Arial" w:eastAsia="Arial" w:hAnsi="Arial"/>
          <w:sz w:val="16"/>
          <w:szCs w:val="16"/>
          <w:b w:val="1"/>
          <w:bCs w:val="1"/>
          <w:i w:val="1"/>
          <w:iCs w:val="1"/>
          <w:color w:val="auto"/>
        </w:rPr>
        <w:t>We are very early in our development efforts. All of our product candidates are in preclinical development. If we are unable to advance RP-3500 or any of our other product candidates into and through clinical development, obtain regulatory approval and ultimately commercialize RP-3500 or any of our other product candidates, or experience significant delays in doing so, our business will be materially harmed.</w:t>
      </w:r>
    </w:p>
    <w:p>
      <w:pPr>
        <w:spacing w:after="0" w:line="4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All of our product candidates are still in preclinical development. We have no products approved for sale and our lead product candidate, RP-3500, is not yet in clinical development and will require clinical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development, regulatory review and approval in each jurisdiction in which we intend to market it, access to sufficient commercial manufacturing capacity, and significant sales and marketing efforts before we can generate any revenue from product sales. Our ability to generate product revenues, which we do not expect will occur for many years, if ever, will depend heavily on the successful clinical development and eventual commercialization of RP-3500 and one or more of our other product candidates. The success of our product candidates will depend on several factors, including the following:</w:t>
      </w:r>
    </w:p>
    <w:p>
      <w:pPr>
        <w:spacing w:after="0" w:line="63" w:lineRule="exact"/>
        <w:rPr>
          <w:sz w:val="20"/>
          <w:szCs w:val="20"/>
          <w:color w:val="auto"/>
        </w:rPr>
      </w:pPr>
    </w:p>
    <w:p>
      <w:pPr>
        <w:ind w:left="1000" w:hanging="547"/>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successful completion of preclinical studies, including the identification of clinical candidates for each of our preclinical programs;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approval of investigational new drug, or IND, applications for our planned clinical trials or future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the FDA, EMA or foreign regulatory authority of our development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30"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EMA or any foreign regulatory authority for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products following approval.</w:t>
      </w:r>
    </w:p>
    <w:p>
      <w:pPr>
        <w:spacing w:after="0" w:line="225"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There is no guarantee that the results obtained in current preclinical studies, our planned open-label Phase 1/2 clinical trial of RP-3500 or any future clinical trials of any product candidate will be sufficient to obtain regulatory approval or marketing authorization for such product candidate.</w:t>
      </w:r>
    </w:p>
    <w:p>
      <w:pPr>
        <w:spacing w:after="0" w:line="14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If we are unable to develop, receive regulatory approval for, or successfully commercialize our current or future product candidates, or if we experience delays as a result of any of these risks or otherwise, our business could be materially harmed.</w:t>
      </w:r>
    </w:p>
    <w:p>
      <w:pPr>
        <w:spacing w:after="0" w:line="295" w:lineRule="exact"/>
        <w:rPr>
          <w:sz w:val="20"/>
          <w:szCs w:val="20"/>
          <w:color w:val="auto"/>
        </w:rPr>
      </w:pPr>
    </w:p>
    <w:p>
      <w:pPr>
        <w:ind w:left="460" w:right="300"/>
        <w:spacing w:after="0" w:line="340" w:lineRule="auto"/>
        <w:rPr>
          <w:sz w:val="20"/>
          <w:szCs w:val="20"/>
          <w:color w:val="auto"/>
        </w:rPr>
      </w:pPr>
      <w:r>
        <w:rPr>
          <w:rFonts w:ascii="Arial" w:cs="Arial" w:eastAsia="Arial" w:hAnsi="Arial"/>
          <w:sz w:val="15"/>
          <w:szCs w:val="15"/>
          <w:b w:val="1"/>
          <w:bCs w:val="1"/>
          <w:i w:val="1"/>
          <w:iCs w:val="1"/>
          <w:color w:val="auto"/>
        </w:rPr>
        <w:t>Our business substantially depends upon the successful development of product candidates generated through the application of our SNIPRx platform, and in particular, our lead product candidate, RP-3500. If we are unable to obtain regulatory approval for, and successfully commercialize, products developed through the application of our SNIPRx platform, our business may be materially harmed.</w:t>
      </w:r>
    </w:p>
    <w:p>
      <w:pPr>
        <w:spacing w:after="0" w:line="23"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Our lead product candidate, RP-3500, was developed through the application of our SNIPRx platform. All of our product candidates to date were derived based on the same principle of SL. As such, negative results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development of RP-3500 may also impact our ability to obtain regulatory approval for our other product candidates, either at all or within anticipated timeframes because, although other product candidates may target different indications, the underlying technology platform, manufacturing process and development process is the same for all of our product candidates. Accordingly, a failure in any one program may decrease trust in our technology and affect the ability to obtain regulatory approval to continue or conduct clinical programs for other product candidates. If RP-3500 shows unexpected adverse events or a lack of efficacy in the indications we intend to treat, or if we experience other regulatory or developmental issues, our development plans and business could be significantly harmed.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no experience as a company in conducting clinical trials.</w:t>
      </w:r>
    </w:p>
    <w:p>
      <w:pPr>
        <w:spacing w:after="0" w:line="117"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We have no experience as a company in conducting clinical trials. In part because of this lack of experience, we cannot be certain that our ongoing preclinical studies will be completed on time or if the planned preclinical studies and clinical trials will begin or be completed on time, if at all. Large-scale clinical trials would require significant additional financial and management resources and reliance on third-party clinical investigators, contract research organizations, or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RP-3500, we recently entered into a clinical services agreement, and may in the future enter into master services agreement, with a CRO to lead our first-in-human planned Phase 1/2 clinical trial. There can be no assurance that we will be able to negotiate and enter into any additional master services agreement with other CROs, as necessary, on terms that are acceptable to us on a timely basis or at all.</w:t>
      </w:r>
    </w:p>
    <w:p>
      <w:pPr>
        <w:spacing w:after="0" w:line="27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6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plan to submit an IND for RP-3500 in the second quarter of 2020, but we may not be able to file INDs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285"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b w:val="1"/>
          <w:bCs w:val="1"/>
          <w:i w:val="1"/>
          <w:iCs w:val="1"/>
          <w:color w:val="auto"/>
        </w:rPr>
        <w:t>The effects of health epidemics, including the recent COVID-19 coronavirus pandemic, in regions where we, or the third parties on which we rely, have business operations could adversely impact our business, including our preclinical studies and clinical trials. The COVID-19 pandemic could materially affect our operations, including at our offices in Montréal and in the Boston Metro Area, which are currently subject to executive orders, and at our clinical trial sites, as well as the business or operations of our CROs or other third parties with whom we conduct business.</w:t>
      </w:r>
    </w:p>
    <w:p>
      <w:pPr>
        <w:spacing w:after="0" w:line="80"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Our business could be adversely affected by health epidemics in regions where we have concentrations of clinical trial sites or other business operations, and could cause significant disruption in the operations of third party manufacturers and CROs upon whom we rely. In December 2019, a novel strain of coronavirus, COVID-19, was reported to have surfaced in Wuhan, China. Since then, COVID-19 coronavirus has spread to multiple countries, including the United States, Canada and several European countries. Our company headquarters is located in Montréal, our U.S. headquarters is located in the Boston Metro Area, and our CROs and CMOs are located in the United States and abroad. In March 2020, the World Health Organization declared the COVID-19 outbreak a pandemic, and the U.S. government imposed travel restrictions on travel between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United States, Europe and certain other countries. Further, the President of the United States declared the COVID-19 pandemic a national emergency, invoking powers under the Stafford Act, the legislation that directs federal emergency disaster response. In addition, on March 23, 2020, the Governor of Massachusetts ordered all individuals living in the Commonwealth of Massachusetts to stay at their place of residence for an indefinite period of time (subject to certain exceptions to facilitate authorized necessary activities) to mitigate the impact of the COVID-19 pandemic. The executive order exempts certain individuals needed to maintain continuity of operations of critical infrastructure sectors as determined by the federal government, and the Governor has clarified to MassBio that all biopharma research and development is essential and exempt. Similar orders and exemptions were also implemented by the Québec provincial government in March 2020.</w:t>
      </w:r>
    </w:p>
    <w:p>
      <w:pPr>
        <w:spacing w:after="0" w:line="17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In response to these public health directives and orders, we have implemented work-from-home policies to support the community efforts to reduce the transmission of COVID-19 and protect employees, complying with guidance from federal, state/provincial or municipal government and health authorities. We implemented a number of measures to ensure employee safety and business continuity. Employees who can work from home have been doing so, while those needing to work in laboratory facilities are divided into shifts to reduce the number of people gathered together at one time. Business travel has been suspended, and online and teleconference technology is used to meet virtually rather than in person. We have taken measures to secure our research and development project activities, while work in laboratories and facilities has been organized to reduce risk of COVID-19 transmission.</w:t>
      </w:r>
    </w:p>
    <w:p>
      <w:pPr>
        <w:spacing w:after="0" w:line="16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effects of the executive orders and our work-from-home policies may negatively impact productivity, disrupt our business and delay our clinical programs and timelines (for example, our timeline for RP-3500),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87" w:lineRule="exact"/>
        <w:rPr>
          <w:sz w:val="20"/>
          <w:szCs w:val="20"/>
          <w:color w:val="auto"/>
        </w:rPr>
      </w:pPr>
    </w:p>
    <w:p>
      <w:pPr>
        <w:jc w:val="both"/>
        <w:ind w:right="300" w:firstLine="449"/>
        <w:spacing w:after="0" w:line="286"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addition, our planned clinical trials may be affected by the COVID-19 pandemic, including:</w:t>
      </w:r>
    </w:p>
    <w:p>
      <w:pPr>
        <w:spacing w:after="0" w:line="131" w:lineRule="exact"/>
        <w:rPr>
          <w:sz w:val="20"/>
          <w:szCs w:val="20"/>
          <w:color w:val="auto"/>
        </w:rPr>
      </w:pPr>
    </w:p>
    <w:p>
      <w:pPr>
        <w:ind w:left="1000" w:right="2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including patients that may not be able or willing to comply with clinical trial protocols if quarantines impede patient movement or interrupt healthcare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delays or difficulties in clinical site initiation, including difficulties in recruiting and retaining clinical site investigators and clinical site staff;</w:t>
      </w:r>
    </w:p>
    <w:p>
      <w:pPr>
        <w:spacing w:after="0" w:line="153" w:lineRule="exact"/>
        <w:rPr>
          <w:rFonts w:ascii="Arial" w:cs="Arial" w:eastAsia="Arial" w:hAnsi="Arial"/>
          <w:sz w:val="16"/>
          <w:szCs w:val="16"/>
          <w:color w:val="auto"/>
        </w:rPr>
      </w:pPr>
    </w:p>
    <w:p>
      <w:pPr>
        <w:ind w:left="1000" w:right="28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being forced to quarantine or being unable to visit clinical trial locations or otherwise comply with clinical trial protocols;</w:t>
      </w:r>
    </w:p>
    <w:p>
      <w:pPr>
        <w:spacing w:after="0" w:line="75" w:lineRule="exact"/>
        <w:rPr>
          <w:rFonts w:ascii="Arial" w:cs="Arial" w:eastAsia="Arial" w:hAnsi="Arial"/>
          <w:sz w:val="18"/>
          <w:szCs w:val="18"/>
          <w:color w:val="auto"/>
        </w:rPr>
      </w:pPr>
    </w:p>
    <w:p>
      <w:pPr>
        <w:ind w:left="1000" w:hanging="547"/>
        <w:spacing w:after="0" w:line="286"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w:t>
      </w:r>
    </w:p>
    <w:p>
      <w:pPr>
        <w:spacing w:after="0" w:line="70" w:lineRule="exact"/>
        <w:rPr>
          <w:rFonts w:ascii="Arial" w:cs="Arial" w:eastAsia="Arial" w:hAnsi="Arial"/>
          <w:sz w:val="17"/>
          <w:szCs w:val="17"/>
          <w:color w:val="auto"/>
        </w:rPr>
      </w:pPr>
    </w:p>
    <w:p>
      <w:pPr>
        <w:ind w:left="1000" w:right="52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of our clinical supply chain or key clinical trial activities, such as clinical trial site monitoring, due to limitations on travel imposed or recommended by federal, state/provincial or municipal governments, employers and others;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6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0"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For our clinical trials that we expect to conduct at sites outside the United States, particularly in countries which are experiencing heightened impact from the COVID-19 coronavirus, in addition to the risks listed above, we may also experience the following adverse impacts:</w:t>
      </w:r>
    </w:p>
    <w:p>
      <w:pPr>
        <w:spacing w:after="0" w:line="52" w:lineRule="exact"/>
        <w:rPr>
          <w:sz w:val="20"/>
          <w:szCs w:val="20"/>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comparator drugs used in our clinical trials;</w:t>
      </w:r>
    </w:p>
    <w:p>
      <w:pPr>
        <w:spacing w:after="0" w:line="75" w:lineRule="exact"/>
        <w:rPr>
          <w:rFonts w:ascii="Arial" w:cs="Arial" w:eastAsia="Arial" w:hAnsi="Arial"/>
          <w:sz w:val="18"/>
          <w:szCs w:val="18"/>
          <w:color w:val="auto"/>
        </w:rPr>
      </w:pPr>
    </w:p>
    <w:p>
      <w:pPr>
        <w:ind w:left="1000" w:right="140" w:hanging="547"/>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federal, state/provincial or municipal regulations as part of a response to the COVID-19 coronavirus outbreak which may require us to change the ways in which our clinical trials are conducted, which may result in unexpected costs, or to discontinue the clinical trials altogether;</w:t>
      </w:r>
    </w:p>
    <w:p>
      <w:pPr>
        <w:spacing w:after="0" w:line="89"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refusal of the FDA to accept data from clinical trials in these affected geographies.</w:t>
      </w:r>
    </w:p>
    <w:p>
      <w:pPr>
        <w:spacing w:after="0" w:line="225"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global outbreak of the COVID-19 coronavirus continues to rapidly evolve. The extent to which the COVID-19 coronavirus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Canada and other countries, business closures or business disruptions and the effectiveness of actions taken in the United States, Canada and other countries to contain and treat the disease.</w:t>
      </w:r>
    </w:p>
    <w:p>
      <w:pPr>
        <w:spacing w:after="0" w:line="29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successful development of targeted therapeutics, including our portfolio of SL small molecule inhibitors, as well as any related diagnostics, is highly uncertain.</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Successful development of targeted therapeutics, such as our portfolio of SL small molecule inhibitors, as well as any related diagnostics, is highly uncertain and is dependent on numerous factors, many of which are beyond our control. Our SNIPRx platform is based on new technologies and methods relating to precision target and biomarker identification, screening and validation. While we believe our clinical development approach of RP-3500 will eventually provide validation of our SNIPRx platform, we have not, to date, sought regulatory approval for RP-3500 or any therapeutics developed through our platform. As such, it is difficult to accurately predict the developmental challenges we may incur for our current and future product candidates as we proceed through product discovery, identification, preclinical studies and clinical trials.</w:t>
      </w:r>
    </w:p>
    <w:p>
      <w:pPr>
        <w:spacing w:after="0" w:line="178"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Our SNIPRx platform is novel and may not be effective at identifying SL targets for product candidates. We therefore cannot provide any assurance that we will be able to successfully identify additional novel targets or product candidates, advance any of these additional product candidates or diagnostics for their associated biomarkers through the development process. Most of our proposed targets are unproven in clinical trials and there is no guarantee that the preclinical data will translate into a clinical relevance of such novel biomarkers and targets.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Targeted therapeutics that appear promising in the early phases of development may fail to reach the market for several reasons, including:</w:t>
      </w:r>
    </w:p>
    <w:p>
      <w:pPr>
        <w:spacing w:after="0" w:line="142" w:lineRule="exact"/>
        <w:rPr>
          <w:sz w:val="20"/>
          <w:szCs w:val="20"/>
          <w:color w:val="auto"/>
        </w:rPr>
      </w:pPr>
    </w:p>
    <w:p>
      <w:pPr>
        <w:ind w:left="1000" w:right="42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research or preclinical studies may show our targeted small molecule inhibitors or antagonists to be less effective than desired or to have harmful or problematic side effects or toxicities;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accurately identify, validate or develop clinically relevant biomarkers for our targeted therapeutic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trial results may show our targeted therapeutic small molecule inhibitors to be less effective than expected based on preclinical studies (e.g., a clinical trial could fail to meet its primary endpoint(s)) or to have unacceptable side effects or toxicities;</w:t>
      </w:r>
    </w:p>
    <w:p>
      <w:pPr>
        <w:spacing w:after="0" w:line="75" w:lineRule="exact"/>
        <w:rPr>
          <w:rFonts w:ascii="Arial" w:cs="Arial" w:eastAsia="Arial" w:hAnsi="Arial"/>
          <w:sz w:val="18"/>
          <w:szCs w:val="18"/>
          <w:color w:val="auto"/>
        </w:rPr>
      </w:pPr>
    </w:p>
    <w:p>
      <w:pPr>
        <w:ind w:left="1000" w:right="380" w:hanging="547"/>
        <w:spacing w:after="0" w:line="259"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preparation of IND applications, discussions with the FDA, an FDA request for additional preclinical or clinical data, or unexpected safety or manufacturing issues;</w:t>
      </w:r>
    </w:p>
    <w:p>
      <w:pPr>
        <w:spacing w:after="0" w:line="92"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costs, formulation issues, pricing or reimbursement issues, or other factors that may make our targeted therapeutic small molecule inhibitors uneconomical;</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of the patient population that have disease with the appropriate biomarkers for which we are developing our product candidates may not be large enough to support commercial viability of our product candidates, if approved;</w:t>
      </w:r>
    </w:p>
    <w:p>
      <w:pPr>
        <w:spacing w:after="0" w:line="75" w:lineRule="exact"/>
        <w:rPr>
          <w:rFonts w:ascii="Arial" w:cs="Arial" w:eastAsia="Arial" w:hAnsi="Arial"/>
          <w:sz w:val="18"/>
          <w:szCs w:val="18"/>
          <w:color w:val="auto"/>
        </w:rPr>
      </w:pPr>
    </w:p>
    <w:p>
      <w:pPr>
        <w:ind w:left="1000" w:right="700" w:hanging="547"/>
        <w:spacing w:after="0" w:line="342"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proprietary rights of others and their competing products and technologies that may prevent our targeted therapeutic small molecule inhibitors, or the diagnostics for biomarkers associated with such small molecule inhibitors, from being commercialized;</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development of alternative treatments or evolution in the standard of care for our targets may make our drugs less attractive; and</w:t>
      </w:r>
    </w:p>
    <w:p>
      <w:pPr>
        <w:spacing w:after="0" w:line="142" w:lineRule="exact"/>
        <w:rPr>
          <w:rFonts w:ascii="Arial" w:cs="Arial" w:eastAsia="Arial" w:hAnsi="Arial"/>
          <w:sz w:val="17"/>
          <w:szCs w:val="17"/>
          <w:color w:val="auto"/>
        </w:rPr>
      </w:pPr>
    </w:p>
    <w:p>
      <w:pPr>
        <w:ind w:left="1000" w:right="4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approach of using any of our product candidates in combination with other agents, including standard of care agents, may not materialize due to overlapping toxicity, high cost or an inability to replicate preclinical results in clinical trials.</w:t>
      </w:r>
    </w:p>
    <w:p>
      <w:pPr>
        <w:spacing w:after="0" w:line="170"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As a result of these factors, it is more difficult for us to predict the time and cost of product candidate development, and we cannot predict whether the application of our SNIPRx platform will result in the identification, development, and regulatory approval of any products.</w:t>
      </w:r>
    </w:p>
    <w:p>
      <w:pPr>
        <w:spacing w:after="0" w:line="254"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62" w:lineRule="exact"/>
        <w:rPr>
          <w:sz w:val="20"/>
          <w:szCs w:val="20"/>
          <w:color w:val="auto"/>
        </w:rPr>
      </w:pPr>
    </w:p>
    <w:p>
      <w:pPr>
        <w:ind w:right="120" w:firstLine="449"/>
        <w:spacing w:after="0" w:line="289" w:lineRule="auto"/>
        <w:rPr>
          <w:sz w:val="20"/>
          <w:szCs w:val="20"/>
          <w:color w:val="auto"/>
        </w:rPr>
      </w:pPr>
      <w:r>
        <w:rPr>
          <w:rFonts w:ascii="Arial" w:cs="Arial" w:eastAsia="Arial" w:hAnsi="Arial"/>
          <w:sz w:val="16"/>
          <w:szCs w:val="16"/>
          <w:color w:val="auto"/>
        </w:rPr>
        <w:t>We may not commercialize, market, promote or sell any product candidate without obtaining marketing approval from the FDA, EMA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Competing clinical trials for the same populations targeted as ours may limit our enrollment, or the results of competitors with similar technologies and products may falsely undermine the potential of our SNIPRx platform.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6"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marketing approval or commercialize RP-3500 and any future product candidates, including:</w:t>
      </w:r>
    </w:p>
    <w:p>
      <w:pPr>
        <w:spacing w:after="0" w:line="76" w:lineRule="exact"/>
        <w:rPr>
          <w:sz w:val="20"/>
          <w:szCs w:val="20"/>
          <w:color w:val="auto"/>
        </w:rPr>
      </w:pPr>
    </w:p>
    <w:p>
      <w:pPr>
        <w:ind w:left="5540" w:right="2420" w:hanging="5087"/>
        <w:spacing w:after="0" w:line="449" w:lineRule="auto"/>
        <w:tabs>
          <w:tab w:leader="none" w:pos="10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design or implementation of our clinical trials; 23</w:t>
      </w:r>
    </w:p>
    <w:p>
      <w:pPr>
        <w:sectPr>
          <w:pgSz w:w="11900" w:h="16838" w:orient="portrait"/>
          <w:cols w:equalWidth="0" w:num="1">
            <w:col w:w="11200"/>
          </w:cols>
          <w:pgMar w:left="320" w:top="45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8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30"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patients may drop out of these clinical trials at a higher rate than we anticipate or fail to return for post-treatment follow-up or we may fail to recruit suitable patients to participate in a trial;</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our combination trials due to lack of access to the drugs with which we are testing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30"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external business disruptions affecting the initiation, patient enrollment, development and operation of our clinical trials, including a public health emergency, such as the recent global outbreak of the COVID-19 coronavirus;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225"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from future drug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drugs to market before we do, which could impair our ability to successfully commercialize our product candidates and may harm our business, financial condition, results of operations and prospects.</w:t>
      </w:r>
    </w:p>
    <w:p>
      <w:pPr>
        <w:spacing w:after="0" w:line="192"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76" w:lineRule="exact"/>
        <w:rPr>
          <w:sz w:val="20"/>
          <w:szCs w:val="20"/>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 are very expensive, time consuming and difficult to design and implement.</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Our product candidates will require clinical testing before we are prepared to submit a new drug application, or NDA, or equivalent application required in another jurisdiction for regulatory approval. We cannot predict with any certainty if or when we might submit an NDA or equivalent application required in another jurisdiction for regulatory approval for any of our product candidates or whether any such application will be approved by the FDA or other comparable regulatory authority, as applicable. Human clinical trials are very expensive and difficult to design and implement, in part because they are subject to rigorous regulatory requirements. For instance, the FDA or other comparable regulatory authority may not agree with our proposed endpoints for any future clinical trial of our product candidates, which may delay the commencement of our clinical trials. In addition, we may not succeed in developing and validating disease-relevant clinical endpoints based on insights regarding biological pathways for the diseases we are studying. The clinical trial process is also time consuming. We estimate that the successful completion of clinical trials for RP-3500 and any future product candidates will take several years to complete. Furthermore, failure can occur at any stage, and we could encounter problems that cause us to abandon or repeat clinical trials.</w:t>
      </w:r>
    </w:p>
    <w:p>
      <w:pPr>
        <w:spacing w:after="0" w:line="274"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38"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We have not yet initiated our first clinical trial, a planned open-label Phase 1/2 clinical trial of RP-3500. Success in preclinical testing and earlier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We have limited experience designing clinical trials and may be unable to design and execute a clinical trial to support regulatory approval. There is a high failure rate for drugs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These setbacks have been caused by, among other things, preclinical findings made while clinical trials were underway or safety or efficacy observations made in clinical trials, including previously unreported adverse events. Additionally, we plan on pursuing tumor agnostic clinical development in our trials of RP-3500. However, anti-tumor activity may be different in each of the different tumor types we plan on evaluating in the clinical trial. Therefore, even though we plan on pursuing tumor agnostic clinical development of RP-3500, the tumor response may be low or clinically insignificant in patients with some cancers compared to others. This may result in discontinuation of development of RP-3500 as a monotherapy for patients with these tumor types due to insufficient clinical benefit while continuing development for a more limited population of patients more likely to benefit. As a consequence, we may need to start combination therapies or we may have to negotiate with the FDA to reach agreement on defining the optimal patient population, study design and size in order to obtain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regulatory approval, any of which may require significant additional resources and delay the timing of our clinical trials and ultimately the approval, if any, of any of our product candidates.</w:t>
      </w:r>
    </w:p>
    <w:p>
      <w:pPr>
        <w:spacing w:after="0" w:line="170" w:lineRule="exact"/>
        <w:rPr>
          <w:sz w:val="20"/>
          <w:szCs w:val="20"/>
          <w:color w:val="auto"/>
        </w:rPr>
      </w:pPr>
    </w:p>
    <w:p>
      <w:pPr>
        <w:ind w:right="200" w:firstLine="449"/>
        <w:spacing w:after="0" w:line="287" w:lineRule="auto"/>
        <w:rPr>
          <w:sz w:val="20"/>
          <w:szCs w:val="20"/>
          <w:color w:val="auto"/>
        </w:rPr>
      </w:pPr>
      <w:r>
        <w:rPr>
          <w:rFonts w:ascii="Arial" w:cs="Arial" w:eastAsia="Arial" w:hAnsi="Arial"/>
          <w:sz w:val="16"/>
          <w:szCs w:val="16"/>
          <w:color w:val="auto"/>
        </w:rPr>
        <w:t>In addition, differences in trial design between early-stage clinical trials and later-stage clinical trials make it difficult to extrapolate the results of earlier clinical trials to later clinical trials. The early trials will be single arm and not comparing the results with existing (or new) standard of care. Moreover, clinical data are often susceptible to varying interpretations and analyses, and many companies that have believed their product candidates performed satisfactorily in clinical trials have nonetheless failed to obtain marketing approval of their products or had to withdraw the product after comparator or later stage trials delivered results. Additionally, some of our trials may be open-label studies, where both the patient and investigator know whether the patient is receiving the investigational product candidate or either an existing approved drug, introducing bias in early interpretation of the results.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72"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Data obtained from preclinical and clinical activities are subject to varying interpretations, which may delay, limit or prevent regulatory approval. Moreover, as the development of the SL pair, ATM-ATR, is still early, any clinical validation to the SL approach to treating cancer may or may not validate our approach.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96"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shares to fluctuate significantly.</w:t>
      </w:r>
    </w:p>
    <w:p>
      <w:pPr>
        <w:spacing w:after="0" w:line="300" w:lineRule="exact"/>
        <w:rPr>
          <w:sz w:val="20"/>
          <w:szCs w:val="20"/>
          <w:color w:val="auto"/>
        </w:rPr>
      </w:pPr>
    </w:p>
    <w:p>
      <w:pPr>
        <w:ind w:left="460" w:right="16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76"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6"/>
          <w:szCs w:val="16"/>
          <w:color w:val="auto"/>
        </w:rPr>
        <w:t>The length of time necessary to complete clinical trials and to submit an application for marketing approval for a decision by a regulatory authority may be difficult to predict for targeted therapeutic small molecule inhibitors, in large part because of the limited regulatory history associated with them. The clinical trial requirements of the FDA and other comparable foreign regulatory authorities and the criteria these regulators use to determine the safety and efficacy of a product candidate vary substantially according to the type, complexity, novelty and intended use and market of the product candidate.</w:t>
      </w:r>
    </w:p>
    <w:p>
      <w:pPr>
        <w:spacing w:after="0" w:line="1" w:lineRule="exact"/>
        <w:rPr>
          <w:sz w:val="20"/>
          <w:szCs w:val="20"/>
          <w:color w:val="auto"/>
        </w:rPr>
      </w:pPr>
    </w:p>
    <w:p>
      <w:pPr>
        <w:jc w:val="center"/>
        <w:ind w:right="360"/>
        <w:spacing w:after="0" w:line="433" w:lineRule="auto"/>
        <w:rPr>
          <w:sz w:val="20"/>
          <w:szCs w:val="20"/>
          <w:color w:val="auto"/>
        </w:rPr>
      </w:pPr>
      <w:r>
        <w:rPr>
          <w:rFonts w:ascii="Arial" w:cs="Arial" w:eastAsia="Arial" w:hAnsi="Arial"/>
          <w:sz w:val="18"/>
          <w:szCs w:val="18"/>
          <w:color w:val="auto"/>
        </w:rPr>
        <w:t>There is a limited history of multi-tumor indications, and any regulatory approvals may be conditioned upon confirmatory trials with clinical endpoints 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such as survival. Such trials are not only more expensive to conduct but take several years to complete. Increasing pressure from reimbursement bodies may result in poor (or no) acceptance of early trials for reimbursement. Except for certain PARP inhibitors, no products based on SL have been approved to date by regulators. As a result, the regulatory approval process for product candidates such as ours is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product candidates in either the United States or other comparable regions of the world or how long it will take to commercialize our product candidates. Delay or failure to obtain, or unexpected costs in obtaining, the regulatory approval necessary to bring a potential product candidate to market would adversely affect our business, financial condition, results of operations and prospects.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3" w:lineRule="exact"/>
        <w:rPr>
          <w:rFonts w:ascii="Arial" w:cs="Arial" w:eastAsia="Arial" w:hAnsi="Arial"/>
          <w:sz w:val="16"/>
          <w:szCs w:val="16"/>
          <w:color w:val="auto"/>
        </w:rPr>
      </w:pPr>
    </w:p>
    <w:p>
      <w:pPr>
        <w:ind w:left="1000" w:right="34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or elsewhere;</w:t>
      </w:r>
    </w:p>
    <w:p>
      <w:pPr>
        <w:spacing w:after="0" w:line="75" w:lineRule="exact"/>
        <w:rPr>
          <w:rFonts w:ascii="Arial" w:cs="Arial" w:eastAsia="Arial" w:hAnsi="Arial"/>
          <w:sz w:val="18"/>
          <w:szCs w:val="18"/>
          <w:color w:val="auto"/>
        </w:rPr>
      </w:pPr>
    </w:p>
    <w:p>
      <w:pPr>
        <w:ind w:left="1000" w:right="92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Prior to obtaining approval to commercialize a product candidate in the United States or elsewhere, we or our collaborators must demonstrate with substantial evidence from well-controlled clinical trials, and to the satisfaction of the FDA or comparable foreign regulatory agencies,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or comparable foreign regulatory authorities. The FDA may also require us to conduct additional preclinical studies or clinical trials for our product candidates either prior to or post-approval, or it may object to elements of our clinical development program. Depending on the extent of these or any other studies required by the FDA or comparable foreign regulatory authorities, approval of any regulatory approval applications that we submit may be delayed by several years, or may require us to expend significantly more resources than we have available.</w:t>
      </w:r>
    </w:p>
    <w:p>
      <w:pPr>
        <w:spacing w:after="0" w:line="178"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Of the large number of potential products in development, only a small percentage successfully complete the FDA or comparable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impose significant limitations in the form of narrow indications, warnings, or a post-marketing risk management strategy such as a REMS or the equivalent in another jurisdiction. Regulatory authorities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300" w:lineRule="exact"/>
        <w:rPr>
          <w:sz w:val="20"/>
          <w:szCs w:val="20"/>
          <w:color w:val="auto"/>
        </w:rPr>
      </w:pPr>
    </w:p>
    <w:p>
      <w:pPr>
        <w:ind w:left="460" w:right="100"/>
        <w:spacing w:after="0" w:line="263" w:lineRule="auto"/>
        <w:rPr>
          <w:sz w:val="20"/>
          <w:szCs w:val="20"/>
          <w:color w:val="auto"/>
        </w:rPr>
      </w:pPr>
      <w:r>
        <w:rPr>
          <w:rFonts w:ascii="Arial" w:cs="Arial" w:eastAsia="Arial" w:hAnsi="Arial"/>
          <w:sz w:val="18"/>
          <w:szCs w:val="18"/>
          <w:b w:val="1"/>
          <w:bCs w:val="1"/>
          <w:i w:val="1"/>
          <w:iCs w:val="1"/>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76" w:lineRule="exact"/>
        <w:rPr>
          <w:sz w:val="20"/>
          <w:szCs w:val="20"/>
          <w:color w:val="auto"/>
        </w:rPr>
      </w:pPr>
    </w:p>
    <w:p>
      <w:pPr>
        <w:ind w:right="100" w:firstLine="449"/>
        <w:spacing w:after="0" w:line="268" w:lineRule="auto"/>
        <w:rPr>
          <w:sz w:val="20"/>
          <w:szCs w:val="20"/>
          <w:color w:val="auto"/>
        </w:rPr>
      </w:pPr>
      <w:r>
        <w:rPr>
          <w:rFonts w:ascii="Arial" w:cs="Arial" w:eastAsia="Arial" w:hAnsi="Arial"/>
          <w:sz w:val="17"/>
          <w:szCs w:val="17"/>
          <w:color w:val="auto"/>
        </w:rPr>
        <w:t>Aside from PARP inhibitors, such as Lynparza, Rubraca, Zejula and Talzenna, no SL small molecule inhibitor therapeutics have been approved to date by the FDA or other comparable regulators. Adverse events in future clinical trials of our product candidates or in clinical trials of others developing similar products and the resulting publicity, as well as any other adverse events in the field of SL, or other products that are perceived to be similar to SL, such as those related to gene therapy or gene editing, could result in a decrease in the perceived benefit of one or more of our programs, increased regulatory scrutiny, decreased confidence by patients and CROs in our product candidates, and less demand for any product that we may develop. Our pipeline of SL small molecule inhibitor product candidates could result in a greater quantity of reportable adverse events or other reportable negative clinical outcomes, manufacturing reportable events or material clinical events that could lead to clinical delays or holds by the FDA or applicable regulatory authority or other clinical delays, any of which could negatively impact the perception of one or more of our SL programs, as well as our business as a whole. In addition, responses by U.S. federal or foreign governments to negative public perception may result in new legislation or regulations that could limit our ability to develop any product candidates or commercialize any approved products,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of our product candidates and commercialization of any approved products or demand for any products we may develop.</w:t>
      </w:r>
    </w:p>
    <w:p>
      <w:pPr>
        <w:spacing w:after="0" w:line="186"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We may not be successful in applying our SNIPRx platform to discover SL targets with therapeutic and commercial potential or in the discovery and development of commercially viable product candidates for us or our collaborators.</w:t>
      </w:r>
    </w:p>
    <w:p>
      <w:pPr>
        <w:spacing w:after="0" w:line="62"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scientific approach focuses on applying our proprietary SNIPRx platform to identify SL targets across the human genome. Our drug discovery team then chooses targets identified by SNIPRx and develops potent and selective inhibitors of these targets. We use these inhibitors to further validate our SL findings before advancing them into clinical development.</w:t>
      </w:r>
    </w:p>
    <w:p>
      <w:pPr>
        <w:spacing w:after="0" w:line="18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believe the results of our SNIPRx screen campaigns suggest that our platform is capable of identifying high quality product candidates, but past success in identifying potential product candidates does not assure future success for us with our internal drug discovery programs. Our SNIPRx platform is novel, and we may not succeed in applying our SNIPRx platform to identify targets for product candidates. We therefore cannot provide any assurance that we or our collaborators will be able to successfully identify additional product candidates or advance any of these additional product candidates. In addition, others may have discovered and prosecuted targets that we believe are undiscovered. As a result of these factors, it is more difficult for us to predict the time and cost of product candidate development, and we cannot predict whether the application of our SNIPRx platform will result in the identification, development, and regulatory approval of any products. In addition, we may not succeed in applying our STEP</w:t>
      </w:r>
      <w:r>
        <w:rPr>
          <w:rFonts w:ascii="Arial" w:cs="Arial" w:eastAsia="Arial" w:hAnsi="Arial"/>
          <w:sz w:val="14"/>
          <w:szCs w:val="14"/>
          <w:color w:val="auto"/>
        </w:rPr>
        <w:t>2</w:t>
      </w:r>
      <w:r>
        <w:rPr>
          <w:rFonts w:ascii="Arial" w:cs="Arial" w:eastAsia="Arial" w:hAnsi="Arial"/>
          <w:sz w:val="17"/>
          <w:szCs w:val="17"/>
          <w:color w:val="auto"/>
        </w:rPr>
        <w:t xml:space="preserve"> screens to expand the potential patient populations that can be treated with our product candidates.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Efforts to identify, acquire or in-license, and then develop product candidates require substantial technical, financial and human resources, whether or not any product candidates are ultimately identified. We apply our SNIPRx technology and STEP</w:t>
      </w:r>
      <w:r>
        <w:rPr>
          <w:rFonts w:ascii="Arial" w:cs="Arial" w:eastAsia="Arial" w:hAnsi="Arial"/>
          <w:sz w:val="13"/>
          <w:szCs w:val="13"/>
          <w:color w:val="auto"/>
        </w:rPr>
        <w:t>2</w:t>
      </w:r>
      <w:r>
        <w:rPr>
          <w:rFonts w:ascii="Arial" w:cs="Arial" w:eastAsia="Arial" w:hAnsi="Arial"/>
          <w:sz w:val="16"/>
          <w:szCs w:val="16"/>
          <w:color w:val="auto"/>
        </w:rPr>
        <w:t xml:space="preserve"> screening in our efforts to discover potential precision targets for which our product candidates may be developed. Our efforts may initially show promise in identifying potential product candidates, yet fail to yield product candidates for clinical development, approved products or commercial revenues for many reasons, including the following:</w:t>
      </w:r>
    </w:p>
    <w:p>
      <w:pPr>
        <w:spacing w:after="0" w:line="63" w:lineRule="exact"/>
        <w:rPr>
          <w:sz w:val="20"/>
          <w:szCs w:val="20"/>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methodology used may not be successful in identifying potential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product candidates we develop obsolete;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product candidates we develop may nevertheless be covered by third parties’ patents or other exclusive rights;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physicians, patients, the medical community or third-party payors.</w:t>
      </w:r>
    </w:p>
    <w:p>
      <w:pPr>
        <w:spacing w:after="0" w:line="345" w:lineRule="exact"/>
        <w:rPr>
          <w:sz w:val="20"/>
          <w:szCs w:val="20"/>
          <w:color w:val="auto"/>
        </w:rPr>
      </w:pPr>
    </w:p>
    <w:p>
      <w:pPr>
        <w:ind w:left="460" w:right="280"/>
        <w:spacing w:after="0" w:line="308"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We may find it difficult to enroll patients in our open-label Phase 1/2 clinical trial for RP-3500 with the genomic alterations that RP-3500 is designed to target.</w:t>
      </w:r>
    </w:p>
    <w:p>
      <w:pPr>
        <w:spacing w:after="0" w:line="38"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are focused on patients with specific genomic alterations, our ability to enroll eligible patients may be limited or may result in slower enrollment than we anticipate. For example, with respect to RP-3500, we are researching 19 STEP</w:t>
      </w:r>
      <w:r>
        <w:rPr>
          <w:rFonts w:ascii="Arial" w:cs="Arial" w:eastAsia="Arial" w:hAnsi="Arial"/>
          <w:sz w:val="13"/>
          <w:szCs w:val="13"/>
          <w:color w:val="auto"/>
        </w:rPr>
        <w:t>2</w:t>
      </w:r>
      <w:r>
        <w:rPr>
          <w:rFonts w:ascii="Arial" w:cs="Arial" w:eastAsia="Arial" w:hAnsi="Arial"/>
          <w:sz w:val="16"/>
          <w:szCs w:val="16"/>
          <w:color w:val="auto"/>
        </w:rPr>
        <w:t>-identified genomic alterations in addition to ATM deficiency, including several novel genes that have not been previously reported as rendering sensitivity to ATR inhibitors. Further, certain of these genes are not yet included in commercially available panels or CLIA-validated panels used in large academic centers. As such, for our planned Phase 1/2 trial, we have identified and partnered with multiple large, leading clinical centers globally where tumor sequencing is the standard of care. While we believe that these panels will include the majority, if not all, of the 20 genes, genes may not be available on certain panels at our clinical sites. We cannot be certain how many patients will have each of the genomic alterations that RP-3500 is designed to target or that the number of patients enrolled for each mutation will suffice for regulatory approval and inclusion of each such mutation in the approved label. We may be unsuccessful in our efforts to work with our clinical partners to identify patients who are eligible for our clinical trial of RP-3500.</w:t>
      </w:r>
    </w:p>
    <w:p>
      <w:pPr>
        <w:spacing w:after="0" w:line="174"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In addition, some of our competitors have ongoing clinical trials for product candidates that treat the same or similar populations as our product candidates, and patients who would otherwise be eligible for our clinical trials may instead enroll in clinical trials of our competitors’ product candidates.</w:t>
      </w:r>
    </w:p>
    <w:p>
      <w:pPr>
        <w:spacing w:after="0" w:line="12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engaging third parties to develop patient selection tools for use in our clinical trials, but such third parties may not be successful in developing such tools, furthering the difficulty in identifying patients with the targeted genomic alterations for our clinical trials and risking enrollment into our trials. Next Generation Sequencing panels may not include genes required for screening for our clinical trials or may not be broadly commercially available. The optimal method of diagnosis is not yet known and the availability of third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payment for diagnostic tests may limit our clinical trials as well. Further, if we are unable to include patients with the targeted genomic alterations, this could compromise our ability to seek participation in FDA’s expedited review and development programs or otherwise seek to accelerate clinical development and regulatory timelines.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enrollment of patients further depends on many factors, including:</w:t>
      </w:r>
    </w:p>
    <w:p>
      <w:pPr>
        <w:spacing w:after="0" w:line="131" w:lineRule="exact"/>
        <w:rPr>
          <w:sz w:val="20"/>
          <w:szCs w:val="20"/>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risks and benefits of the product candidate under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and efficacy of competing therapies and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availability of genetic sequencing information for patient tumors so that we can identify patients with the targeted genomic alterations;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any current or future license partner to execute on its development commitments and responsibilities for any product candidate to which it has acquired development rights in a given geography;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225"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and because our product candidates have not been tested in humans before, potential patients and their doctors may be inclined to use conventional therapies, such as chemotherapy, rather than enroll patients in any future clinical trial.</w:t>
      </w:r>
    </w:p>
    <w:p>
      <w:pPr>
        <w:spacing w:after="0" w:line="166"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232" w:lineRule="exact"/>
        <w:rPr>
          <w:sz w:val="20"/>
          <w:szCs w:val="20"/>
          <w:color w:val="auto"/>
        </w:rPr>
      </w:pPr>
    </w:p>
    <w:p>
      <w:pPr>
        <w:ind w:left="460" w:right="2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16"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Serious adverse events or undesirable side effects caused by our product candidates could cause us or regulatory authorities to interrupt, delay or halt clinical trials and could result in a more restrictive label or the delay or denial of regulatory approval by the FDA, EMA or other authorities. Results of our clinical trials could reveal a high and unacceptable severity and prevalence of side effects, toxicities or unexpected characteristics, including death.</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2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unacceptable side effects or deaths arise in the development of our product candidates, we, the IRBs at the institutions in which our studies are conducted, the FDA or any comparable foreign regulatory authority could suspend or terminate our clinical trials or the FDA or other regulatory authorities could order us to cease clinical trials or deny approval of our product candidates for any or all targeted indications. Undesirable side effects or deaths in clinical trials with our product candidates may cause the FDA or comparable foreign regulatory authorities to place a clinical hold on the associated clinical trials, to require additional studies, or otherwise to delay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spacing w:after="0" w:line="89" w:lineRule="exact"/>
        <w:rPr>
          <w:sz w:val="20"/>
          <w:szCs w:val="20"/>
          <w:color w:val="auto"/>
        </w:rPr>
      </w:pPr>
    </w:p>
    <w:p>
      <w:pPr>
        <w:ind w:left="1000" w:right="82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and distribution;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the particular product or the manufacturing processes for the product;</w:t>
      </w:r>
    </w:p>
    <w:p>
      <w:pPr>
        <w:spacing w:after="0" w:line="142" w:lineRule="exact"/>
        <w:rPr>
          <w:rFonts w:ascii="Arial" w:cs="Arial" w:eastAsia="Arial" w:hAnsi="Arial"/>
          <w:sz w:val="17"/>
          <w:szCs w:val="17"/>
          <w:color w:val="auto"/>
        </w:rPr>
      </w:pPr>
    </w:p>
    <w:p>
      <w:pPr>
        <w:ind w:left="1000" w:right="140" w:hanging="547"/>
        <w:spacing w:after="0" w:line="342"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such as a boxed warning or contraindication, or issue safety alerts, Dear Healthcare Provider letters, press releases or other communications containing warnings or other safety information about the product;</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be required to implement a REMS or create a medication guide outlining the risks of such side effects for distribution to patients;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 could become less competitive;</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strategic collaborator for the product may choose to terminate its agreement and compromise our ability to commercialize such product in the collaborator’s geography;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8"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product candidates outside the United States, and the FDA and comparable foreign regulatory authorities may not accept data from such trials.</w:t>
      </w:r>
    </w:p>
    <w:p>
      <w:pPr>
        <w:spacing w:after="0" w:line="62" w:lineRule="exact"/>
        <w:rPr>
          <w:sz w:val="20"/>
          <w:szCs w:val="20"/>
          <w:color w:val="auto"/>
        </w:rPr>
      </w:pPr>
    </w:p>
    <w:p>
      <w:pPr>
        <w:ind w:right="380" w:firstLine="449"/>
        <w:spacing w:after="0" w:line="279" w:lineRule="auto"/>
        <w:rPr>
          <w:sz w:val="20"/>
          <w:szCs w:val="20"/>
          <w:color w:val="auto"/>
        </w:rPr>
      </w:pPr>
      <w:r>
        <w:rPr>
          <w:rFonts w:ascii="Arial" w:cs="Arial" w:eastAsia="Arial" w:hAnsi="Arial"/>
          <w:sz w:val="17"/>
          <w:szCs w:val="17"/>
          <w:color w:val="auto"/>
        </w:rPr>
        <w:t>We currently expect, and may in the future choose, to conduct one or more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basis of foreign data alone unless (i) the data are applicable to the U.S. population and U.S. medical practice; and (ii) the trials were performed by clinical investigators of recognized competence and pursuant to good clinical practice, or GCP, regulations.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Results for our clinical trials may differ by jurisdiction as a result of varying standards of care or local restrictions on reimbursement from third-party payors for clinical trials, thereby affecting the willingness of the FDA or any comparable foreign regulatory authority to accept such data,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pacing w:after="0" w:line="293" w:lineRule="exact"/>
        <w:rPr>
          <w:sz w:val="20"/>
          <w:szCs w:val="20"/>
          <w:color w:val="auto"/>
        </w:rPr>
      </w:pPr>
    </w:p>
    <w:p>
      <w:pPr>
        <w:ind w:left="460" w:right="100"/>
        <w:spacing w:after="0" w:line="375" w:lineRule="auto"/>
        <w:rPr>
          <w:sz w:val="20"/>
          <w:szCs w:val="20"/>
          <w:color w:val="auto"/>
        </w:rPr>
      </w:pPr>
      <w:r>
        <w:rPr>
          <w:rFonts w:ascii="Arial" w:cs="Arial" w:eastAsia="Arial" w:hAnsi="Arial"/>
          <w:sz w:val="15"/>
          <w:szCs w:val="15"/>
          <w:b w:val="1"/>
          <w:bCs w:val="1"/>
          <w:i w:val="1"/>
          <w:iCs w:val="1"/>
          <w:color w:val="auto"/>
        </w:rPr>
        <w:t>If it is determined that companion diagnostics are needed, we may be unable to successfully develop companion diagnostics for biomarkers that enable patient selection, or experience significant delays in doing so, we may not realize the full commercial potential of our product candidates.</w:t>
      </w:r>
    </w:p>
    <w:p>
      <w:pPr>
        <w:spacing w:after="0" w:line="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key component of our strategy includes the use of diagnostic tools to guide patient selection of our product candidates. In some cases, a diagnostic tool may be commercially available, for example, on a tumor-profiling panel. If not already commercially available, we may be required to seek collaborations with diagnostic companies for the development of diagnostics for biomarkers associated with our product candidates. We may have difficulty in establishing or maintaining such development relationships, and we will face competition from other companies in establishing these collaborations. Furthermore, even if a diagnostic is commercially available, we may not be able to obtain reimbursement for its use without obtaining regulatory approval.</w:t>
      </w:r>
    </w:p>
    <w:p>
      <w:pPr>
        <w:spacing w:after="0" w:line="192" w:lineRule="exact"/>
        <w:rPr>
          <w:sz w:val="20"/>
          <w:szCs w:val="20"/>
          <w:color w:val="auto"/>
        </w:rPr>
      </w:pPr>
    </w:p>
    <w:p>
      <w:pPr>
        <w:ind w:right="240" w:firstLine="449"/>
        <w:spacing w:after="0" w:line="255" w:lineRule="auto"/>
        <w:rPr>
          <w:sz w:val="20"/>
          <w:szCs w:val="20"/>
          <w:color w:val="auto"/>
        </w:rPr>
      </w:pPr>
      <w:r>
        <w:rPr>
          <w:rFonts w:ascii="Arial" w:cs="Arial" w:eastAsia="Arial" w:hAnsi="Arial"/>
          <w:sz w:val="18"/>
          <w:szCs w:val="18"/>
          <w:color w:val="auto"/>
        </w:rPr>
        <w:t xml:space="preserve">There are also several risks associated with biomarker identification and validation. We, in collaboration with any diagnostic partners, may not be able to identify predictive biomarkers or pharmacodynamic biomarkers for one or more of our programs. We may not be able to validate potential biomarkers (e.g., certain genomic alterations) or their functional relevance preclinically in relevant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Data analytics and information from databases that we rely on for identifying or validating some of our biomarker-target relationships may not accurately reflect potential patient populations or may be based on incorrect methodology. Potential biomarkers, even if validated preclinically, may not be functionally validated in human clinical trials.</w:t>
      </w:r>
    </w:p>
    <w:p>
      <w:pPr>
        <w:spacing w:after="0" w:line="192"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If it is determined that companion diagnostics are needed, we may, in collaboration with these parties, be unable to successfully develop companion diagnostics for our product candidates, or experience delays in doing so, which may adversely affect the development of our product candidates. The development of companion diagnostic products requires a significant investment of working capital, and may not result in any future income. This could require us to raise additional funds, which could dilute our current investors or impact our ability to continue our operations in the future.</w:t>
      </w:r>
    </w:p>
    <w:p>
      <w:pPr>
        <w:spacing w:after="0" w:line="15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There are also risks associated with diagnostics that are commercially available, including that we may not have access to reliable supply for such diagnostics.</w:t>
      </w:r>
    </w:p>
    <w:p>
      <w:pPr>
        <w:spacing w:after="0" w:line="278"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The failure to obtain required regulatory approvals for any companion diagnostic tests that may be required and that we may pursue may prevent or delay approval of our product candidates. Moreover, the commercial success of any of our product candidates may be tied to the regulatory approval, market acceptance and continued availability of a companion diagnostic.</w:t>
      </w:r>
    </w:p>
    <w:p>
      <w:pPr>
        <w:spacing w:after="0" w:line="7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 xml:space="preserve">The FDA and other comparable regulatory authorities regulate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as medical devices that will likely be subject to clinical trials in conjunction with the clinical trials for our product candidates, and which will require regulatory clearance or approval prior to commercialization. If it 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determined that companion diagnostics are needed, we plan to collaborate with third parties for the development, testing and manufacturing of these companion diagnostics, the application for and receipt of any required regulatory clearances or approvals, and the commercial supply of these companion diagnostics. Our third-party collaborators may fail to obtain the required regulatory clearances or approvals, which could prevent or delay approval of our product candidates. In addition, the commercial success of any of our product candidates may be tied to and dependent upon the receipt of required regulatory clearances or approvals of the companion diagnostic.</w:t>
      </w:r>
    </w:p>
    <w:p>
      <w:pPr>
        <w:spacing w:after="0" w:line="188" w:lineRule="exact"/>
        <w:rPr>
          <w:sz w:val="20"/>
          <w:szCs w:val="20"/>
          <w:color w:val="auto"/>
        </w:rPr>
      </w:pPr>
    </w:p>
    <w:p>
      <w:pPr>
        <w:jc w:val="both"/>
        <w:ind w:right="480" w:firstLine="449"/>
        <w:spacing w:after="0" w:line="263" w:lineRule="auto"/>
        <w:rPr>
          <w:sz w:val="20"/>
          <w:szCs w:val="20"/>
          <w:color w:val="auto"/>
        </w:rPr>
      </w:pPr>
      <w:r>
        <w:rPr>
          <w:rFonts w:ascii="Arial" w:cs="Arial" w:eastAsia="Arial" w:hAnsi="Arial"/>
          <w:sz w:val="18"/>
          <w:szCs w:val="18"/>
          <w:color w:val="auto"/>
        </w:rPr>
        <w:t>For example, ATM is a common cancer mutation and its prognostic significance has not been validated for the patient populations that we are targeting. Such development risk contributes to the costs that we may need to bear in validating the ATM as well as the optimal method of diagnostic screening for our clinical trial populations.</w:t>
      </w:r>
    </w:p>
    <w:p>
      <w:pPr>
        <w:spacing w:after="0" w:line="184"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Even if a companion diagnostic is approved, we will rely on the continued ability of any third-party collaborator to make the companion diagnostic commercially available to us on reasonable terms in the relevant geographies. Market acceptance of the companion diagnostic may be low as a result of the cost and complexity of utilizing such companion diagnostic. Furthermore, if commercial tumor profiling panels are not able to be updated to include additional tumor-associated genes, or if clinical oncologists do not incorporate molecular or genetic sequencing into their clinical practice, we may not be successful in developing or commercializing our existing product candidates or any future product candidates.</w:t>
      </w:r>
    </w:p>
    <w:p>
      <w:pPr>
        <w:spacing w:after="0" w:line="284"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1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intend to pursue the development of RP-3500 as a monotherapy and in combination with approved PARP inhibitors. In the near future, we may explore the use of our product candidates in combination with other therapies, including those that are not yet approved.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p>
    <w:p>
      <w:pPr>
        <w:spacing w:after="0" w:line="16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Where we develop a product candidate for use in combination with a therapy that has not been approved by the FDA or comparable foreign regulatory authorities, we will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9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may experience delays or unexpected difficulties in obtaining regulatory approval for our current or future product candidates for our initial or potential additional indications.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have never obtained regulatory approval for, or commercialized, a drug.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nonclinical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current or future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293" w:lineRule="exact"/>
        <w:rPr>
          <w:sz w:val="20"/>
          <w:szCs w:val="20"/>
          <w:color w:val="auto"/>
        </w:rPr>
      </w:pPr>
    </w:p>
    <w:p>
      <w:pPr>
        <w:ind w:left="460" w:right="20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marketing products. If we are unable to establish marketing and sales capabilities or enter into agreements with third parties to market and sell our product candidates, if approved, we may not be able to generate product revenue.</w:t>
      </w:r>
    </w:p>
    <w:p>
      <w:pPr>
        <w:spacing w:after="0" w:line="76"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65"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7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78" w:lineRule="exact"/>
        <w:rPr>
          <w:sz w:val="20"/>
          <w:szCs w:val="20"/>
          <w:color w:val="auto"/>
        </w:rPr>
      </w:pPr>
    </w:p>
    <w:p>
      <w:pPr>
        <w:ind w:left="460" w:right="100"/>
        <w:spacing w:after="0" w:line="311"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41"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 our business, financial condition and results of operations could be materially adversely affected.</w:t>
      </w:r>
    </w:p>
    <w:p>
      <w:pPr>
        <w:spacing w:after="0" w:line="27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6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89" w:lineRule="exact"/>
        <w:rPr>
          <w:sz w:val="20"/>
          <w:szCs w:val="20"/>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or future alternative treatments;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comparable foreign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comparable foreign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 of treatment, including with respect to diagnostic tools for our product candidates, and the availability of testing for patient selection;</w:t>
      </w:r>
    </w:p>
    <w:p>
      <w:pPr>
        <w:spacing w:after="0" w:line="153"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pricing of our products, if approved, and the availability of adequate coverage and reimbursement by third-party payors and government authorities;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If our product candidates are approved for commercialization but fail to achieve market acceptance among physicians, patients, hospitals, cancer treatment centers or others in the medical community, we will not be able to generate significant revenue.</w:t>
      </w:r>
    </w:p>
    <w:p>
      <w:pPr>
        <w:spacing w:after="0" w:line="170"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45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0"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54"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16"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Cancer therapies are sometimes characterized as first line, second line, or third line, and the FDA often approves new therapies initially only for a particular line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or third line therapy. Subsequently, for those product candidates that prove to be sufficiently safe and beneficial, if any, we would expect to seek approval as a second line therapy and potentially as a first line therapy, but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18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rely on various sources, including published literature and public or proprietary databases, to ascertain an estimate of the number of patients having particular genomic alterations, such as mutations, deletions or fusions. The determinable prevalence may vary depending on the source and quality of the underlying data and in some cases, insufficient data or poorly curated data may impact our ability to accurately estimate the prevalence of our target patient populations for each indication and in the aggregate across multiple indications both in the clinical trial setting, as well as in the commercial setting, if our product is approved. If the market opportunities for our product candidates are smaller than we estimate, our business, financial position, results of operations and prospects may be harmed. In addition, upon treatment with our product candidates, patients may have or develop resistance to our product candidates, reducing the addressable patient population and duration of treatment.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drugs before or more successfully than us.</w:t>
      </w:r>
    </w:p>
    <w:p>
      <w:pPr>
        <w:spacing w:after="0" w:line="14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5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(recently acquired by Eli Lilly and Company), Blueprint Medicines Corporation, Agios Pharmaceuticals, Inc., SpringWorks Therapeutics, Inc., Black Diamond Therapeutics, Inc., Deciphera Pharmaceuticals, Inc. and Turning Point Therapeutics, Inc., are developing precision oncology medicines. In addition, we may face competition from companies developing product candidates that are based on SL, including AstraZeneca, GlaxoSmithKline, Pfizer, Bayer, Merck Serono, Artios Pharma Ltd. and IDEAYA Biosciences, Inc.</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27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products outside of the United States, a variety of risks associated with international operations could adversely affect our business.</w:t>
      </w:r>
    </w:p>
    <w:p>
      <w:pPr>
        <w:spacing w:after="0" w:line="62"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If any of our product candidates are approved for commercialization, we may seek to enter into agreements with third parties to market them in certain jurisdictions outside the United States. We expect that we would be subject to additional risks related to international pharmaceutical operations, including:</w:t>
      </w:r>
    </w:p>
    <w:p>
      <w:pPr>
        <w:spacing w:after="0" w:line="89" w:lineRule="exact"/>
        <w:rPr>
          <w:sz w:val="20"/>
          <w:szCs w:val="20"/>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00" w:right="40" w:hanging="547"/>
        <w:spacing w:after="0" w:line="311"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including earthquakes, typhoons, floods and fires, or from economic or political instability, or public health emergencies, such as the novel COVID-19 coronavirus and related shelter-in-place orders, travel, social distancing and quarantine policies, boycotts, curtailment of trade and other business restrictions;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difficulty with enforcing our contracts;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As an organization, we have no prior experience in these areas. In addition, there are complex regulatory, tax, labor and other legal requirements imposed by individual countries in Europe with which we may need to comply. If we are unable to successfully manage the challenges of international expansion and operations, our business and operating results could be harmed.</w:t>
      </w:r>
    </w:p>
    <w:p>
      <w:pPr>
        <w:spacing w:after="0" w:line="292"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RP-3500 or any future product candidates, which could make it difficult for us to sell profitably or at all, if approved.</w:t>
      </w:r>
    </w:p>
    <w:p>
      <w:pPr>
        <w:spacing w:after="0" w:line="6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Reimbursement by a third-party payor may depend upon a number of factors, including, but not limited to, the third-party payor’s determination that use of a product is:</w:t>
      </w:r>
    </w:p>
    <w:p>
      <w:pPr>
        <w:spacing w:after="0" w:line="93" w:lineRule="exact"/>
        <w:rPr>
          <w:sz w:val="20"/>
          <w:szCs w:val="20"/>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168"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Additionally, we or our collaborators may develop companion diagnostic tests for use with our product candidates. Companion diagnostic tests require coverage and reimbursement separate and apart from the coverage and reimbursement for their companion pharmaceutical or biological products. Similar challenges to obtaining coverage and reimbursement, applicable to pharmaceutical products, will apply to companion diagnostics. If coverage and adequate reimbursement are not available, or are available only to limited levels, we may not be able to successfully commercialize RP-3500 or any future product candidates that we develop.</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459"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Even if we are successful in obtaining regulatory approval, commercial success of any approved products will also depend in large part on the availability of insurance coverage and adequate reimbursement from third-party payors, including government payors, such as the Medicare and Medicaid programs, and managed care organizations, which may be affected by existing and future healthcare reform measures designed to reduce the cost of healthcare. Third-party payors could require us to conduct additional studies, including post-marketing studies related to the cost-effectiveness of a product, to qualify for reimbursement, which could be costly and divert our resources. If government and other healthcare payors were not to provide adequate insurance coverage and reimbursement levels for one any of our products once approved, market acceptance and commercial success would be limited.</w:t>
      </w:r>
    </w:p>
    <w:p>
      <w:pPr>
        <w:spacing w:after="0" w:line="272"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74" w:lineRule="exact"/>
        <w:rPr>
          <w:sz w:val="20"/>
          <w:szCs w:val="20"/>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our products due to negative public perception;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 or difficulties in recruiting new trial participants;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to defend or settle the related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225"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40" w:firstLine="449"/>
        <w:spacing w:after="0" w:line="277" w:lineRule="auto"/>
        <w:rPr>
          <w:sz w:val="20"/>
          <w:szCs w:val="20"/>
          <w:color w:val="auto"/>
        </w:rPr>
      </w:pPr>
      <w:r>
        <w:rPr>
          <w:rFonts w:ascii="Arial" w:cs="Arial" w:eastAsia="Arial" w:hAnsi="Arial"/>
          <w:sz w:val="18"/>
          <w:szCs w:val="18"/>
          <w:color w:val="auto"/>
        </w:rPr>
        <w:t>Should any of the events described above occur, this could have a material adverse effect on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229"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62"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5" w:lineRule="exact"/>
        <w:rPr>
          <w:sz w:val="20"/>
          <w:szCs w:val="20"/>
          <w:color w:val="auto"/>
        </w:rPr>
      </w:pPr>
    </w:p>
    <w:p>
      <w:pPr>
        <w:jc w:val="both"/>
        <w:ind w:left="460" w:right="12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5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7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98" w:lineRule="exact"/>
        <w:rPr>
          <w:sz w:val="20"/>
          <w:szCs w:val="20"/>
          <w:color w:val="auto"/>
        </w:rPr>
      </w:pPr>
    </w:p>
    <w:p>
      <w:pPr>
        <w:ind w:left="1000" w:right="40" w:hanging="547"/>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3" w:lineRule="exact"/>
        <w:rPr>
          <w:sz w:val="20"/>
          <w:szCs w:val="20"/>
          <w:color w:val="auto"/>
        </w:rPr>
      </w:pPr>
    </w:p>
    <w:p>
      <w:pPr>
        <w:ind w:left="460" w:right="14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6" w:lineRule="exact"/>
        <w:rPr>
          <w:sz w:val="20"/>
          <w:szCs w:val="20"/>
          <w:color w:val="auto"/>
        </w:rPr>
      </w:pPr>
    </w:p>
    <w:p>
      <w:pPr>
        <w:ind w:right="460" w:firstLine="449"/>
        <w:spacing w:after="0" w:line="311"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laws that may constrain the business or financial arrangements and relationships through which we research, sell, market, and distribute our product candidates, if we obtain marketing approval. Such laws include:</w:t>
      </w:r>
    </w:p>
    <w:p>
      <w:pPr>
        <w:spacing w:after="0" w:line="76" w:lineRule="exact"/>
        <w:rPr>
          <w:sz w:val="20"/>
          <w:szCs w:val="20"/>
          <w:color w:val="auto"/>
        </w:rPr>
      </w:pPr>
    </w:p>
    <w:p>
      <w:pPr>
        <w:ind w:left="1000" w:hanging="547"/>
        <w:spacing w:after="0" w:line="255"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ind w:left="1000" w:right="20" w:hanging="547"/>
        <w:spacing w:after="0" w:line="270"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U.S. federal Anti-Kickback Statute constitutes a false or fraudulent claim for purposes of the civil False Claims Act;</w:t>
      </w:r>
    </w:p>
    <w:p>
      <w:pPr>
        <w:spacing w:after="0" w:line="86" w:lineRule="exact"/>
        <w:rPr>
          <w:rFonts w:ascii="Arial" w:cs="Arial" w:eastAsia="Arial" w:hAnsi="Arial"/>
          <w:sz w:val="17"/>
          <w:szCs w:val="17"/>
          <w:color w:val="auto"/>
        </w:rPr>
      </w:pPr>
    </w:p>
    <w:p>
      <w:pPr>
        <w:ind w:left="1000" w:right="160" w:hanging="547"/>
        <w:spacing w:after="0" w:line="296"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6" w:lineRule="exact"/>
        <w:rPr>
          <w:rFonts w:ascii="Arial" w:cs="Arial" w:eastAsia="Arial" w:hAnsi="Arial"/>
          <w:sz w:val="16"/>
          <w:szCs w:val="16"/>
          <w:color w:val="auto"/>
        </w:rPr>
      </w:pPr>
    </w:p>
    <w:p>
      <w:pPr>
        <w:ind w:left="1000" w:right="20" w:hanging="547"/>
        <w:spacing w:after="0" w:line="290"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independent contractors of a covered entity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0" w:lineRule="exact"/>
        <w:rPr>
          <w:rFonts w:ascii="Arial" w:cs="Arial" w:eastAsia="Arial" w:hAnsi="Arial"/>
          <w:sz w:val="16"/>
          <w:szCs w:val="16"/>
          <w:color w:val="auto"/>
        </w:rPr>
      </w:pPr>
    </w:p>
    <w:p>
      <w:pPr>
        <w:ind w:left="1000" w:right="42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75" w:lineRule="exact"/>
        <w:rPr>
          <w:rFonts w:ascii="Arial" w:cs="Arial" w:eastAsia="Arial" w:hAnsi="Arial"/>
          <w:sz w:val="18"/>
          <w:szCs w:val="18"/>
          <w:color w:val="auto"/>
        </w:rPr>
      </w:pPr>
    </w:p>
    <w:p>
      <w:pPr>
        <w:ind w:left="1000" w:hanging="547"/>
        <w:spacing w:after="0" w:line="311"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the Centers for Medicare &amp; Medicaid Services, or CMS, information related to certain payments and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spacing w:after="0" w:line="279" w:lineRule="auto"/>
        <w:rPr>
          <w:sz w:val="20"/>
          <w:szCs w:val="20"/>
          <w:color w:val="auto"/>
        </w:rPr>
      </w:pPr>
      <w:r>
        <w:rPr>
          <w:rFonts w:ascii="Arial" w:cs="Arial" w:eastAsia="Arial" w:hAnsi="Arial"/>
          <w:sz w:val="17"/>
          <w:szCs w:val="17"/>
          <w:color w:val="auto"/>
        </w:rPr>
        <w:t>other transfers of value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as well as ownership and investment interests held, during the previous year to certain non-physician providers such as physician assistants and nurse practitioners;</w:t>
      </w:r>
    </w:p>
    <w:p>
      <w:pPr>
        <w:spacing w:after="0" w:line="77" w:lineRule="exact"/>
        <w:rPr>
          <w:sz w:val="20"/>
          <w:szCs w:val="20"/>
          <w:color w:val="auto"/>
        </w:rPr>
      </w:pPr>
    </w:p>
    <w:p>
      <w:pPr>
        <w:ind w:left="1000" w:right="80" w:hanging="547"/>
        <w:spacing w:after="0" w:line="289"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drug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71" w:lineRule="exact"/>
        <w:rPr>
          <w:rFonts w:ascii="Arial" w:cs="Arial" w:eastAsia="Arial" w:hAnsi="Arial"/>
          <w:sz w:val="16"/>
          <w:szCs w:val="16"/>
          <w:color w:val="auto"/>
        </w:rPr>
      </w:pPr>
    </w:p>
    <w:p>
      <w:pPr>
        <w:ind w:left="1000" w:right="80" w:hanging="547"/>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laws in other jurisdictions including, but not limited to, laws relating to interactions with government officials, privacy laws, transparency laws, laws relating to reimbursement, competition, consumer protection laws, laws relating to the marketing of health products and other healthcare-related laws.</w:t>
      </w:r>
    </w:p>
    <w:p>
      <w:pPr>
        <w:spacing w:after="0" w:line="18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addition, we are also subject to federal and state consumer protection and unfair competition laws, which broadly regulate marketplace activities and activities that potentially harm customers.</w:t>
      </w:r>
    </w:p>
    <w:p>
      <w:pPr>
        <w:spacing w:after="0" w:line="170"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7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32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6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83" w:lineRule="exact"/>
        <w:rPr>
          <w:sz w:val="20"/>
          <w:szCs w:val="20"/>
          <w:color w:val="auto"/>
        </w:rPr>
      </w:pPr>
    </w:p>
    <w:p>
      <w:pPr>
        <w:ind w:left="1000" w:right="440" w:hanging="547"/>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89"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1000" w:right="480" w:hanging="547"/>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130"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75"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There remain judicial, Congressional and executive branch challenges to certain aspects of the ACA, and we expect there will be additional challenges and amendments to the ACA in the future. While Congress has not passed comprehensive repeal legislation, it has enacted laws that modify certain provisions of the ACA such as removing penalties, starting January 1, 2019, for not complying with the ACA’s individual mandate to carry health insurance and increasing the point-of-sale discount that is owed by pharmaceutical manufacturers who participate in Medicare Part D. Further, the 2020 federal spending package permanently eliminated, effective January 1, 2020, the ACA-mandated “Cadillac” tax on high-cost employer-sponsored health coverage and medical device tax and, effective January 1, 2021, also eliminates the health insurer tax. On December 14, 2018, a U.S. District Court Judge in Texas ruled that the ACA is unconstitutional in its entirety because the “individual mandate” was repealed by Congress as part of the legislation enacted in 2017, informally titled the Tax Cuts and Jobs Act, or the Tax Act. Additionally, on December 18, 2019, the U.S. Court of Appeals for the 5th Circuit ruled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It is unclear when such oral arguments are to be held and when a decision is expected to be made. It is also unclear how such litigation and other efforts to repeal and replace the ACA will impact the ACA and our business.</w:t>
      </w:r>
    </w:p>
    <w:p>
      <w:pPr>
        <w:spacing w:after="0" w:line="168"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taken by Congress. These Medicare sequester reductions will be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6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May 11, 2018, President Trump laid out his administration’s “Blueprint” to lower drug prices and reduce out-of-pocket costs of prescription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Although some of these and other measures may require additional authorization through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76"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 For example, in Canada, price control legislation for patented medicines is currently undergoing significant change that may have significant effects on profitability in Canada.</w:t>
      </w:r>
    </w:p>
    <w:p>
      <w:pPr>
        <w:spacing w:after="0" w:line="17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any other jurisdiction. It is possible that additional governmental action is taken to address the COVID-19 pandemic.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face potential liability if we obtain identifiable patient health information from clinical trials sponsored by us.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85"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The EU General Data Protection Regulation, or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European Union, referred to as Brexit, has created uncertainty with regard to data protection regulation in the United Kingdom. In particular, it is unclear how data transfers to and from the United Kingdom will be regulated now that the United Kingdom has left the European Union.</w:t>
      </w:r>
    </w:p>
    <w:p>
      <w:pPr>
        <w:spacing w:after="0" w:line="16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70"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78"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278"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If we or our third-party manufacturers and suppliers fail to comply with environmental, health and safety laws and regulations, we could become subject to fines or penalties or incur costs that could have a material adverse effect on the success of our business.</w:t>
      </w:r>
    </w:p>
    <w:p>
      <w:pPr>
        <w:spacing w:after="0" w:line="38"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60" w:right="14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79"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good laboratory practices, or GLPs, as applicable, and GCP requirements, which are regulations and guidelines enforced by the FDA and comparable foreign regulatory authorities for all of our products in clinical development.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61" w:lineRule="exact"/>
        <w:rPr>
          <w:sz w:val="20"/>
          <w:szCs w:val="20"/>
          <w:color w:val="auto"/>
        </w:rPr>
      </w:pPr>
    </w:p>
    <w:p>
      <w:pPr>
        <w:ind w:right="260" w:firstLine="449"/>
        <w:spacing w:after="0" w:line="342" w:lineRule="auto"/>
        <w:rPr>
          <w:sz w:val="20"/>
          <w:szCs w:val="20"/>
          <w:color w:val="auto"/>
        </w:rPr>
      </w:pPr>
      <w:r>
        <w:rPr>
          <w:rFonts w:ascii="Arial" w:cs="Arial" w:eastAsia="Arial" w:hAnsi="Arial"/>
          <w:sz w:val="16"/>
          <w:szCs w:val="16"/>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w:t>
      </w:r>
    </w:p>
    <w:p>
      <w:pPr>
        <w:spacing w:after="0" w:line="12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300" w:lineRule="exact"/>
        <w:rPr>
          <w:sz w:val="20"/>
          <w:szCs w:val="20"/>
          <w:color w:val="auto"/>
        </w:rPr>
      </w:pPr>
    </w:p>
    <w:p>
      <w:pPr>
        <w:ind w:left="460" w:right="20"/>
        <w:spacing w:after="0" w:line="301" w:lineRule="auto"/>
        <w:rPr>
          <w:sz w:val="20"/>
          <w:szCs w:val="20"/>
          <w:color w:val="auto"/>
        </w:rPr>
      </w:pPr>
      <w:r>
        <w:rPr>
          <w:rFonts w:ascii="Arial" w:cs="Arial" w:eastAsia="Arial" w:hAnsi="Arial"/>
          <w:sz w:val="16"/>
          <w:szCs w:val="16"/>
          <w:b w:val="1"/>
          <w:bCs w:val="1"/>
          <w:i w:val="1"/>
          <w:iCs w:val="1"/>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4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do not currently have the infrastructure or capability internally to manufacture all our product candidates for use in the conduct of our preclinical studies and clinical trials or for commercial supply, if our products are approved. We rely on, and expect to continue to rely on, contract manufacturing organizations, or CMOs. Any replacement of our CMOs could require significant effort and expertise because there may be a limited number of qualified CMOs. This could be particularly problematic where we rely on a single-source supplier, as is currently the case for the manufacture of RP-3500. Reliance on third-party providers may expose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15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Our third-party manufacturers may be subject to damage or interruption from, among other things, fire, natural or man-made disaster, disease outbreaks or public health pandemics, power loss, telecommunications failure, unauthorized entry, computer viruses, denial-of-service attacks, acts of terrorism, human error, vandalism or sabotage, financial insolvency, bankruptcy and similar events. For example, in December 2019, COVID-19 was reported to have surfaced in Wuhan, China. The extent to which COVID-19 may impact our manufacturing and supply chain as well as our results will depend on future developments, which are highly uncertain and cannot be predicted, including new information which may emerge concerning the severity of COVID-19 and the actions to contain COVID-19 or treat its impact, among others.</w:t>
      </w:r>
    </w:p>
    <w:p>
      <w:pPr>
        <w:spacing w:after="0" w:line="178"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If we were to experience an unexpected loss of supply of or if any supplier were unable to meet our demand for any of our product candidates, we could experience delays in our research or planned clinical trials or commercialization. We could be unable to find alternative suppliers of acceptable quality, in the appropriate volumes who could meet our timelines at an acceptable cost. Moreover, our suppliers are often subject to strict manufacturing requirements and rigorous testing requirements, which could limit or delay production. The long transition periods necessary to switch manufacturers and suppliers, if necessary, could significantly delay our preclinical studies, our clinical trials and the commercialization of our products, if approved, which could materially adversely affect our business, financial condition and results of operation.</w:t>
      </w:r>
    </w:p>
    <w:p>
      <w:pPr>
        <w:spacing w:after="0" w:line="178"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us, including the seizure of products and shutting down of production. We and any of these third-party suppliers may also be subject to audits by the FDA and comparable foreign regulatory authorities. If any of our third-party suppliers fails to comply with cGMP or other applicable manufacturing regulations, our ability to develop and commercialize the products could suffer significant interruptions. We face risks inherent in relying on CMOs, as any disruption, such as a fire, natural hazards, vandalism or an outbreak of contagious disease affecting the CMO or any supplier of the CMO could significantly interrupt our manufacturing capability.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280"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b w:val="1"/>
          <w:bCs w:val="1"/>
          <w:i w:val="1"/>
          <w:iCs w:val="1"/>
          <w:color w:val="auto"/>
        </w:rPr>
        <w:t>Our current and future collaborations will be important to our business. If we are unable to enter into new collaborations, or if these collaborations are not successful, our business could be adversely affected.</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A part of our strategy is to strategically evaluate and, as deemed appropriate, enter into partnerships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45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of intellectual property rights held by third parties, and the growth of our business may depend in part on our ability to acquire or in-license these intellectual property rights.</w:t>
      </w:r>
    </w:p>
    <w:p>
      <w:pPr>
        <w:spacing w:after="0" w:line="170"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For example, we are currently party to a collaboration agreement with Ono Pharmaceutical Co., or Ono, pursuant to which we and Ono have agreed to collaborate in the research of potential product candidates targeting Polq and the development of our small molecule Polq inhibitor program. Similarly, in May 2020, we entered into a collaboration and license agreement with Bristol Myers Squibb pursuant to which we and Bristol Myers Squibb have agreed to collaborate in the research and development of potential new product candidates for the treatment of cancer. These and any future collaborations we enter into may pose a number of risks, including, but not limited to, the following:</w:t>
      </w:r>
    </w:p>
    <w:p>
      <w:pPr>
        <w:spacing w:after="0" w:line="82" w:lineRule="exact"/>
        <w:rPr>
          <w:sz w:val="20"/>
          <w:szCs w:val="20"/>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ind w:left="1000" w:hanging="547"/>
        <w:spacing w:after="0" w:line="259"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92" w:lineRule="exact"/>
        <w:rPr>
          <w:rFonts w:ascii="Arial" w:cs="Arial" w:eastAsia="Arial" w:hAnsi="Arial"/>
          <w:sz w:val="18"/>
          <w:szCs w:val="18"/>
          <w:color w:val="auto"/>
        </w:rPr>
      </w:pPr>
    </w:p>
    <w:p>
      <w:pPr>
        <w:ind w:left="1000" w:right="480" w:hanging="547"/>
        <w:spacing w:after="0" w:line="308"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00" w:right="220" w:hanging="547"/>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9"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75"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75" w:lineRule="exact"/>
        <w:rPr>
          <w:rFonts w:ascii="Arial" w:cs="Arial" w:eastAsia="Arial" w:hAnsi="Arial"/>
          <w:sz w:val="18"/>
          <w:szCs w:val="18"/>
          <w:color w:val="auto"/>
        </w:rPr>
      </w:pPr>
    </w:p>
    <w:p>
      <w:pPr>
        <w:ind w:left="1000" w:right="240" w:hanging="547"/>
        <w:spacing w:after="0" w:line="259"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30" w:lineRule="exact"/>
        <w:rPr>
          <w:rFonts w:ascii="Arial" w:cs="Arial" w:eastAsia="Arial" w:hAnsi="Arial"/>
          <w:sz w:val="18"/>
          <w:szCs w:val="18"/>
          <w:color w:val="auto"/>
        </w:rPr>
      </w:pPr>
    </w:p>
    <w:p>
      <w:pPr>
        <w:ind w:left="1000" w:right="76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Moreover, we may not receive all of the milestone or royalty payments we are entitled to receive under our current and future collaboration agreements. For example, pursuant to the terms of our collaboration and license agreement with Bristol Myers Squibb, we are entitled to receive up to $301 million in total milestones per each program subject to the agreement. However, given the overlapping nature of the triggers for these milestone payments, as well as the uncertainty associated with achieving any of such milestones, it is unlikely that we will receive the entire $301 million in milestone payments with respect to each program subject to the agreement. See “Business—Collaborations and License Agreements.”</w:t>
      </w:r>
    </w:p>
    <w:p>
      <w:pPr>
        <w:spacing w:after="0" w:line="16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All of the risks relating to product development, regulatory approval and commercialization described in this prospectus also apply to the activities of our therapeutic collaborators. Additionally, if one of our collaborators terminates its agreement with us, we may find it more difficult to attract new collaborators and our perception in the business and financial communities could be adversely affected.</w:t>
      </w:r>
    </w:p>
    <w:p>
      <w:pPr>
        <w:spacing w:after="0" w:line="184"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78"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184"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similar or identical to ours, and our ability to commercialize any product candidates we may develop may be adversely affected. Moreover, we may not be able to obtain intellectual property protection with respect to the SL pairs that we identify which are the targets of our current and future product candidates. Although we expect that the compounds underlying our product candidates will be protectable through intellectual property rights, our competitors could develop their own inhibitors based on the SL pairs we identify that might not be protected by our intellectual property rights.</w:t>
      </w:r>
    </w:p>
    <w:p>
      <w:pPr>
        <w:spacing w:after="0" w:line="15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76"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78"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United States patent office, or USPTO, to determine who was the first to invent any of the subject matter covered by the patent claims of our applications.</w:t>
      </w:r>
    </w:p>
    <w:p>
      <w:pPr>
        <w:spacing w:after="0" w:line="171"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82"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6"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6" w:lineRule="exact"/>
        <w:rPr>
          <w:sz w:val="20"/>
          <w:szCs w:val="20"/>
          <w:color w:val="auto"/>
        </w:rPr>
      </w:pPr>
    </w:p>
    <w:p>
      <w:pPr>
        <w:ind w:left="1000" w:right="26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or use compounds or cells that are similar to the biological compositions of our product candidates but that are not covered by the claims of our patents;</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75"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42" w:lineRule="exact"/>
        <w:rPr>
          <w:rFonts w:ascii="Arial" w:cs="Arial" w:eastAsia="Arial" w:hAnsi="Arial"/>
          <w:sz w:val="17"/>
          <w:szCs w:val="17"/>
          <w:color w:val="auto"/>
        </w:rPr>
      </w:pPr>
    </w:p>
    <w:p>
      <w:pPr>
        <w:ind w:left="1000" w:right="2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75" w:lineRule="exact"/>
        <w:rPr>
          <w:rFonts w:ascii="Arial" w:cs="Arial" w:eastAsia="Arial" w:hAnsi="Arial"/>
          <w:sz w:val="18"/>
          <w:szCs w:val="18"/>
          <w:color w:val="auto"/>
        </w:rPr>
      </w:pPr>
    </w:p>
    <w:p>
      <w:pPr>
        <w:jc w:val="both"/>
        <w:ind w:left="1000" w:right="700" w:hanging="547"/>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9" w:lineRule="exact"/>
        <w:rPr>
          <w:rFonts w:ascii="Arial" w:cs="Arial" w:eastAsia="Arial" w:hAnsi="Arial"/>
          <w:sz w:val="18"/>
          <w:szCs w:val="18"/>
          <w:color w:val="auto"/>
        </w:rPr>
      </w:pPr>
    </w:p>
    <w:p>
      <w:pPr>
        <w:ind w:left="1000" w:right="300" w:hanging="547"/>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jc w:val="both"/>
        <w:ind w:left="460" w:right="1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applications will have to be paid to the USPTO and various government patent agencies outside of the United States over the lifetime of our owned patents and/or applications and any patent rights we may own or license in the future. We rely on our outside counsel to pay these fees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technologies, we may not be able to stop a competitor from marketing products that are the same as or similar to our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rely in part on trade secrets to protect our technology, and our failure to obtain or maintain trade secret protection could harm our business.</w:t>
      </w:r>
    </w:p>
    <w:p>
      <w:pPr>
        <w:spacing w:after="0" w:line="152" w:lineRule="exact"/>
        <w:rPr>
          <w:sz w:val="20"/>
          <w:szCs w:val="20"/>
          <w:color w:val="auto"/>
        </w:rPr>
      </w:pPr>
    </w:p>
    <w:p>
      <w:pPr>
        <w:ind w:right="280" w:firstLine="449"/>
        <w:spacing w:after="0" w:line="257" w:lineRule="auto"/>
        <w:rPr>
          <w:sz w:val="20"/>
          <w:szCs w:val="20"/>
          <w:color w:val="auto"/>
        </w:rPr>
      </w:pPr>
      <w:r>
        <w:rPr>
          <w:rFonts w:ascii="Arial" w:cs="Arial" w:eastAsia="Arial" w:hAnsi="Arial"/>
          <w:sz w:val="18"/>
          <w:szCs w:val="18"/>
          <w:color w:val="auto"/>
        </w:rPr>
        <w:t>We rely on trade secrets to protect some of our technology and proprietary information, especially where we believe patent protection is not appropriate or obtainable as is the case for our SNIPRx platform. However, trade secrets are difficult to protect. Litigating a claim that a third party had illegally obtained and was using our trade secrets would be expensive and time consuming, and the outcome would be unpredictable. Moreover, if our competitors independently develop similar knowledge, methods and know-how, it will be difficult for us to enforce our rights and our business could be harmed.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2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drug earlier than might otherwise be the case.</w:t>
      </w:r>
    </w:p>
    <w:p>
      <w:pPr>
        <w:spacing w:after="0" w:line="184"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Patent term extensions in other countries may also be subject to certain procedural or administrative requirements including adherence to certain strict timelines. A failure to meet such requirements may result in a loss of the extension in those countries.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76" w:lineRule="exact"/>
        <w:rPr>
          <w:sz w:val="20"/>
          <w:szCs w:val="20"/>
          <w:color w:val="auto"/>
        </w:rPr>
      </w:pPr>
    </w:p>
    <w:p>
      <w:pPr>
        <w:ind w:left="1000" w:right="28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compounds or formulations that are similar to our product candidates but that are not covered by the claims of any patents, should they issue, that we own or control;</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control;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own or control may not provide us with any competitive advantages, or may be held invalid or unenforceable as a result of legal challenges;</w:t>
      </w:r>
    </w:p>
    <w:p>
      <w:pPr>
        <w:spacing w:after="0" w:line="75" w:lineRule="exact"/>
        <w:rPr>
          <w:rFonts w:ascii="Arial" w:cs="Arial" w:eastAsia="Arial" w:hAnsi="Arial"/>
          <w:sz w:val="18"/>
          <w:szCs w:val="18"/>
          <w:color w:val="auto"/>
        </w:rPr>
      </w:pPr>
    </w:p>
    <w:p>
      <w:pPr>
        <w:ind w:left="1000" w:right="240" w:hanging="547"/>
        <w:spacing w:after="0" w:line="311"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6"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rights, which could be expensive, time consuming and unsuccessful.</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Competitors may infringe our issued patents, future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party against whom we have asserted trademark infringement has superior rights to the marks in question. In this case, we could ultimately be forced to cease use of such trademarks.</w:t>
      </w:r>
    </w:p>
    <w:p>
      <w:pPr>
        <w:spacing w:after="0" w:line="170"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80"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62"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Our commercial success depends, in part, upon our ability and the ability of future collaborators, if any,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inter partes review before the USPTO or equivalent foreign regulatory authority.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Foreign courts will have similar burdens to overcome in order to successfully challenge a third party claim of patent infringement.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96"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a third party and termination of this license could result in the loss of significant rights, which would harm our business.</w:t>
      </w:r>
    </w:p>
    <w:p>
      <w:pPr>
        <w:spacing w:after="0" w:line="62"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We are dependent on patents, know-how and proprietary technology, both our own and licensed from others. In particular, we are dependent on our license agreement with New York University. Any termination of this license could result in the loss of significant rights and could harm our ability to commercialize our product candidates. See “Business—License and Collaboration Agreements” for additional information.</w:t>
      </w:r>
    </w:p>
    <w:p>
      <w:pPr>
        <w:spacing w:after="0" w:line="165"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Disputes may also arise between us and our current licensor or future licensors regarding intellectual property subject to a license agreement, including:</w:t>
      </w:r>
    </w:p>
    <w:p>
      <w:pPr>
        <w:spacing w:after="0" w:line="76" w:lineRule="exact"/>
        <w:rPr>
          <w:sz w:val="20"/>
          <w:szCs w:val="20"/>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or future licensing arrangements on acceptable terms, we may be unable to successfully develop and commercialize the affected product candidates.</w:t>
      </w:r>
    </w:p>
    <w:p>
      <w:pPr>
        <w:spacing w:after="0" w:line="170"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New York University or any future licensors fail to adequately protect any licensed intellectual property, our ability to commercialize products could suffer.</w:t>
      </w:r>
    </w:p>
    <w:p>
      <w:pPr>
        <w:spacing w:after="0" w:line="292"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320" w:top="459" w:right="3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74"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future product candidates.</w:t>
      </w:r>
    </w:p>
    <w:p>
      <w:pPr>
        <w:spacing w:after="0" w:line="6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United States has recently enacted and implemented wide 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negatively impact our business.</w:t>
      </w:r>
    </w:p>
    <w:p>
      <w:pPr>
        <w:spacing w:after="0" w:line="129" w:lineRule="exact"/>
        <w:rPr>
          <w:sz w:val="20"/>
          <w:szCs w:val="20"/>
          <w:color w:val="auto"/>
        </w:rPr>
      </w:pPr>
    </w:p>
    <w:p>
      <w:pPr>
        <w:ind w:right="180" w:firstLine="449"/>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64"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efforts to enforce our intellectual property rights around the world may be inadequate to obtain a significant commercial advantage from the intellectual property that we develop or license.</w:t>
      </w:r>
    </w:p>
    <w:p>
      <w:pPr>
        <w:spacing w:after="0" w:line="278" w:lineRule="exact"/>
        <w:rPr>
          <w:sz w:val="20"/>
          <w:szCs w:val="20"/>
          <w:color w:val="auto"/>
        </w:rPr>
      </w:pPr>
    </w:p>
    <w:p>
      <w:pPr>
        <w:ind w:left="460" w:right="80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proprietary information, which increases the possibility that such information will be misappropriated or disclosed.</w:t>
      </w:r>
    </w:p>
    <w:p>
      <w:pPr>
        <w:spacing w:after="0" w:line="62" w:lineRule="exact"/>
        <w:rPr>
          <w:sz w:val="20"/>
          <w:szCs w:val="20"/>
          <w:color w:val="auto"/>
        </w:rPr>
      </w:pPr>
    </w:p>
    <w:p>
      <w:pPr>
        <w:ind w:right="160" w:firstLine="449"/>
        <w:spacing w:after="0" w:line="270" w:lineRule="auto"/>
        <w:rPr>
          <w:sz w:val="20"/>
          <w:szCs w:val="20"/>
          <w:color w:val="auto"/>
        </w:rPr>
      </w:pPr>
      <w:r>
        <w:rPr>
          <w:rFonts w:ascii="Arial" w:cs="Arial" w:eastAsia="Arial" w:hAnsi="Arial"/>
          <w:sz w:val="17"/>
          <w:szCs w:val="17"/>
          <w:color w:val="auto"/>
        </w:rPr>
        <w:t>Because we rely on third parties to develop and manufacture our product candidates, or if we collaborate with third parties for the development or commercialization of our future product candidates, we must, at times, share proprietary information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information become known by our competitors, is inadvertently incorporated into the technology of others, or is disclosed or used in violation of these agreements. Given that our proprietary position is based, in part, on our know-how, a competitor’s discovery of our know-how or other unauthorized use or disclosure could have an adverse effect on our business and results of operations.</w:t>
      </w:r>
    </w:p>
    <w:p>
      <w:pPr>
        <w:spacing w:after="0" w:line="181"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know-how. Despite our efforts to protect our know-how, we may not be able to prevent the unauthorized disclosure or use of our technical know-how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obtained and is using our proprietary information, like patent litigation, is expensive and time consuming, and the outcome is unpredictable. In addition, courts outside the United States are sometimes less willing to protect proprietary information.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expect to rely on trademarks as one means to distinguish any of our product candidates that are approved for marketing from the products of our competitors. While we have registered a trademark for our SNIPRx platform, we have not yet selected trademarks for RP-3500 and have not yet begun the process of applying to register trademarks for RP-3500 or any other product candidate.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95" w:lineRule="exact"/>
        <w:rPr>
          <w:sz w:val="20"/>
          <w:szCs w:val="20"/>
          <w:color w:val="auto"/>
        </w:rPr>
      </w:pPr>
    </w:p>
    <w:p>
      <w:pPr>
        <w:ind w:right="400" w:firstLine="449"/>
        <w:spacing w:after="0" w:line="279" w:lineRule="auto"/>
        <w:rPr>
          <w:sz w:val="20"/>
          <w:szCs w:val="20"/>
          <w:color w:val="auto"/>
        </w:rPr>
      </w:pPr>
      <w:r>
        <w:rPr>
          <w:rFonts w:ascii="Arial" w:cs="Arial" w:eastAsia="Arial" w:hAnsi="Arial"/>
          <w:sz w:val="17"/>
          <w:szCs w:val="17"/>
          <w:color w:val="auto"/>
        </w:rPr>
        <w:t>In addition, any proprietary name we propose to use with RP-3500 or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proprietary product name that would qualify under applicable trademark laws, not infringe the existing rights of third parties and be acceptable to the FDA. Comparable foreign regulators may have similar requirements, and it is possible that different proprietary or non-proprietary names may be required in different jurisdictions.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our business and competitive position would be harmed.</w:t>
      </w:r>
    </w:p>
    <w:p>
      <w:pPr>
        <w:spacing w:after="0" w:line="1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addition to seeking patent and trademark protection for our product candidate, we also rely on unpatented know-how, technology and other proprietary information, to maintain our competitive position. 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unwilling to protect trade secrets.</w:t>
      </w:r>
    </w:p>
    <w:p>
      <w:pPr>
        <w:spacing w:after="0" w:line="181"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6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303"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b w:val="1"/>
          <w:bCs w:val="1"/>
          <w:i w:val="1"/>
          <w:iCs w:val="1"/>
          <w:color w:val="auto"/>
        </w:rPr>
        <w:t>If we do not obtain patent term extension for patents covering our product candidates, our business may be materially harmed, and in any case, the terms of our patents may not be sufficient to effectively protect our product candidates and business.</w:t>
      </w:r>
    </w:p>
    <w:p>
      <w:pPr>
        <w:spacing w:after="0" w:line="146" w:lineRule="exact"/>
        <w:rPr>
          <w:sz w:val="20"/>
          <w:szCs w:val="20"/>
          <w:color w:val="auto"/>
        </w:rPr>
      </w:pPr>
    </w:p>
    <w:p>
      <w:pPr>
        <w:ind w:right="360" w:firstLine="449"/>
        <w:spacing w:after="0" w:line="301" w:lineRule="auto"/>
        <w:rPr>
          <w:sz w:val="20"/>
          <w:szCs w:val="20"/>
          <w:color w:val="auto"/>
        </w:rPr>
      </w:pPr>
      <w:r>
        <w:rPr>
          <w:rFonts w:ascii="Arial" w:cs="Arial" w:eastAsia="Arial" w:hAnsi="Arial"/>
          <w:sz w:val="16"/>
          <w:szCs w:val="16"/>
          <w:color w:val="auto"/>
        </w:rPr>
        <w:t>Patents have a limited term. In most countries, including the United States, the expiration of a patent is generally 20 years after its first effective non-provisional filing date. However, depending upon the timing, duration and specifics of FDA marketing approval of RP-3500, our other product candidates or any future product candidates, one or more of any U.S. patents we may be issued or have licensed may be eligible for limited patent term restoration under the Drug Price Competition and Patent Term Restoration Act of 1984, also known as the Hatch-Waxman Amendments.</w:t>
      </w:r>
    </w:p>
    <w:p>
      <w:pPr>
        <w:spacing w:after="0" w:line="15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Hatch-Waxman Amendments permit a patent restoration term of up to five years as compensation for patent term lost during product development and the FDA regulatory review process. The Hatch-Waxman Act allows a maximum of one patent to be extended per FDA-approved product as compensation for the patent term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competitive position, business, financial condition, results of operations, and prospects could be harmed, possibly materially.</w:t>
      </w:r>
    </w:p>
    <w:p>
      <w:pPr>
        <w:spacing w:after="0" w:line="17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If there are delays in obtaining regulatory approvals or other additional delays, the period of time during which we can market our product candidates under patent protection could be further reduced. Given the amount of time required for the development, testing and regulatory review of new product candidates, patents protecting such product candidates might expire before or shortly after such product candidates are commercialized. Once the patent term has expired, we may be open to competition from similar or generic products.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Employee Matters and Managing Growth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We are highly dependent on our management team, including Lloyd Segal, our President and Chief Executive Officer, Michael Zinda, Ph.D., our Chief Scientific Officer, and Maria Koehler, M.D., Ph.D., our Chief Medical Officer. Each of them may currently terminate their employment with us at any time and will continue to be able to do so after the closing of this offering.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88"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expect to expand our organization, and we may experience difficulties in managing this growth, which could disrupt our operations.</w:t>
      </w:r>
    </w:p>
    <w:p>
      <w:pPr>
        <w:spacing w:after="0" w:line="140"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As of March 31, 2020, we had 64 full-time employees, including 53 employees engaged in research and development. As our clinical development and commercialization plans and strategies develop, and as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transition into operating as a public company, we expect we will need additional managerial, operational, sales, marketing, financial, legal and other personnel. Future growth would impose significant added responsibilities on members of management, including:</w:t>
      </w:r>
    </w:p>
    <w:p>
      <w:pPr>
        <w:spacing w:after="0" w:line="76" w:lineRule="exact"/>
        <w:rPr>
          <w:sz w:val="20"/>
          <w:szCs w:val="20"/>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managing our development efforts effectively, including the planned Phase 1 clinical trial of RP-3500, while complying with our contractual obligations to contractors and other third parties;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preclinical studies or clinical trials may be extended, delayed or terminated, and we may not be able to obtain marketing approval of our product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If we are not able to effectively expand our organization by hiring qualified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92" w:lineRule="exact"/>
        <w:rPr>
          <w:sz w:val="20"/>
          <w:szCs w:val="20"/>
          <w:color w:val="auto"/>
        </w:rPr>
      </w:pPr>
    </w:p>
    <w:p>
      <w:pPr>
        <w:ind w:left="460" w:right="40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16"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280" w:firstLine="449"/>
        <w:spacing w:after="0" w:line="273" w:lineRule="auto"/>
        <w:rPr>
          <w:sz w:val="20"/>
          <w:szCs w:val="20"/>
          <w:color w:val="auto"/>
        </w:rPr>
      </w:pPr>
      <w:r>
        <w:rPr>
          <w:rFonts w:ascii="Arial" w:cs="Arial" w:eastAsia="Arial" w:hAnsi="Arial"/>
          <w:sz w:val="17"/>
          <w:szCs w:val="17"/>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international operations pose currency risks, which may adversely affect our operating results.</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operating results may be affected by volatility in currency exchange rates and our ability to manage effectively our currency transaction risks. Although we report, and will continue to report, our results in U.S. dollars, a portion our expenses are incurred in Canadian dollars as a result of our operations in Canada, as well as other currencies to a lesser extent. For example, we are also exposed to currency risk through our collaboration agreement with Ono as future payments receivable under our collaboration agreement, if any, are denominated in Japanese Yen.</w:t>
      </w:r>
    </w:p>
    <w:p>
      <w:pPr>
        <w:spacing w:after="0" w:line="17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addition, we maintain a significant portion of our cash in Canadian dollar-denominated reserves. We do not currently manage our foreign currency exposure in a manner that would eliminate the effects of changes in foreign exchange rates. For example, we have not engaged in any active hedging techniques, and we have not employed any derivative instruments to date. Therefore, unfavorable fluctuations in the exchange rate between the Canadian dollar and U.S. dollar could have a negative impact on our business and financial results. We do, however, keep expected Canadian dollar cash requirements in Canadian dollars to form a natural hedge.</w:t>
      </w:r>
    </w:p>
    <w:p>
      <w:pPr>
        <w:spacing w:after="0" w:line="296"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38"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4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Data collection is governed by restrictive regulations governing the use, processing and cross-border transfer of personal information.</w:t>
      </w:r>
    </w:p>
    <w:p>
      <w:pPr>
        <w:spacing w:after="0" w:line="140"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European Union, often referred to as Brexit, has created uncertainty with regard to data protection regulation in the United Kingdom. In particular, it is unclear how data transfers to and from the United Kingdom will be regulated.</w:t>
      </w:r>
    </w:p>
    <w:p>
      <w:pPr>
        <w:spacing w:after="0" w:line="17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459" w:right="3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7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current or future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0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Shares</w:t>
      </w:r>
    </w:p>
    <w:p>
      <w:pPr>
        <w:spacing w:after="0" w:line="229"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No public market for our common shares currently exists, and a public market may not develop or be liquid enough for you to sell your shares quickly or at or above the offering price, if at all.</w:t>
      </w:r>
    </w:p>
    <w:p>
      <w:pPr>
        <w:spacing w:after="0" w:line="6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offering constitutes our initial public offering, and no public market for our common shares currently exists. Any delay in the commencement of trading of our common shares on The Nasdaq Global Select Market would impair the liquidity of the market for our common shares and make it more difficult for holders to sell their shares. If an active trading market for our common shares does not develop following this offering, you may not be able to sell your shares quickly or at the market price. An inactive market may also impair our ability to raise capital to continue to fund operations by selling our common shares and may impair our ability to acquire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other companies or technologies by using our common shares as consideration. The initial public offering price of our common shares will be determined by negotiations between us and representatives of the underwriters and may not be indicative of the market prices of our common shares that will prevail in the trading market.</w:t>
      </w:r>
    </w:p>
    <w:p>
      <w:pPr>
        <w:spacing w:after="0" w:line="29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shares may be volatile and fluctuate substantially, which could result in substantial losses for purchasers of our common shares in this offering.</w:t>
      </w:r>
    </w:p>
    <w:p>
      <w:pPr>
        <w:spacing w:after="0" w:line="62"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The trading price of our common shares following this offering is likely to be highly volatile. The stock market in general and the market for biopharmaceutical and pharmaceutical companies in particular have experienced extreme volatility that has often been unrelated to the operating performance of particular companies. As a result of this volatility, you may not be able to sell your common shares at or above the initial public offering price. In addition to the factors discussed in this “Risk Factors” section and elsewhere in this prospectus, the trading price for our common shares may be influenced by the following factors:</w:t>
      </w:r>
    </w:p>
    <w:p>
      <w:pPr>
        <w:spacing w:after="0" w:line="93" w:lineRule="exact"/>
        <w:rPr>
          <w:sz w:val="20"/>
          <w:szCs w:val="20"/>
          <w:color w:val="auto"/>
        </w:rPr>
      </w:pPr>
    </w:p>
    <w:p>
      <w:pPr>
        <w:ind w:left="1000" w:right="28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commencement, enrollment, timing and results of our planned or future clinical trials of RP-3500 and any future product candidates or those of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success or failure in identifying new drug candidates to pursue in clinical development;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or failure of our SNIPRx platform in identification of new druggable SL targets;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competitive drugs, therapies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or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related to any existing or future collaborations;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expenses related to RP-3500 and any future product candidates or clinical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inability to obtain or delays in obtaining adequate drug supply for any approved drug or inability to do so at acceptable prices;</w:t>
      </w:r>
    </w:p>
    <w:p>
      <w:pPr>
        <w:spacing w:after="0" w:line="142" w:lineRule="exact"/>
        <w:rPr>
          <w:rFonts w:ascii="Arial" w:cs="Arial" w:eastAsia="Arial" w:hAnsi="Arial"/>
          <w:sz w:val="17"/>
          <w:szCs w:val="17"/>
          <w:color w:val="auto"/>
        </w:rPr>
      </w:pPr>
    </w:p>
    <w:p>
      <w:pPr>
        <w:ind w:left="1000" w:right="24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 including coverage and adequate reimbursement for any approved drug;</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common shares by us, our executive officers, directors or principal shareholders, or others;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and elsewhere in this prospectus.</w:t>
      </w:r>
    </w:p>
    <w:p>
      <w:pPr>
        <w:spacing w:after="0" w:line="225"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shares to fluctuate substantially, regardless of our actual operating performance, which may limit or prevent investors from selling their shares at or above the price paid for the shares and may otherwise negatively affect the liquidity of our common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5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shares.</w:t>
      </w:r>
    </w:p>
    <w:p>
      <w:pPr>
        <w:spacing w:after="0" w:line="286"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shares among our existing executive officers, directors and principal shareholders may prevent new investors from influencing significant corporate decisions.</w:t>
      </w:r>
    </w:p>
    <w:p>
      <w:pPr>
        <w:spacing w:after="0" w:line="62"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Based upon our common shares outstanding as of March 31, 2020, upon the completion of this offering, our executive officers, directors and shareholders who owned more than 5% of our outstanding common shares before this offering will, in the aggregate, beneficially own shares representing approximately 57.5% of our outstanding common shares. If our executive officers, directors and shareholders who owned more than 5% of our outstanding common shares acted together, they may be able to significantly influence all matters requiring shareholder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shareholders may desire or result in the management of our company in ways with which other shareholders disagree.</w:t>
      </w:r>
    </w:p>
    <w:p>
      <w:pPr>
        <w:spacing w:after="0" w:line="285"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or reports, or publish unfavorable research or reports, about us, our business or our market, our share price and trading volume could decline.</w:t>
      </w:r>
    </w:p>
    <w:p>
      <w:pPr>
        <w:spacing w:after="0" w:line="62"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trading market for our common shares will be influenced by the research and reports that industry or financial analysts publish about us or our business. We do not currently have, and may never obtain, research coverage by industry or financial analysts. Equity research analysts may elect not to provide research coverage of our common shares after the completion of this offering, and such lack of research coverage may adversely affect the market price of our common shares. In the event we do have equity research analyst coverage,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shares to decline.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you purchase our common shares in this offering, you will suffer immediate dilution of your investment.</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initial public offering price of our common shares will be substantially higher than the net tangible book value per common share. Therefore, if you purchase our common shares in this offering, you will pay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price per share that substantially exceeds our net tangible book value per share after this offering. Based on the initial public offering price of $20.00 per share, you will experience immediate dilution of $11.62 per share, representing the difference between our pro forma as adjusted net tangible book value per share after this offering and the initial public offering price per share. After this offering, we will also have outstanding options to purchase common shares with exercise prices lower than the initial public offering price. To the extent these outstanding options are exercised, there will be further dilution to investors in this offering. See the section titled “Dilution” for additional information.</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This could cause the market price of our shares to drop significantly, even if our business is doing well.</w:t>
      </w:r>
    </w:p>
    <w:p>
      <w:pPr>
        <w:spacing w:after="0" w:line="103"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Sales of a substantial number of our common shares in the public market could occur at any time. If our shareholders sell, or the market perceives that our shareholders intend to sell, substantial amounts of our common shares in the public market following this offering, the market price of our common shares could decline significantly.</w:t>
      </w:r>
    </w:p>
    <w:p>
      <w:pPr>
        <w:spacing w:after="0" w:line="184"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Upon completion of this offering, we will have 35,018,085 common shares outstanding, based on the number of shares outstanding as of March 31, 2020. Of these shares, the 11,000,000 common shares sold in this offering will be freely tradable, and the remaining 24,018,085 common shares will be available for sale in the public market beginning 180 days after the date of this prospectus following the expiration of lock-up agreements entered into by our shareholders in connection with the offering. The representatives of the underwriters may agree to release these shareholders from their lock-up agreements at any time and without notice, which would allow for earlier sales of shares in the public market. Sales of a substantial number of such shares upon expiration of the lock-up agreements, the perception that such sales may occur, or early release of restrictions in the lock-up agreements, could cause the market price of our common shares to fall or make it more difficult for you to sell your shares at a time and price that you deem appropriate.</w:t>
      </w:r>
    </w:p>
    <w:p>
      <w:pPr>
        <w:spacing w:after="0" w:line="16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addition, promptly following the completion of this offering, we intend to file one or more registration statements on Form S-8 to register our common shares that are issuable pursuant to our equity incentive plans. Shares registered under these registration statements on Form S-8 will be available for sale in the public market subject to vesting arrangements and exercise of options, the lock-up agreements described above and, in the case of our affiliates, the restrictions of Rule 144 under the Securities Act of 1933, as amended.</w:t>
      </w:r>
    </w:p>
    <w:p>
      <w:pPr>
        <w:spacing w:after="0" w:line="18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Additionally, after this offering, the holders of an aggregate of 23,050,723 common shares, which gives effect to the automatic exercise of the warrant held by an affiliate of Bristol Myers Squibb into an aggregate of 750,000 common shares, based on the initial public offering price of $20.00 per share, or their transferees, will have rights, subject to some conditions, to require us to file one or more registration statements covering their shares or to include their shares in registration statements that we may file for ourselves or other shareholders. If we were to register the resale of these shares, they could be freely sold in the public market. If these additional shares are sold, or if it is perceived that they will be sold, in the public market, the trading price of our common shares could decline.</w:t>
      </w:r>
    </w:p>
    <w:p>
      <w:pPr>
        <w:spacing w:after="0" w:line="30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6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You should not rely on an investment in our common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common shares in this offering.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Our articles of continuance to be in effect following completion of this offering will permit us to issue an unlimited number of common shares and preferred shares without additional shareholder approval.</w:t>
      </w:r>
    </w:p>
    <w:p>
      <w:pPr>
        <w:spacing w:after="0" w:line="62"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Our articles of continuance to be in effect following completion of this offering will permit us to issue an unlimited number of common shares. We anticipate that we will, from time to time, issue additional common shares in the future. Any further issuances of common shares will result in immediate dilution to existing shareholders and may have an adverse effect on the value of their holdings.</w:t>
      </w:r>
    </w:p>
    <w:p>
      <w:pPr>
        <w:spacing w:after="0" w:line="184"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Our articles of continuance to be in effect following completion of this offering will also permit us to issue an unlimited number of preferred shares, issuable in one or more series and, subject to the provisions of the Business Corporations Act (Québec), or QBCA, having such designations, rights, privileges, restrictions and conditions, including dividend and voting rights, as our board of directors may determine and which may be superior to those of the common shares. The issuance of preferred shares, while providing flexibility in connection with possible acquisitions, financings and other corporate purposes, could, among other things, have the effect of delaying, deferring or preventing a change in control of Repare and might adversely affect the market price of our common shares and the voting and other rights of the holders of common shares. We have no current or immediate plans to issue any preferred shares following the completion of this offering.</w:t>
      </w:r>
    </w:p>
    <w:p>
      <w:pPr>
        <w:spacing w:after="0" w:line="17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Subject to Nasdaq listing rules, we will not be required to obtain the approval of shareholders for the issuance of additional common shares and preferred shares.</w:t>
      </w:r>
    </w:p>
    <w:p>
      <w:pPr>
        <w:spacing w:after="0" w:line="278"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including the net proceeds from this offering, and may use them ineffectively, in ways in which you do not agree or in ways that do not increase the value of your investment.</w:t>
      </w:r>
    </w:p>
    <w:p>
      <w:pPr>
        <w:spacing w:after="0" w:line="62"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Our management will have broad discretion in the application of our cash, including the net proceeds from this offering, and could spend the proceeds in ways that do not improve our results of operations or enhance the value of our common shares</w:t>
      </w:r>
      <w:r>
        <w:rPr>
          <w:rFonts w:ascii="Arial" w:cs="Arial" w:eastAsia="Arial" w:hAnsi="Arial"/>
          <w:sz w:val="17"/>
          <w:szCs w:val="17"/>
          <w:i w:val="1"/>
          <w:iCs w:val="1"/>
          <w:color w:val="auto"/>
        </w:rPr>
        <w:t>.</w:t>
      </w:r>
      <w:r>
        <w:rPr>
          <w:rFonts w:ascii="Arial" w:cs="Arial" w:eastAsia="Arial" w:hAnsi="Arial"/>
          <w:sz w:val="17"/>
          <w:szCs w:val="17"/>
          <w:color w:val="auto"/>
        </w:rPr>
        <w:t xml:space="preserve"> The failure by our management to apply these funds effectively could result in financial losses that could have a negative impact on our business, cause the price of our common shares to decline and delay the development of our product candidates</w:t>
      </w:r>
      <w:r>
        <w:rPr>
          <w:rFonts w:ascii="Arial" w:cs="Arial" w:eastAsia="Arial" w:hAnsi="Arial"/>
          <w:sz w:val="17"/>
          <w:szCs w:val="17"/>
          <w:i w:val="1"/>
          <w:iCs w:val="1"/>
          <w:color w:val="auto"/>
        </w:rPr>
        <w:t>.</w:t>
      </w:r>
      <w:r>
        <w:rPr>
          <w:rFonts w:ascii="Arial" w:cs="Arial" w:eastAsia="Arial" w:hAnsi="Arial"/>
          <w:sz w:val="17"/>
          <w:szCs w:val="17"/>
          <w:color w:val="auto"/>
        </w:rPr>
        <w:t xml:space="preserve"> Pending their use, we may invest our cash, including the net proceeds from this offering, in a manner that does not produce income or that loses value. See the section titled “Use of Proceeds” for additional information.</w:t>
      </w:r>
    </w:p>
    <w:p>
      <w:pPr>
        <w:spacing w:after="0" w:line="284"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6"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Section 404(a) of the Sarbanes-Oxley Act of 2002, as amended, or the Sarbanes-Oxley Act, requires that beginning with our second annual report following our initial public offering, management assess and report annually on the effectiveness of our internal control over financial reporting and identify any material weaknesses in our internal control over financial reporting. Although Section 404(b) of the Sarbanes-Oxley Act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emerging growth company.</w:t>
      </w:r>
    </w:p>
    <w:p>
      <w:pPr>
        <w:spacing w:after="0" w:line="192" w:lineRule="exact"/>
        <w:rPr>
          <w:sz w:val="20"/>
          <w:szCs w:val="20"/>
          <w:color w:val="auto"/>
        </w:rPr>
      </w:pPr>
    </w:p>
    <w:p>
      <w:pPr>
        <w:jc w:val="both"/>
        <w:ind w:right="300" w:firstLine="449"/>
        <w:spacing w:after="0" w:line="311"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common shares.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200" w:firstLine="449"/>
        <w:spacing w:after="0" w:line="296" w:lineRule="auto"/>
        <w:rPr>
          <w:sz w:val="20"/>
          <w:szCs w:val="20"/>
          <w:color w:val="auto"/>
        </w:rPr>
      </w:pPr>
      <w:r>
        <w:rPr>
          <w:rFonts w:ascii="Arial" w:cs="Arial" w:eastAsia="Arial" w:hAnsi="Arial"/>
          <w:sz w:val="16"/>
          <w:szCs w:val="16"/>
          <w:color w:val="auto"/>
        </w:rPr>
        <w:t>Upon the completion of this offering, we will become subject to the periodic reporting requirements of the Securities Exchange Act of 1934, or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6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are a passive foreign investment company following this offering, there could be adverse U.S. federal income tax consequences to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w:t>
      </w:r>
    </w:p>
    <w:p>
      <w:pPr>
        <w:spacing w:after="0" w:line="103"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Under the Internal Revenue Code of 1986, as amended, or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composition of our income and assets, we believe we were a PFIC for the taxable year ended December 31, 2019. However, based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operating history and the projected composition of our income and valuation of our assets, including goodwill, for the taxable year ending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we do not expect to be classified as a PFIC. However, no assurances regarding our PFIC status can be provided for any past, current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future taxable years. The determination of whether we are a PFIC is a fact-intensive determination made on an annual basis and the applicable law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subject to varying interpretation. In particular, the characterization of our assets as active or passive may depend in part on our current and intended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plans, which are subject to change. In addition, for our current and future taxable years, the total value of our assets for PFIC testing purposes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determined in part by reference to the market price of our common shares from time to time, which may fluctuate considerably. Under the income test,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status as a PFIC depends on the composition of our income which will depend on the transactions we enter into in the future and our corporate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structure. The composition of our income and assets is also affected by how, and how quickly, we spend the cash we raise in any offering, including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offering. Accordingly, our U.S. counsel expresses no opinion with respect to our PFIC status for our taxable year ended December 31, 2019, and also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expresses no opinion with regard to our expectations regarding our PFIC status in the future.</w:t>
      </w:r>
    </w:p>
    <w:p>
      <w:pPr>
        <w:spacing w:after="0" w:line="21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If we are a PFIC, a U.S. Holder (as defined below under “Material Income Tax Considerations—Material U.S. Federal Income Tax Considerations for U.S. Holders”) of our common shares would be subject to adverse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U.S. federal income tax consequences, such as ineligibility for any preferential tax rates for individuals on capital gains or on actual or deemed dividends, interest charges on certain taxes treated as deferred, and additional reporting requirements under U.S. federal income tax laws and regulations. For further discussion of the PFIC rules and the adverse U.S. federal income tax consequences in the event we are classified as a PFIC, see the section titled ‘‘Material Income Tax Considerations—Material U.S. Federal Income Considerations for U.S. Holders” in this prospectus. Each U.S. Holder should consult its own tax advisors with respect to the potential adverse U.S. tax consequences to it if we are or were to become a PFIC.</w:t>
      </w:r>
    </w:p>
    <w:p>
      <w:pPr>
        <w:spacing w:after="0" w:line="269"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If we are a controlled foreign corporation, there could be materially adverse U.S. federal income tax consequences to certain U.S. Holders of our common shares.</w:t>
      </w:r>
    </w:p>
    <w:p>
      <w:pPr>
        <w:spacing w:after="0" w:line="62"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 taxed income, and investment of earnings in U.S. property, even if the CFC has made no distributions to its shareholders. Subpart F income generally includes dividends, interest, rents,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An individual that is a Ten Percent Shareholder with respect to a CFC generally would not be allowed certain tax deductions or foreign tax credits that would be allowed to a Ten Percent Shareholder that is a U.S. corporation. Failure to comply with these reporting obligations may subject a Ten Percent Shareholder to significant monetary penalties and may prevent the statute of limitations with respect to such Ten Percent Shareholder’s U.S. federal income tax return for the year for which reporting was due from starting.</w:t>
      </w:r>
    </w:p>
    <w:p>
      <w:pPr>
        <w:spacing w:after="0" w:line="166"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15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believe that we were a CFC in the 2019 taxable year, and we may continue to be a CFC in the 2020 taxable year or in a subsequent taxable year. The determination of CFC status is complex and includes attribution rules, the application of which is not entirely certain. In addition, recent changes to the attribution rules relating to the determination of CFC status may make it difficult to determine our CFC status for any taxable year. Because our group includes at least one U.S. subsidiary (Repare Therapeutics USA Inc.), if we were to form or acquire any non-U.S. subsidiaries in the future, those changes to the attribution rules may cause such non-U.S. subsidiaries to be treated as controlled foreign corporations. We cannot provide any assurances that we will assist holders of our common shares in determining whether we or any non-U.S. subsidiaries that we may form or acquire are or will be treated as a CFC or whether any holder of the common shares is treated as a Ten Percent Shareholder with respect to any such CFC or furnish to any Ten Percent Shareholders information that may be necessary to comply with the aforementioned reporting and tax paying obligations.</w:t>
      </w:r>
    </w:p>
    <w:p>
      <w:pPr>
        <w:spacing w:after="0" w:line="165"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Each U.S. Holder should consult its own tax advisors with respect to the potential adverse U.S. tax consequences of becoming a Ten Percent Shareholder in a CFC. If we are classified as both a CFC and a PFIC (as defined above), we generally will not be treated as a PFIC with respect to those U.S. Holders that meet the definition of a Ten Percent Shareholder during the period in which we are a CFC.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11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use our non-capital loss carryforwards to offset future taxable income may be subject to certain limitations.</w:t>
      </w:r>
    </w:p>
    <w:p>
      <w:pPr>
        <w:spacing w:after="0" w:line="117"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In general, where control of a corporation has been acquired by a person or group of persons, subsection 111(5) of the Income Tax Act (Canada), or the Canadian Tax Act, and equivalent provincial income tax legislation restrict the corporation’s ability to carry forward non-capital losses from preceding taxation years. We have not performed a detailed analysis to determine whether an acquisition of control for the purposes of subsection 111(5) of the Canadian Tax Act has occurred after each of our previous issuances of common shares or preferred shares. In addition, if we undergo an acquisition of control after this public offering, our ability to utilize non-capital losses could be limited by subsection 111(5) of the Canadian Tax Act. As of December 31, 2019, we had Canadian federal and provincial non-capital loss carry forwards of $31.5 million, which expire beginning in 2036 through 2039. In addition, we also have scientific research and experimental development expenditures of approximately $15.8 million for Canadian federal and provincial income tax purposes, which have not been deducted. These expenditures are available to reduce future taxable income and have an unlimited carry-forward period. We also have scientific research and experimental development tax credit carry forwards of approximately $2.6 million for Canadian federal income tax purposes, which expire beginning in 2036 through 2039. Research and development tax credits and expenditures are subject to verification by the tax authorities, and, accordingly, these amounts may vary. Future changes in our share ownership, some of which are outside of our control, could result in an acquisition of control for the purposes of subsection 111(5) of the Canadian Tax Act. Furthermore, our ability to utilize non-capital losses (or U.S. equivalents) of companies that we may acquire in the future may be subject to limitations. As a result, even if we attain profitability, we may be unable to use a material portion of our non-capital losses and other tax attributes, which could negatively impact our future cash flows.</w:t>
      </w:r>
    </w:p>
    <w:p>
      <w:pPr>
        <w:spacing w:after="0" w:line="290"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the Canadian Revenue Agency,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320" w:top="459" w:right="3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Our deductions and credits in respect of scientific research and experimental development expenditures may be challenged by the Canadian tax authorities.</w:t>
      </w:r>
    </w:p>
    <w:p>
      <w:pPr>
        <w:spacing w:after="0" w:line="62" w:lineRule="exact"/>
        <w:rPr>
          <w:sz w:val="20"/>
          <w:szCs w:val="20"/>
          <w:color w:val="auto"/>
        </w:rPr>
      </w:pPr>
    </w:p>
    <w:p>
      <w:pPr>
        <w:ind w:right="340" w:firstLine="449"/>
        <w:spacing w:after="0" w:line="257" w:lineRule="auto"/>
        <w:rPr>
          <w:sz w:val="20"/>
          <w:szCs w:val="20"/>
          <w:color w:val="auto"/>
        </w:rPr>
      </w:pPr>
      <w:r>
        <w:rPr>
          <w:rFonts w:ascii="Arial" w:cs="Arial" w:eastAsia="Arial" w:hAnsi="Arial"/>
          <w:sz w:val="18"/>
          <w:szCs w:val="18"/>
          <w:color w:val="auto"/>
        </w:rPr>
        <w:t>The Canadian taxation authorities may not necessarily agree with our determinations of the expenses and tax credits claimed by us, including scientific research and experimental development expenses and related tax credits. If the Canadian taxation authorities successfully challenge such expenses or the correctness of such income tax credits claimed, our operating results could be adversely affected. Furthermore, if the Canadian taxation authorities reduce the tax credit by reducing either the rate of the credit or the eligibility of some scientific research and experimental development expenses in the future, our operating results could be adversely affected.</w:t>
      </w:r>
    </w:p>
    <w:p>
      <w:pPr>
        <w:spacing w:after="0" w:line="296" w:lineRule="exact"/>
        <w:rPr>
          <w:sz w:val="20"/>
          <w:szCs w:val="20"/>
          <w:color w:val="auto"/>
        </w:rPr>
      </w:pPr>
    </w:p>
    <w:p>
      <w:pPr>
        <w:ind w:left="460" w:right="42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shares less attractive to investors.</w:t>
      </w:r>
    </w:p>
    <w:p>
      <w:pPr>
        <w:spacing w:after="0" w:line="1"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shareholder votes on executive compensation and shareholder approval of any golden parachute payments not approved previously. In addition, as an emerging growth company, we are only required to provide two years of audited financial statements and two years of selected financial data in this prospectus. 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7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could be an emerging growth company until the last day of our fiscal year following the fifth anniversary of the completion of this offering, although circumstances could cause us to lose that status earlier, including if we are deemed to be a “large accelerated filer,” which occurs when the market value of our common shares that is held by non-affiliates equals or exceeds $700.0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w:t>
      </w:r>
    </w:p>
    <w:p>
      <w:pPr>
        <w:spacing w:after="0" w:line="19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common shares held by non-affiliates is less than $700 million and our annual revenue was less than $100 million during our most recently completed fiscal year. We may continue to be a smaller reporting company if either</w:t>
      </w:r>
    </w:p>
    <w:p>
      <w:pPr>
        <w:ind w:right="160" w:firstLine="8"/>
        <w:spacing w:after="0" w:line="253" w:lineRule="auto"/>
        <w:tabs>
          <w:tab w:leader="none" w:pos="2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market value of our common shares held by non-affiliates is less than $250 million or (ii) our annual revenue was less than $100 million during the most recently completed fiscal year and the market value of our common shares held by non-affiliates is less than $700 million. If we are a smaller reporting company at the time we cease to be an emerging growth company, we may continue to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compensation in this prospectus and in our periodic reports and proxy statements. For so long as we remain a smaller reporting company, we are permitted and intend to rely on exemptions from certain disclosure and other requirements that are applicable to other public companies that are not smaller reporting companies.</w:t>
      </w:r>
    </w:p>
    <w:p>
      <w:pPr>
        <w:spacing w:after="0" w:line="184"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We cannot predict if investors will find our common shares less attractive because we may rely on the exemptions and reduced disclosure obligations applicable to emerging growth companies and smaller reporting companies. If some investors find our common shares less attractive as a result, there may be a less active trading market for our common shares and our share price may be more volatile.</w:t>
      </w:r>
    </w:p>
    <w:p>
      <w:pPr>
        <w:spacing w:after="0" w:line="292" w:lineRule="exact"/>
        <w:rPr>
          <w:sz w:val="20"/>
          <w:szCs w:val="20"/>
          <w:color w:val="auto"/>
        </w:rPr>
      </w:pPr>
    </w:p>
    <w:p>
      <w:pPr>
        <w:ind w:left="460" w:right="76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2" w:lineRule="exact"/>
        <w:rPr>
          <w:sz w:val="20"/>
          <w:szCs w:val="20"/>
          <w:color w:val="auto"/>
        </w:rPr>
      </w:pPr>
    </w:p>
    <w:p>
      <w:pPr>
        <w:ind w:left="460" w:right="4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to be in effect following the completion of this offering designate specific courts in Canada and the United States as the exclusive forum for certain litigation that may be initiated by our shareholders, which could limit our shareholders’ ability to obtain a favorable judicial forum for disputes with us.</w:t>
      </w:r>
    </w:p>
    <w:p>
      <w:pPr>
        <w:spacing w:after="0" w:line="7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Pursuant to our amended and restated bylaws to be in effect following the completion of this offering, unless we consent in writing to the selection of an alternative forum, the courts of the Province of Québec and the appellate courts therefrom shall, to the fullest extent permitted by law, be the sole and exclusive forum for: (a) any derivative action or proceeding brought on our behalf; (b) any action or proceeding asserting a claim for breach of fiduciary duty owed to us by any of our directors, officers or other employees; (c) any action or proceeding asserting a claim arising out of any provision of the Business Corporations Act (Québec) or the articles or our bylaws (as either may be amended from time to time); or (d) any action or proceeding asserting a claim otherwise related to our affairs, or the Canadian Forum Provision. The Canadian Forum Provision will not apply to any causes of action arising under the Securities Act or the Exchange Act. Our amended and restated bylaws to be in effect following the completion of this offering further provide that unless we consent in writing to the selection of an alternative forum, the federal district courts of the United States of America shall be the exclusive forum for the resolution of any complaint asserting a cause of action arising under the Securities Act, or the U.S. Federal Forum Provision. In addition, our amended and restated bylaws to be in effect following the completion of this offering provide that any person or entity holding, owning or otherwise acquiring any interest in any of our securities is deemed to have notice of and consented to the Canadian Forum Provision and the U.S. Federal Forum Provision.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45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The Canadian Forum Provision and the U.S. Federal Forum Provision in our amended and restated bylaws to be in effect following the completion of this offering may impose additional litigation costs on shareholders in pursuing any such claims. Additionally, the forum selection clauses in our amended and restated bylaws to be in effect following the completion of this offering may limit our shareholders’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courts in Canada and other courts within the United States, will enforce our U.S. Federal Forum Provision. If the U.S. Federal Forum Provision is found to be unenforceable, we may incur additional costs associated with resolving such matters. The U.S. Federal Forum Provision may also impose additional litigation costs on shareholders who assert that the provision is not enforceable or invalid. The courts of the Province of Québec and the federal district courts of the United States of America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Because we are a Canadian company, it may be difficult to serve legal process or enforce judgments against us.</w:t>
      </w:r>
    </w:p>
    <w:p>
      <w:pPr>
        <w:spacing w:after="0" w:line="117" w:lineRule="exact"/>
        <w:rPr>
          <w:sz w:val="20"/>
          <w:szCs w:val="20"/>
          <w:color w:val="auto"/>
        </w:rPr>
      </w:pPr>
    </w:p>
    <w:p>
      <w:pPr>
        <w:jc w:val="both"/>
        <w:ind w:right="260" w:firstLine="449"/>
        <w:spacing w:after="0" w:line="257" w:lineRule="auto"/>
        <w:rPr>
          <w:sz w:val="20"/>
          <w:szCs w:val="20"/>
          <w:color w:val="auto"/>
        </w:rPr>
      </w:pPr>
      <w:r>
        <w:rPr>
          <w:rFonts w:ascii="Arial" w:cs="Arial" w:eastAsia="Arial" w:hAnsi="Arial"/>
          <w:sz w:val="18"/>
          <w:szCs w:val="18"/>
          <w:color w:val="auto"/>
        </w:rPr>
        <w:t>We are incorporated and have our corporate headquarters in Québec, Canada. In addition, while many of our directors and officers reside in the United States, several of them reside outside of the United States. Accordingly, service of process upon us may be difficult to obtain within the United States. Furthermore, because substantially all of our assets are located outside the United States, any judgment obtained in the United States against us, including one predicated on the civil liability provisions of the U.S. federal securities laws, may not be collectible within the United States. Therefore, it may not be possible to enforce those actions against us.</w:t>
      </w:r>
    </w:p>
    <w:p>
      <w:pPr>
        <w:spacing w:after="0" w:line="188"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addition, it may be difficult to assert U.S. securities law claims in original actions instituted in Canada. Canadian courts may refuse to hear a claim based on an alleged violation of U.S. securities laws against us or these persons on the grounds 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 Furthermore, it may not be possible to subject foreign persons or entities to the jurisdiction of the courts in Canada. Similarly, to the extent that our assets are located in Canada, investors may have difficulty collecting from us any judgments obtained in the U.S. courts and predicated on the civil liability provisions of U.S. securities provisions.</w:t>
      </w:r>
    </w:p>
    <w:p>
      <w:pPr>
        <w:spacing w:after="0" w:line="285"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Following the completion of the offering, we will be governed by the corporate laws of Québec, which in some cases have a different effect on shareholders than the corporate laws of Delaware.</w:t>
      </w:r>
    </w:p>
    <w:p>
      <w:pPr>
        <w:spacing w:after="0" w:line="62"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Following the completion of the offering, we will be governed by the QBCA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us by means of a tender offer, a proxy contest or otherwise, or may affect the price an acquiring party would be willing to offer in such an instance. The material differences between the QBCA and Delaware General Corporation Law, or the DGCL, that may have the greatest such effect include but are not limited to the following: (i) for material corporate transactions (such as mergers and amalgamations, other extraordinary corporate transactions or amendments to our articles), the QBCA generally requires a two-thirds majority vote by shareholders, whereas the DGCL generally only requires a majority vote; and (ii) under the QBCA, a holder of 10% or more of our common shares can requisition a special meeting of shareholders, whereas such right does not exist under the DGCL. Refer to the section titled “Description of Share Capital-Differences in Corporation Law” for more information.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20"/>
        <w:spacing w:after="0" w:line="308" w:lineRule="auto"/>
        <w:rPr>
          <w:sz w:val="20"/>
          <w:szCs w:val="20"/>
          <w:color w:val="auto"/>
        </w:rPr>
      </w:pPr>
      <w:r>
        <w:rPr>
          <w:rFonts w:ascii="Arial" w:cs="Arial" w:eastAsia="Arial" w:hAnsi="Arial"/>
          <w:sz w:val="17"/>
          <w:szCs w:val="17"/>
          <w:b w:val="1"/>
          <w:bCs w:val="1"/>
          <w:i w:val="1"/>
          <w:iCs w:val="1"/>
          <w:color w:val="auto"/>
        </w:rPr>
        <w:t>Our amended and restated bylaws to be in effect following completion of this offering and certain Canadian legislation contain provisions that may have the effect of delaying or preventing certain change in control transactions or shareholder proposals.</w:t>
      </w:r>
    </w:p>
    <w:p>
      <w:pPr>
        <w:spacing w:after="0" w:line="3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Certain provisions of our amended and restated bylaws to be in effect following completion of this offering and certain Canadian legislation, together or separately, could discourage or delay certain change in control transactions or shareholder proposals.</w:t>
      </w:r>
    </w:p>
    <w:p>
      <w:pPr>
        <w:spacing w:after="0" w:line="170"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amended and restated bylaws to be in effect following completion of this offering contain provisions that establish certain advance notice procedures for nomination of candidates for election as directors at shareholders’ meetings. The QBCA requires that any shareholder proposal that includes nominations for the election of directors must be signed by one or more holders of shares representing in the aggregate not less than 5% of the shares or 5% of the shares of a class or series of shares of the corporation entitled to vote at the meeting to which the proposal is to be presented.</w:t>
      </w:r>
    </w:p>
    <w:p>
      <w:pPr>
        <w:spacing w:after="0" w:line="15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Investment Canada Act requires that a non-Canadian must file an application for review with the Minister responsible for the Investment Canada Act and obtain approval of the Minister prior to acquiring control of a “Canadian business” within the meaning of the Investment Canada Act, where prescribed financial thresholds are exceeded. Furthermore, limitations on the ability to acquire and hold our common shares may be imposed by the Competition Act (Canada). This legislation permits the Commissioner of Competition, or Commissioner, to review any acquisition or establishment, directly or indirectly, including through the acquisition of shares, of control over or of a significant interest in our company. Otherwise, there are no limitations either under the laws of Canada or Québec, or in our articles on the rights of non-Canadians to hold or vote our common shares.</w:t>
      </w:r>
    </w:p>
    <w:p>
      <w:pPr>
        <w:spacing w:after="0" w:line="164"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Any of these provisions may discourage a potential acquirer from proposing or completing a transaction that may have otherwise presented a premium to our shareholders.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w:t>
      </w:r>
    </w:p>
    <w:p>
      <w:pPr>
        <w:spacing w:after="0" w:line="16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prospectus, regarding, among other things:</w:t>
      </w:r>
    </w:p>
    <w:p>
      <w:pPr>
        <w:spacing w:after="0" w:line="92" w:lineRule="exact"/>
        <w:rPr>
          <w:sz w:val="20"/>
          <w:szCs w:val="20"/>
          <w:color w:val="auto"/>
        </w:rPr>
      </w:pPr>
    </w:p>
    <w:p>
      <w:pPr>
        <w:ind w:left="1000" w:right="80" w:hanging="547"/>
        <w:spacing w:after="0" w:line="308"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obtain regulatory approval of RP-3500 and any of our current and future product candidates that we develop;</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using our SNIPRx platform;</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business disruptions affecting the initiation, patient enrollment, development and operation of our clinical trials, including a public health emergency, such as the recent global outbreak of the COVID-19 coronavirus;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expectations regarding the potential market size and the rate and degree of market acceptance for any product candidates that we develop;</w:t>
      </w:r>
    </w:p>
    <w:p>
      <w:pPr>
        <w:spacing w:after="0" w:line="153"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effects of competition with respect to RP-3500 or any of our other current or future product candidates, as well as innovations by current and future competitors in our industry;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maintain and enforce for intellectual property rights covering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financial performance and our ability to effectively manage our anticipated growth;</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and our expected use of proceeds from this offering;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w:t>
      </w:r>
    </w:p>
    <w:p>
      <w:pPr>
        <w:spacing w:after="0" w:line="225"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The foregoing list of risks is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The Private Securities Litigation Reform Act of 1995 and Section 27A of the Securities Act of 1933, as amended, do not protect any forward-looking statements that we make in connection with this offering.</w:t>
      </w:r>
    </w:p>
    <w:p>
      <w:pPr>
        <w:spacing w:after="0" w:line="17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forward-looking statements in this prospectus by these cautionary statements.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Certain market and industry data included in this prospectus were obtained from independent third-party surveys, market research, publicly available information, reports of governmental agencies and industry publications and surveys. All market and industry data used in this prospectus involve a number of assumptions and limitations, and you are cautioned not to give undue weight to such estimates. Although we are responsible for the disclosure contained in this prospectus and we believe the information from industry publications and other third-party sources included in this prospectus is reliable, such information is inherently imprecise. The industry in which we operate is subject to a high degree of uncertainty and risk due to a variety of factors, including those described in the section titled “Risk Factors.” These and other factors could cause results to differ materially from those expressed in the estimates made by the independent parties and by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We estimate that the net proceeds to us from this offering will be approximately $200.6 million (or approximately $231.3 million if the underwriters exercise in full their option to purchase up to 1,650,000 additional common shares), based on the initial public offering price of $20.00 per share, after deducting underwriting fees and commissions and estimated offering expenses payable by us.</w:t>
      </w:r>
    </w:p>
    <w:p>
      <w:pPr>
        <w:spacing w:after="0" w:line="18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As of March 31, 2020, we had cash of $83.7 million. In May 2020, we entered into a collaboration and license agreement with Bristol Myers Squibb, pursuant to which Bristol Myers Squibb paid us an initial upfront fee payment of $50.0 million and made an equity investment of $15.0 million in our company. We currently intend to use the net proceeds from this offering, together with our existing cash, as follows:</w:t>
      </w:r>
    </w:p>
    <w:p>
      <w:pPr>
        <w:spacing w:after="0" w:line="89" w:lineRule="exact"/>
        <w:rPr>
          <w:sz w:val="20"/>
          <w:szCs w:val="20"/>
          <w:color w:val="auto"/>
        </w:rPr>
      </w:pPr>
    </w:p>
    <w:p>
      <w:pPr>
        <w:ind w:left="1000" w:right="26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$50.0 million to advance clinical development of RP-3500 through completion of our planned open-label Phase 1/2 clinical trial;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$110.0 million to fund other research and development initiatives;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remainder to fund working capital and other general corporate purposes.</w:t>
      </w:r>
    </w:p>
    <w:p>
      <w:pPr>
        <w:spacing w:after="0" w:line="225"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Based on our planned use of the net proceeds from this offering and our existing cash, including the $65.0 million payment from Bristol Myers Squibb, we estimate that such funds will be sufficient to fund our operating expenses and capital expenditure requirements at least through 2022. We have based this estimate on assumptions that may prove to be wrong, and we could use our available capital resources sooner than we expect. The expected net proceeds from this offering, together with our existing cash, will not be sufficient for us to fund any of our drug candidates through regulatory approval, and we will need to raise additional capital to complete the development and commercialization of our product candidates.</w:t>
      </w:r>
    </w:p>
    <w:p>
      <w:pPr>
        <w:spacing w:after="0" w:line="176"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prevailing business conditions, which could change in the future as such plans and conditions evolve. Predicting the cost necessary to develop product candidates can be difficult, and the amounts and timing of our actual expenditures may vary significantly depending on numerous factors, including the progress of our development, the status of and results from preclinical studies and clinical trials, any collaborations that we may enter into with third parties and any unforeseen cash needs. As a result, our management will retain broad discretion over the allocation of the net proceeds from this offering.</w:t>
      </w:r>
    </w:p>
    <w:p>
      <w:pPr>
        <w:spacing w:after="0" w:line="176"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However, we have no current commitments or obligations to do so.</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Pending the use of the net proceeds from this offering as described above, we intend to invest the net proceeds in a variety of capital preservation instruments, including bank deposits, short-term, interest-bearing obligations, investment-grade instruments, certificates of deposit or direct or guaranteed United States or Canadian government obligations.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never declared or paid cash dividends on our share capital, and we do not currently intend to pay any cash dividends on our share capital in the foreseeable future. We currently intend to retain all available funds and any future earnings, if any,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 In addition, our ability to pay cash dividends on our share capital in the future may be limited by the terms of any future debt or preferred securities we issue or any credit facilities we enter into.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459" w:right="3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our capitalization as of March 31, 2020 on:</w:t>
      </w:r>
    </w:p>
    <w:p>
      <w:pPr>
        <w:spacing w:after="0" w:line="131" w:lineRule="exact"/>
        <w:rPr>
          <w:sz w:val="20"/>
          <w:szCs w:val="20"/>
          <w:color w:val="auto"/>
        </w:rPr>
      </w:pPr>
    </w:p>
    <w:p>
      <w:pPr>
        <w:ind w:left="1000" w:hanging="54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 forma basis, giving effect to the conversion of all outstanding preferred shares into an aggregate of 21,558,393 common shares upon the completion of this offering; and</w:t>
      </w:r>
    </w:p>
    <w:p>
      <w:pPr>
        <w:spacing w:after="0" w:line="75" w:lineRule="exact"/>
        <w:rPr>
          <w:rFonts w:ascii="Arial" w:cs="Arial" w:eastAsia="Arial" w:hAnsi="Arial"/>
          <w:sz w:val="18"/>
          <w:szCs w:val="18"/>
          <w:color w:val="auto"/>
        </w:rPr>
      </w:pPr>
    </w:p>
    <w:p>
      <w:pPr>
        <w:ind w:left="1000" w:right="40" w:hanging="547"/>
        <w:spacing w:after="0" w:line="273"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pro forma as adjusted basis, giving further effect to: (i) the sale of 11,000,000 common shares in this offering at the initial public offering price of $20.00 per share, after deducting underwriting fees and commissions and estimated offering expenses payable by us; (ii) the issuance of a warrant to an affiliate of Bristol Myers Squibb on May 26, 2020 for proceeds of $15.0 million and the automatic exercise of the warrant into an aggregate of 750,000 common shares, based on the initial public offering price of $20.00 per share, and excluding the $50.0 million upfront payment we received from Bristol Myers Squibb in connection with our entry into the collaboration and license agreement in May 2020; and (iii) the filing and effectiveness of our articles of continuance.</w:t>
      </w:r>
    </w:p>
    <w:p>
      <w:pPr>
        <w:spacing w:after="0" w:line="178" w:lineRule="exact"/>
        <w:rPr>
          <w:sz w:val="20"/>
          <w:szCs w:val="20"/>
          <w:color w:val="auto"/>
        </w:rPr>
      </w:pPr>
    </w:p>
    <w:p>
      <w:pPr>
        <w:jc w:val="both"/>
        <w:ind w:right="460" w:firstLine="449"/>
        <w:spacing w:after="0" w:line="342" w:lineRule="auto"/>
        <w:rPr>
          <w:sz w:val="20"/>
          <w:szCs w:val="20"/>
          <w:color w:val="auto"/>
        </w:rPr>
      </w:pPr>
      <w:r>
        <w:rPr>
          <w:rFonts w:ascii="Arial" w:cs="Arial" w:eastAsia="Arial" w:hAnsi="Arial"/>
          <w:sz w:val="16"/>
          <w:szCs w:val="16"/>
          <w:color w:val="auto"/>
        </w:rPr>
        <w:t>You should read this table together with the sections titled “Selected Consolidated Financial Data,” “Management’s Discussion and Analysis of Financial Condition and Results of Operations” and our consolidated financial statements and the related notes included elsewhere in this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AS OF MARCH 31, 2020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PRO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PRO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49"/>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thousands, except share and per share amounts)</w:t>
            </w:r>
          </w:p>
        </w:tc>
        <w:tc>
          <w:tcPr>
            <w:tcW w:w="47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restart"/>
          </w:tcPr>
          <w:p>
            <w:pPr>
              <w:jc w:val="right"/>
              <w:ind w:right="388"/>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AS</w:t>
            </w:r>
          </w:p>
        </w:tc>
        <w:tc>
          <w:tcPr>
            <w:tcW w:w="0" w:type="dxa"/>
            <w:vAlign w:val="bottom"/>
          </w:tcPr>
          <w:p>
            <w:pPr>
              <w:spacing w:after="0"/>
              <w:rPr>
                <w:sz w:val="1"/>
                <w:szCs w:val="1"/>
                <w:color w:val="auto"/>
              </w:rPr>
            </w:pPr>
          </w:p>
        </w:tc>
      </w:tr>
      <w:tr>
        <w:trPr>
          <w:trHeight w:val="178"/>
        </w:trPr>
        <w:tc>
          <w:tcPr>
            <w:tcW w:w="316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94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rPr>
              <w:t>FORMA</w:t>
            </w:r>
          </w:p>
        </w:tc>
        <w:tc>
          <w:tcPr>
            <w:tcW w:w="180" w:type="dxa"/>
            <w:vAlign w:val="bottom"/>
          </w:tcPr>
          <w:p>
            <w:pPr>
              <w:spacing w:after="0"/>
              <w:rPr>
                <w:sz w:val="15"/>
                <w:szCs w:val="15"/>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03"/>
        </w:trPr>
        <w:tc>
          <w:tcPr>
            <w:tcW w:w="7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83,711</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83,711</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299,311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w w:val="99"/>
              </w:rPr>
              <w:t>Series A preferred shares, no par value, unlimited shares authorized; 11,090,135 shares issued and</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180"/>
              <w:spacing w:after="0"/>
              <w:rPr>
                <w:sz w:val="20"/>
                <w:szCs w:val="20"/>
                <w:color w:val="auto"/>
              </w:rPr>
            </w:pPr>
            <w:r>
              <w:rPr>
                <w:rFonts w:ascii="Arial" w:cs="Arial" w:eastAsia="Arial" w:hAnsi="Arial"/>
                <w:sz w:val="18"/>
                <w:szCs w:val="18"/>
                <w:color w:val="auto"/>
                <w:w w:val="94"/>
              </w:rPr>
              <w:t>outstanding, actual; unlimited shares authorized, no shares issued or outstanding, pro forma; no 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authorized, issued or outstanding, pro forma as adjusted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53,749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Series B preferred shares, no par value, unlimited shares authorized; 10,468,258 shares issued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outstanding, actual; unlimited shares authorized, no shares issued or outstanding, pro forma; no shares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authorized, issued or outstanding, pro forma as adjusted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82,248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Shareholders’ (deficit)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Preferred shares, no par value, no shares authorized, issued and outstanding, actual and pro forma;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unlimited shares authorized and no shares issued and outstanding, pro forma as adjusted</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4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2"/>
              </w:rPr>
              <w:t>Common shares, no par value, unlimited shares authorized, 1,709,692 shares issued and outstanding,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540"/>
              <w:spacing w:after="0"/>
              <w:rPr>
                <w:sz w:val="20"/>
                <w:szCs w:val="20"/>
                <w:color w:val="auto"/>
              </w:rPr>
            </w:pPr>
            <w:r>
              <w:rPr>
                <w:rFonts w:ascii="Arial" w:cs="Arial" w:eastAsia="Arial" w:hAnsi="Arial"/>
                <w:sz w:val="18"/>
                <w:szCs w:val="18"/>
                <w:color w:val="auto"/>
                <w:w w:val="92"/>
              </w:rPr>
              <w:t>actual; unlimited shares authorized, 23,268,085 shares issued and outstanding, pro forma; unlimited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ind w:left="540"/>
              <w:spacing w:after="0"/>
              <w:rPr>
                <w:sz w:val="20"/>
                <w:szCs w:val="20"/>
                <w:color w:val="auto"/>
              </w:rPr>
            </w:pPr>
            <w:r>
              <w:rPr>
                <w:rFonts w:ascii="Arial" w:cs="Arial" w:eastAsia="Arial" w:hAnsi="Arial"/>
                <w:sz w:val="18"/>
                <w:szCs w:val="18"/>
                <w:color w:val="auto"/>
              </w:rPr>
              <w:t>shares authorized, 35,018,085 shares issued and outstanding, pro forma as adjusted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136,518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352,118</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8"/>
              <w:spacing w:after="0"/>
              <w:rPr>
                <w:sz w:val="20"/>
                <w:szCs w:val="20"/>
                <w:color w:val="auto"/>
              </w:rPr>
            </w:pPr>
            <w:r>
              <w:rPr>
                <w:rFonts w:ascii="Arial" w:cs="Arial" w:eastAsia="Arial" w:hAnsi="Arial"/>
                <w:sz w:val="18"/>
                <w:szCs w:val="18"/>
                <w:color w:val="auto"/>
                <w:w w:val="92"/>
              </w:rPr>
              <w:t>(62,542)</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(62,542)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(62,542)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shareholders’ (deficit)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2"/>
              </w:rPr>
              <w:t>(58,135)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77,862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293,462</w:t>
            </w:r>
          </w:p>
        </w:tc>
        <w:tc>
          <w:tcPr>
            <w:tcW w:w="0" w:type="dxa"/>
            <w:vAlign w:val="bottom"/>
          </w:tcPr>
          <w:p>
            <w:pPr>
              <w:spacing w:after="0"/>
              <w:rPr>
                <w:sz w:val="1"/>
                <w:szCs w:val="1"/>
                <w:color w:val="auto"/>
              </w:rPr>
            </w:pPr>
          </w:p>
        </w:tc>
      </w:tr>
      <w:tr>
        <w:trPr>
          <w:trHeight w:val="223"/>
        </w:trPr>
        <w:tc>
          <w:tcPr>
            <w:tcW w:w="794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77,862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ind w:left="554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9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number of common shares outstanding after this offering is based on 24,018,085 common shares outstanding as of March 31, 2020, which gives effect to (i) the conversion of all outstanding preferred shares into an aggregate of 21,558,393 common shares and (ii) the automatic exercise of the warrant held by an affiliate of Bristol Myers Squibb into an aggregate of 750,000 common shares, based on the initial public offering price of $20.00 per share, in each case effected immediately prior to the completion of this offering, and excludes:</w:t>
      </w:r>
    </w:p>
    <w:p>
      <w:pPr>
        <w:spacing w:after="0" w:line="92" w:lineRule="exact"/>
        <w:rPr>
          <w:sz w:val="20"/>
          <w:szCs w:val="20"/>
          <w:color w:val="auto"/>
        </w:rPr>
      </w:pPr>
    </w:p>
    <w:p>
      <w:pPr>
        <w:ind w:left="1000" w:right="260" w:hanging="547"/>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3,323,801 common shares issuable upon the exercise of outstanding options as of March 31, 2020, at a weighted-average exercise price of $2.09 per share;</w:t>
      </w:r>
    </w:p>
    <w:p>
      <w:pPr>
        <w:spacing w:after="0" w:line="75" w:lineRule="exact"/>
        <w:rPr>
          <w:rFonts w:ascii="Arial" w:cs="Arial" w:eastAsia="Arial" w:hAnsi="Arial"/>
          <w:sz w:val="18"/>
          <w:szCs w:val="18"/>
          <w:color w:val="auto"/>
        </w:rPr>
      </w:pPr>
    </w:p>
    <w:p>
      <w:pPr>
        <w:ind w:left="1000" w:right="200" w:hanging="547"/>
        <w:spacing w:after="0" w:line="308"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569,016 common shares reserved for future issuance under our Existing Plan as of March 31, 2020, which shares ceased to be available for future issuance immediately prior to the time that our 2020 Plan became effective in connection with this offering;</w:t>
      </w:r>
    </w:p>
    <w:p>
      <w:pPr>
        <w:spacing w:after="0" w:line="51" w:lineRule="exact"/>
        <w:rPr>
          <w:rFonts w:ascii="Arial" w:cs="Arial" w:eastAsia="Arial" w:hAnsi="Arial"/>
          <w:sz w:val="17"/>
          <w:szCs w:val="17"/>
          <w:color w:val="auto"/>
        </w:rPr>
      </w:pPr>
    </w:p>
    <w:p>
      <w:pPr>
        <w:ind w:left="1000" w:right="20" w:hanging="547"/>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278,373 common shares issuable upon the exercise of outstanding options granted after March 31, 2020, at a weighted-average exercise price of $8.60 per share;</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exercise of outstanding options subsequent to March 31, 2020 into an aggregate of 85,369 common shares, at a weighted-average exercise price of $1.92 per share;</w:t>
      </w:r>
    </w:p>
    <w:p>
      <w:pPr>
        <w:spacing w:after="0" w:line="75" w:lineRule="exact"/>
        <w:rPr>
          <w:rFonts w:ascii="Arial" w:cs="Arial" w:eastAsia="Arial" w:hAnsi="Arial"/>
          <w:sz w:val="18"/>
          <w:szCs w:val="18"/>
          <w:color w:val="auto"/>
        </w:rPr>
      </w:pPr>
    </w:p>
    <w:p>
      <w:pPr>
        <w:ind w:left="1000" w:right="40" w:hanging="547"/>
        <w:spacing w:after="0" w:line="259"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3,600,000 common shares reserved for future issuance under our 2020 Plan (of which 590,702 common shares issuable upon the exercise of options were granted upon the execution of the underwriting agreement for this offering), which became effective immediately prior to the execution of the underwriting agreement related to this offering, as well as any future increases in the number of common shares reserved for issuance under our 2020 Plan; and</w:t>
      </w:r>
    </w:p>
    <w:p>
      <w:pPr>
        <w:spacing w:after="0" w:line="92" w:lineRule="exact"/>
        <w:rPr>
          <w:rFonts w:ascii="Arial" w:cs="Arial" w:eastAsia="Arial" w:hAnsi="Arial"/>
          <w:sz w:val="18"/>
          <w:szCs w:val="18"/>
          <w:color w:val="auto"/>
        </w:rPr>
      </w:pPr>
    </w:p>
    <w:p>
      <w:pPr>
        <w:ind w:left="1000" w:right="140" w:hanging="547"/>
        <w:spacing w:after="0" w:line="263"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327,000 common shares reserved for future issuance under our ESPP, which became effective immediately prior to the execution of the underwriting agreement related to this offering, as well as any future increases in the number of common shares reserved for issuance under our ESPP.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459" w:right="3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If you invest in our common shares in this offering, your ownership interest will be diluted immediately to the extent of the difference between the initial public offering price per common share and the pro forma as adjusted net tangible book value per common share after this offering.</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historical net tangible book deficit as of March 31, 2020 was $58.1 million, or ($34.00) per common share. Our historical net tangible book deficit represents our total tangible assets less total liabilities and preferred shares. Historical net tangible book deficit per share is our historical net tangible book deficit divided by the number of common shares outstanding as of March 31, 2020.</w:t>
      </w:r>
    </w:p>
    <w:p>
      <w:pPr>
        <w:spacing w:after="0" w:line="18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Our pro forma net tangible book value as of March 31, 2020 was $77.9 million, or $3.35 per common share, which gives effect to the conversion of all outstanding preferred shares into an aggregate of 21,558,393 common shares immediately prior to the completion of this offering. Pro forma net tangible book value per share is our pro forma net tangible book value divided by the number of common shares deemed to be outstanding as of March 31, 2020.</w:t>
      </w:r>
    </w:p>
    <w:p>
      <w:pPr>
        <w:spacing w:after="0" w:line="18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After giving further effect to (i) the sale of 11,000,000 common shares in this offering at the initial public offering price of $20.00 per share, and after deducting underwriting fees and commissions and estimated offering expenses payable by us, and (ii) the automatic exercise of the warrant held by an affiliate of Bristol Myers Squibb into an aggregate of 750,000 common shares, based on the initial public offering price of $20.00 per share, our pro forma as adjusted net tangible book value as of March 31, 2020 would have been $293.5 million, or $8.38 per share. This represents an immediate increase in pro forma as adjusted net tangible book value of $5.03 per share to our existing shareholders and an immediate dilution of $11.62 per share to new investors participating in this offering.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46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9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6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Historical net tangible book deficit per share as of March 31, 2020</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$(34.00)</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5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Pro forma increase in net tangible book value per share as of March 31, 2020 attributable to pro forma transactions described</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above</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37.35</w:t>
            </w: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2020</w:t>
            </w: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new investors participating in this offering</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5.03</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20"/>
                <w:szCs w:val="20"/>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6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$ 11.62</w:t>
            </w:r>
          </w:p>
        </w:tc>
      </w:tr>
      <w:tr>
        <w:trPr>
          <w:trHeight w:val="20"/>
        </w:trPr>
        <w:tc>
          <w:tcPr>
            <w:tcW w:w="9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If the underwriters exercise in full their option to purchase up to 1,650,000 additional common shares, the pro forma as adjusted net tangible book value per share after giving effect to this offering would be $8.84 per share and dilution to new investors participating in this offering would be $11.16 per share.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following table summarizes, on the pro forma as adjusted basis described above, the differences between the number of shares purchased from us on an as converted basis, the total consideration paid and the weighted average price per share paid by existing shareholders and by investors purchasing shares in this offering at the initial public offering price of $20.00 per share, before deducting underwriting fees and commissions and estimated offering expenses payable by 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 PURCHASED</w:t>
            </w:r>
          </w:p>
        </w:tc>
        <w:tc>
          <w:tcPr>
            <w:tcW w:w="600" w:type="dxa"/>
            <w:vAlign w:val="bottom"/>
            <w:vMerge w:val="restart"/>
          </w:tcPr>
          <w:p>
            <w:pPr>
              <w:spacing w:after="0"/>
              <w:rPr>
                <w:sz w:val="14"/>
                <w:szCs w:val="14"/>
                <w:color w:val="auto"/>
              </w:rPr>
            </w:pPr>
          </w:p>
        </w:tc>
        <w:tc>
          <w:tcPr>
            <w:tcW w:w="21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600" w:type="dxa"/>
            <w:vAlign w:val="bottom"/>
            <w:vMerge w:val="restart"/>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82"/>
        </w:trPr>
        <w:tc>
          <w:tcPr>
            <w:tcW w:w="5080" w:type="dxa"/>
            <w:vAlign w:val="bottom"/>
          </w:tcPr>
          <w:p>
            <w:pPr>
              <w:spacing w:after="0"/>
              <w:rPr>
                <w:sz w:val="6"/>
                <w:szCs w:val="6"/>
                <w:color w:val="auto"/>
              </w:rPr>
            </w:pPr>
          </w:p>
        </w:tc>
        <w:tc>
          <w:tcPr>
            <w:tcW w:w="2000" w:type="dxa"/>
            <w:vAlign w:val="bottom"/>
            <w:tcBorders>
              <w:bottom w:val="single" w:sz="8" w:color="auto"/>
            </w:tcBorders>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120" w:type="dxa"/>
            <w:vAlign w:val="bottom"/>
            <w:tcBorders>
              <w:bottom w:val="single" w:sz="8" w:color="auto"/>
            </w:tcBorders>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5080" w:type="dxa"/>
            <w:vAlign w:val="bottom"/>
          </w:tcPr>
          <w:p>
            <w:pPr>
              <w:spacing w:after="0"/>
              <w:rPr>
                <w:sz w:val="4"/>
                <w:szCs w:val="4"/>
                <w:color w:val="auto"/>
              </w:rPr>
            </w:pP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460" w:type="dxa"/>
            <w:vAlign w:val="bottom"/>
            <w:vMerge w:val="restart"/>
          </w:tcPr>
          <w:p>
            <w:pPr>
              <w:spacing w:after="0"/>
              <w:rPr>
                <w:sz w:val="4"/>
                <w:szCs w:val="4"/>
                <w:color w:val="auto"/>
              </w:rPr>
            </w:pP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8"/>
              </w:rPr>
              <w:t>PERCENT</w:t>
            </w:r>
          </w:p>
        </w:tc>
        <w:tc>
          <w:tcPr>
            <w:tcW w:w="14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8"/>
              </w:rPr>
              <w:t>PERCENT</w:t>
            </w: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8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23,268,085</w:t>
            </w:r>
          </w:p>
        </w:tc>
        <w:tc>
          <w:tcPr>
            <w:tcW w:w="46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66.4%</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$135,247,081</w:t>
            </w:r>
          </w:p>
        </w:tc>
        <w:tc>
          <w:tcPr>
            <w:tcW w:w="44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New investors</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11,750,000</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33.6%</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235,000,000</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00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35,018,085</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370,247,081</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57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If the underwriters exercise their option to purchase additional shares in full, our existing shareholders would own 63.5% and our new investors would own 36.5% of the total number of our common shares outstanding upon the completion of this offering.</w:t>
      </w:r>
    </w:p>
    <w:p>
      <w:pPr>
        <w:spacing w:after="0" w:line="170"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 foregoing discussion and tables are based on 24,018,085 common shares outstanding as of March 31, 2020, which gives effect to (i) the conversion of all outstanding preferred shares into an aggregate of 21,558,393 common shares and (ii) the automatic exercise of the warrant held by an affiliate of Bristol Myers Squibb into an aggregate of 750,000 common shares, based on the initial public offering price of $20.00 per share, in each case effected immediately prior to the completion of this offering, and excludes:</w:t>
      </w:r>
    </w:p>
    <w:p>
      <w:pPr>
        <w:spacing w:after="0" w:line="92" w:lineRule="exact"/>
        <w:rPr>
          <w:sz w:val="20"/>
          <w:szCs w:val="20"/>
          <w:color w:val="auto"/>
        </w:rPr>
      </w:pPr>
    </w:p>
    <w:p>
      <w:pPr>
        <w:ind w:left="1000" w:right="28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3,323,801 common shares issuable upon the exercise of outstanding options as of March 31, 2020, at a weighted-average exercise price of $2.09 per share;</w:t>
      </w:r>
    </w:p>
    <w:p>
      <w:pPr>
        <w:spacing w:after="0" w:line="75" w:lineRule="exact"/>
        <w:rPr>
          <w:rFonts w:ascii="Arial" w:cs="Arial" w:eastAsia="Arial" w:hAnsi="Arial"/>
          <w:sz w:val="18"/>
          <w:szCs w:val="18"/>
          <w:color w:val="auto"/>
        </w:rPr>
      </w:pPr>
    </w:p>
    <w:p>
      <w:pPr>
        <w:ind w:left="1000" w:right="220" w:hanging="547"/>
        <w:spacing w:after="0" w:line="308" w:lineRule="auto"/>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569,016 common shares reserved for future issuance under our Existing Plan as of March 31, 2020, which shares ceased to be available for future issuance immediately prior to the time that our 2020 Plan became effective in connection with this offering;</w:t>
      </w:r>
    </w:p>
    <w:p>
      <w:pPr>
        <w:spacing w:after="0" w:line="51" w:lineRule="exact"/>
        <w:rPr>
          <w:rFonts w:ascii="Arial" w:cs="Arial" w:eastAsia="Arial" w:hAnsi="Arial"/>
          <w:sz w:val="17"/>
          <w:szCs w:val="17"/>
          <w:color w:val="auto"/>
        </w:rPr>
      </w:pPr>
    </w:p>
    <w:p>
      <w:pPr>
        <w:ind w:left="1000" w:right="4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278,373 common shares issuable upon the exercise of outstanding options granted after March 31, 2020, at a weighted-average exercise price of $8.60 per share;</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exercise of outstanding options subsequent to March 31, 2020 into an aggregate of 85,369 common shares, at a weighted-average exercise price of $1.92 per share;</w:t>
      </w:r>
    </w:p>
    <w:p>
      <w:pPr>
        <w:spacing w:after="0" w:line="75" w:lineRule="exact"/>
        <w:rPr>
          <w:rFonts w:ascii="Arial" w:cs="Arial" w:eastAsia="Arial" w:hAnsi="Arial"/>
          <w:sz w:val="18"/>
          <w:szCs w:val="18"/>
          <w:color w:val="auto"/>
        </w:rPr>
      </w:pPr>
    </w:p>
    <w:p>
      <w:pPr>
        <w:ind w:left="1000" w:right="140" w:hanging="547"/>
        <w:spacing w:after="0" w:line="259"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3,600,000 common shares reserved for future issuance under our 2020 Plan (of which 590,702 common shares issuable upon the exercise of options were granted contingent and effective upon the execution of the underwriting agreement for this offering), which became effective immediately prior to the execution of the underwriting agreement related to this offering, as well as any future increases in the number of common shares reserved for issuance under our 2020 Plan; and</w:t>
      </w:r>
    </w:p>
    <w:p>
      <w:pPr>
        <w:spacing w:after="0" w:line="92" w:lineRule="exact"/>
        <w:rPr>
          <w:rFonts w:ascii="Arial" w:cs="Arial" w:eastAsia="Arial" w:hAnsi="Arial"/>
          <w:sz w:val="18"/>
          <w:szCs w:val="18"/>
          <w:color w:val="auto"/>
        </w:rPr>
      </w:pPr>
    </w:p>
    <w:p>
      <w:pPr>
        <w:ind w:left="1000" w:right="160" w:hanging="547"/>
        <w:spacing w:after="0" w:line="263"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327,000 common shares reserved for future issuance under our ESPP, which became effective immediately prior to the execution of the underwriting agreement related to this offering, as well as any future increases in the number of common shares reserved for issuance under our ESPP.</w:t>
      </w:r>
    </w:p>
    <w:p>
      <w:pPr>
        <w:spacing w:after="0" w:line="184" w:lineRule="exact"/>
        <w:rPr>
          <w:sz w:val="20"/>
          <w:szCs w:val="20"/>
          <w:color w:val="auto"/>
        </w:rPr>
      </w:pPr>
    </w:p>
    <w:p>
      <w:pPr>
        <w:ind w:right="140" w:firstLine="449"/>
        <w:spacing w:after="0" w:line="293" w:lineRule="auto"/>
        <w:rPr>
          <w:sz w:val="20"/>
          <w:szCs w:val="20"/>
          <w:color w:val="auto"/>
        </w:rPr>
      </w:pPr>
      <w:r>
        <w:rPr>
          <w:rFonts w:ascii="Arial" w:cs="Arial" w:eastAsia="Arial" w:hAnsi="Arial"/>
          <w:sz w:val="16"/>
          <w:szCs w:val="16"/>
          <w:color w:val="auto"/>
        </w:rPr>
        <w:t>To the extent that outstanding options are exercised, new options or other equity awards are issued under our equity incentive plans, or we issue additional shares in the future, there will be further dilution to investors purchasing shares in this offering. Assuming the exercise of all of our outstanding options as of March 31, 2020, the number of shares held by existing shareholders would increase to 69.4% of the total number of shares to be outstanding after this offering, and the number of shares held by investors participating in this offering would be reduced to 30.6% of the total number of shares to be outstanding after this offering. Additionally, the total consideration paid to us by existing shareholders would be $142.2 million, or 37.7%, of the total consideration paid for our outstanding shares, and the total consideration paid to us by investors participating in this offering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would be 62.3% of the total consideration paid for our outstanding shares. The weighted average price per share paid to us by existing shareholders would be $5.35 and the weighted average price per share paid to us by investors participating in this offering would not change.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320" w:top="459" w:right="3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The following tables set forth our financial data for the periods indicated. We have derived the selected consolidated statement of operations data for the years ended December 31, 2017, 2018 and 2019, and the selected consolidated balance sheet data as of December 31, 2018 and 2019, from our audited consolidated financial statements appearing elsewhere in this prospectus. We have derived the summary consolidated statements of operations data for the three-month periods ended March 31, 2019 and 2020 and the summary consolidated balance sheet data as of March 31, 2020 from our unaudited condensed consolidated financial statements appearing elsewhere in this prospectus. Our historical results are not necessarily indicative of the results that may be expected for any period in the future.</w:t>
      </w:r>
    </w:p>
    <w:p>
      <w:pPr>
        <w:spacing w:after="0" w:line="178"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You should read the following selected consolidated financial data together with the section titled “Management’s Discussion and Analysis of Financial Condition and Results of Operations” and our consolidated financial statements and the related notes included elsewhere in this prospectus. The selected consolidated financial data included in this section are not intended to replace the consolidated financial statements and are qualified in their entirety by the consolidated financial statements and the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80" w:type="dxa"/>
            <w:vAlign w:val="bottom"/>
            <w:gridSpan w:val="10"/>
          </w:tcPr>
          <w:p>
            <w:pPr>
              <w:jc w:val="right"/>
              <w:ind w:right="240"/>
              <w:spacing w:after="0" w:line="142" w:lineRule="exact"/>
              <w:rPr>
                <w:sz w:val="20"/>
                <w:szCs w:val="20"/>
                <w:color w:val="auto"/>
              </w:rPr>
            </w:pPr>
            <w:r>
              <w:rPr>
                <w:rFonts w:ascii="Arial" w:cs="Arial" w:eastAsia="Arial" w:hAnsi="Arial"/>
                <w:sz w:val="14"/>
                <w:szCs w:val="14"/>
                <w:b w:val="1"/>
                <w:bCs w:val="1"/>
                <w:color w:val="auto"/>
                <w:w w:val="92"/>
              </w:rPr>
              <w:t>(in thousands, except share and per share amounts)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Summary of Consolidated Operations Data:</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Research and development, net of tax credits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9,906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20,995</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1,774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2,914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5,382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1,076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26,377</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4,779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(6,175)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(12,820)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(26,377)</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(4,779)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(10,815)</w:t>
            </w:r>
          </w:p>
        </w:tc>
        <w:tc>
          <w:tcPr>
            <w:tcW w:w="0" w:type="dxa"/>
            <w:vAlign w:val="bottom"/>
          </w:tcPr>
          <w:p>
            <w:pPr>
              <w:spacing w:after="0"/>
              <w:rPr>
                <w:sz w:val="1"/>
                <w:szCs w:val="1"/>
                <w:color w:val="auto"/>
              </w:rPr>
            </w:pPr>
          </w:p>
        </w:tc>
      </w:tr>
      <w:tr>
        <w:trPr>
          <w:trHeight w:val="205"/>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 income, net: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Realized and unrealized (loss) gain on foreign exchange, net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(147)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(292)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 in fair value of convertible notes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Change in fair value of series A preferred share tranche obligation</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(1,130)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(1,350)</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expense</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660"/>
              <w:spacing w:after="0"/>
              <w:rPr>
                <w:sz w:val="20"/>
                <w:szCs w:val="20"/>
                <w:color w:val="auto"/>
              </w:rPr>
            </w:pPr>
            <w:r>
              <w:rPr>
                <w:rFonts w:ascii="Arial" w:cs="Arial" w:eastAsia="Arial" w:hAnsi="Arial"/>
                <w:sz w:val="16"/>
                <w:szCs w:val="16"/>
                <w:color w:val="auto"/>
              </w:rPr>
              <w:t>Total other expense, net</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(1,621)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(1,428)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(644)</w:t>
            </w: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(7,796)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(14,248)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(27,021)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(4,729)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(12,548)</w:t>
            </w:r>
          </w:p>
        </w:tc>
        <w:tc>
          <w:tcPr>
            <w:tcW w:w="0" w:type="dxa"/>
            <w:vAlign w:val="bottom"/>
          </w:tcPr>
          <w:p>
            <w:pPr>
              <w:spacing w:after="0"/>
              <w:rPr>
                <w:sz w:val="1"/>
                <w:szCs w:val="1"/>
                <w:color w:val="auto"/>
              </w:rPr>
            </w:pPr>
          </w:p>
        </w:tc>
      </w:tr>
      <w:tr>
        <w:trPr>
          <w:trHeight w:val="203"/>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Income tax expense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(7,796)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(14,283)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(27,216)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(12,601)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Net loss per share: </w:t>
            </w:r>
            <w:r>
              <w:rPr>
                <w:rFonts w:ascii="Arial" w:cs="Arial" w:eastAsia="Arial" w:hAnsi="Arial"/>
                <w:sz w:val="27"/>
                <w:szCs w:val="27"/>
                <w:color w:val="auto"/>
                <w:vertAlign w:val="superscript"/>
              </w:rPr>
              <w:t>(1)</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(17.81)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Weighted average shares used in computing net loss per share: </w:t>
            </w:r>
            <w:r>
              <w:rPr>
                <w:rFonts w:ascii="Arial" w:cs="Arial" w:eastAsia="Arial" w:hAnsi="Arial"/>
                <w:sz w:val="27"/>
                <w:szCs w:val="27"/>
                <w:color w:val="auto"/>
                <w:vertAlign w:val="superscript"/>
              </w:rPr>
              <w:t>(1)</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1,522,544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87"/>
              </w:rPr>
              <w:t>1,528,374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1,528,374</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1,528,374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1,634,056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Pro forma net loss per share (unaudited): </w:t>
            </w:r>
            <w:r>
              <w:rPr>
                <w:rFonts w:ascii="Arial" w:cs="Arial" w:eastAsia="Arial" w:hAnsi="Arial"/>
                <w:sz w:val="27"/>
                <w:szCs w:val="27"/>
                <w:color w:val="auto"/>
                <w:vertAlign w:val="superscript"/>
              </w:rPr>
              <w:t>(1)</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6"/>
                <w:szCs w:val="16"/>
                <w:color w:val="auto"/>
                <w:w w:val="95"/>
              </w:rPr>
              <w:t>Weighted average shares outstanding used in computing pro forma net loss</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80"/>
              <w:spacing w:after="0" w:line="216" w:lineRule="exact"/>
              <w:rPr>
                <w:sz w:val="20"/>
                <w:szCs w:val="20"/>
                <w:color w:val="auto"/>
              </w:rPr>
            </w:pPr>
            <w:r>
              <w:rPr>
                <w:rFonts w:ascii="Arial" w:cs="Arial" w:eastAsia="Arial" w:hAnsi="Arial"/>
                <w:sz w:val="15"/>
                <w:szCs w:val="15"/>
                <w:color w:val="auto"/>
              </w:rPr>
              <w:t xml:space="preserve">per share (unaudited): </w:t>
            </w:r>
            <w:r>
              <w:rPr>
                <w:rFonts w:ascii="Arial" w:cs="Arial" w:eastAsia="Arial" w:hAnsi="Arial"/>
                <w:sz w:val="25"/>
                <w:szCs w:val="25"/>
                <w:color w:val="auto"/>
                <w:vertAlign w:val="superscript"/>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15,790,631</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23,192,449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60" w:right="360" w:hanging="452"/>
        <w:spacing w:after="0" w:line="293"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See Note 13 to our audited consolidated financial statements and Note 7 to our unaudited condensed consolidated financial statements included elsewhere in this prospectus for an explanation of the calculations of our basic and diluted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loss per share, pro forma net loss per share and the weighted-average number of shares used in the computation of the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4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Cash</w:t>
            </w:r>
          </w:p>
        </w:tc>
        <w:tc>
          <w:tcPr>
            <w:tcW w:w="3360" w:type="dxa"/>
            <w:vAlign w:val="bottom"/>
            <w:gridSpan w:val="2"/>
          </w:tcPr>
          <w:p>
            <w:pPr>
              <w:jc w:val="right"/>
              <w:ind w:right="268"/>
              <w:spacing w:after="0"/>
              <w:rPr>
                <w:sz w:val="20"/>
                <w:szCs w:val="20"/>
                <w:color w:val="auto"/>
              </w:rPr>
            </w:pPr>
            <w:r>
              <w:rPr>
                <w:rFonts w:ascii="Arial" w:cs="Arial" w:eastAsia="Arial" w:hAnsi="Arial"/>
                <w:sz w:val="18"/>
                <w:szCs w:val="18"/>
                <w:color w:val="auto"/>
              </w:rPr>
              <w:t>$ 10,731</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$ 94,797</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83,711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10,143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94,326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80,578</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3360" w:type="dxa"/>
            <w:vAlign w:val="bottom"/>
            <w:gridSpan w:val="2"/>
          </w:tcPr>
          <w:p>
            <w:pPr>
              <w:jc w:val="right"/>
              <w:ind w:right="268"/>
              <w:spacing w:after="0"/>
              <w:rPr>
                <w:sz w:val="20"/>
                <w:szCs w:val="20"/>
                <w:color w:val="auto"/>
              </w:rPr>
            </w:pPr>
            <w:r>
              <w:rPr>
                <w:rFonts w:ascii="Arial" w:cs="Arial" w:eastAsia="Arial" w:hAnsi="Arial"/>
                <w:sz w:val="18"/>
                <w:szCs w:val="18"/>
                <w:color w:val="auto"/>
              </w:rPr>
              <w:t>13,925</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102,695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93,569</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3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31,873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135,997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135,997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Accumulated deficit</w:t>
            </w:r>
          </w:p>
        </w:tc>
        <w:tc>
          <w:tcPr>
            <w:tcW w:w="3360" w:type="dxa"/>
            <w:vAlign w:val="bottom"/>
            <w:gridSpan w:val="2"/>
          </w:tcPr>
          <w:p>
            <w:pPr>
              <w:jc w:val="right"/>
              <w:ind w:right="208"/>
              <w:spacing w:after="0"/>
              <w:rPr>
                <w:sz w:val="20"/>
                <w:szCs w:val="20"/>
                <w:color w:val="auto"/>
              </w:rPr>
            </w:pPr>
            <w:r>
              <w:rPr>
                <w:rFonts w:ascii="Arial" w:cs="Arial" w:eastAsia="Arial" w:hAnsi="Arial"/>
                <w:sz w:val="18"/>
                <w:szCs w:val="18"/>
                <w:color w:val="auto"/>
              </w:rPr>
              <w:t>(22,725)</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(49,941)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(62,542)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33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(22,384)</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(46,129)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“Selected Consolidated Financial Data” section of this prospectus and our audited consolidated financial statements and related notes, as well as our unaudited condensed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We are a leading precision oncology medicine company enabled by our proprietary synthetic lethality insights for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thus susceptible to therapeutic intervention targeting the other gene pair.</w:t>
      </w:r>
    </w:p>
    <w:p>
      <w:pPr>
        <w:spacing w:after="0" w:line="16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Since our inception in September 2016, we have focused primarily on raising capital, organizing and staffing our company, conducting discovery and research activities, identifying potential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Since our inception, we have funded our operations primarily through equity financings, and have raised an aggregate of approximately $135.2 million of gross proceeds from the sale of our preferred shares. As of March 31, 2020, we had cash on hand of $83.7 million.</w:t>
      </w:r>
    </w:p>
    <w:p>
      <w:pPr>
        <w:spacing w:after="0" w:line="195"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Since inception, we have incurred significant operating losses. Our net losses were $7.8 million, $14.3 million and $27.2 million for the years ended December 31, 2017, 2018 and 2019, respectively and $12.6 million for the three-month period ended March 31, 2020. As of March 31, 2020, we had an accumulated deficit of $62.5 million. We expect to continue to incur significant and increasing expenses and operating losses for the foreseeable future, as we advance our product candidates, including RP-3500,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73"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do not have any products approved for sale.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459"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76"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May 2020, we entered into a collaboration and license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The collaboration consists of programs directed to both druggable targets and to targets commonly considered undruggable by traditional small molecule approaches. As part of the agreement, Bristol Myers Squibb paid us an initial upfront fee payment of $50.0 million and made an equity investment of $15.0 million into our company. We will also be eligible to receive up to $301 million in total milestones per program subject upon the achievement of certain specified research, development, regulatory and commercial milestones. See “Business—Collaborations and License Agreements—Collaboration and License Agreement with Bristol-Myers Squibb Company” for additional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229"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With the global spread of the ongoing COVID-19 pandemic in the first quarter of 2020, we established a cross-functional task force and have implemented business continuity plans designed to address and mitigate the impact of the COVID-19 pandemic on our employees and our business, including our preclinical studies and planned clinical trials. Our operations are considered as an essential business and we are continuing to operate during this period. We have taken measures to secure our research and development activities, while work in laboratories and facilities has been organized to reduce risk of COVID-19 transmission. While we are experiencing limited financial impacts at this time, given the global economic slowdown, the overall disruption of global healthcare systems and the other risks and uncertainties associated with the pandemic, our business, financial condition and results of operations could be materially adversely affected. We continue to closely monitor the COVID-19 pandemic as we evolve our business continuity plans, clinical development plans and response strategy.</w:t>
      </w:r>
    </w:p>
    <w:p>
      <w:pPr>
        <w:spacing w:after="0" w:line="17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addition, our planned clinical trials may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employee resources that would otherwise be focused on the conduct of our planned clinical trials, including because of sickness of employees or their families or the desire of employees to avoid contact with large groups of people.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459" w:right="3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Agreement with Ono Pharmaceutical Company Ltd.</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January 2019, we entered into a research services, license and collaboration agreement with Ono Pharmaceutical Company Ltd., or Ono, pursuant to which we and Ono have agreed to collaborate in the research of potential product candidates targeting Polq and the development of our small molecule Polq inhibitor program. Pursuant to the terms of the agreement, we received initial upfront payments of approximately $8.1 million. These upfront payments have been recorded as deferred revenue on our balance sheet as of December 31, 2019 and March 31, 2020 as per our revenue recognition accounting policy and will be recognized as revenue at the point in time when a product candidate is licensed to Ono pursuant to the terms of the agreement. Refer to Notes 2 and 10 to our annual consolidated financial statements included elsewhere in this prospectus for additional information regarding our revenue recognition accounting policy and our collaboration agreement with Ono.</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76" w:lineRule="exact"/>
        <w:rPr>
          <w:sz w:val="20"/>
          <w:szCs w:val="20"/>
          <w:color w:val="auto"/>
        </w:rPr>
      </w:pPr>
    </w:p>
    <w:p>
      <w:pPr>
        <w:ind w:left="1000" w:right="860" w:hanging="547"/>
        <w:spacing w:after="0" w:line="342"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agreements with contract research organizations, or CROs,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00" w:hanging="54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share-based compensation, other related costs for those employees involved in research and development efforts;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CMOs;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upfront, milestone and maintenance fees incurred under license, acquisition and other third-party agreements;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00" w:right="720" w:hanging="54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facilities, depreciation, scientific advisory board and other allocated expenses, which include direct and allocated expenses for rent, maintenance of facilities and equipment, insurance, equipment and software.</w:t>
      </w:r>
    </w:p>
    <w:p>
      <w:pPr>
        <w:spacing w:after="0" w:line="170"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320" w:top="459" w:right="3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studies or other services performed. Significant judgment and estimates are made in determining the accrued expense balances at the end of any reporting period.</w:t>
      </w:r>
    </w:p>
    <w:p>
      <w:pPr>
        <w:spacing w:after="0" w:line="170"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We characterize research and development costs incurred prior to the identification of a product candidate as discovery costs. We characterize costs incurred once a product candidate has been identified as development costs.</w:t>
      </w:r>
    </w:p>
    <w:p>
      <w:pPr>
        <w:spacing w:after="0" w:line="170" w:lineRule="exact"/>
        <w:rPr>
          <w:sz w:val="20"/>
          <w:szCs w:val="20"/>
          <w:color w:val="auto"/>
        </w:rPr>
      </w:pPr>
    </w:p>
    <w:p>
      <w:pPr>
        <w:jc w:val="both"/>
        <w:ind w:right="60" w:firstLine="449"/>
        <w:spacing w:after="0" w:line="279" w:lineRule="auto"/>
        <w:rPr>
          <w:sz w:val="20"/>
          <w:szCs w:val="20"/>
          <w:color w:val="auto"/>
        </w:rPr>
      </w:pPr>
      <w:r>
        <w:rPr>
          <w:rFonts w:ascii="Arial" w:cs="Arial" w:eastAsia="Arial" w:hAnsi="Arial"/>
          <w:sz w:val="17"/>
          <w:szCs w:val="17"/>
          <w:color w:val="auto"/>
        </w:rPr>
        <w:t>Our direct external research and development expenses consist primarily of fees paid to outside consultants, CROs, CMOs and research laboratories in connection with our preclinical development, process development, manufacturing and clinical development activities. Our direct external research and development expenses also include fees incurred under license, acquisition and option agreements. We track these external research and development costs on a program-by-program basis once we have identified a product candidate.</w:t>
      </w:r>
    </w:p>
    <w:p>
      <w:pPr>
        <w:spacing w:after="0" w:line="171"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development, process development, manufacturing and clinical development activities.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costs: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8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40" w:type="dxa"/>
            <w:vAlign w:val="bottom"/>
          </w:tcPr>
          <w:p>
            <w:pPr>
              <w:spacing w:after="0"/>
              <w:rPr>
                <w:sz w:val="12"/>
                <w:szCs w:val="12"/>
                <w:color w:val="auto"/>
              </w:rPr>
            </w:pPr>
          </w:p>
        </w:tc>
        <w:tc>
          <w:tcPr>
            <w:tcW w:w="5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r>
      <w:tr>
        <w:trPr>
          <w:trHeight w:val="142"/>
        </w:trPr>
        <w:tc>
          <w:tcPr>
            <w:tcW w:w="6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Discovery costs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Direct external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$2,259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3,918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7,004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1,371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2,013</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Laboratory supplies and research materials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Personnel related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Facilities related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16,728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Development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RP-3500 program (direct external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Personnel related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Facilities related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4,833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R&amp;D tax credits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costs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4,401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20,995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8,632</w:t>
            </w:r>
          </w:p>
        </w:tc>
      </w:tr>
      <w:tr>
        <w:trPr>
          <w:trHeight w:val="20"/>
        </w:trPr>
        <w:tc>
          <w:tcPr>
            <w:tcW w:w="68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We anticipate that our expenses will increase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substantially, particularly due to the numerous risks and uncertainties associated with developing product candidates, including the uncertainty of:</w:t>
      </w:r>
    </w:p>
    <w:p>
      <w:pPr>
        <w:spacing w:after="0" w:line="142" w:lineRule="exact"/>
        <w:rPr>
          <w:sz w:val="20"/>
          <w:szCs w:val="20"/>
          <w:color w:val="auto"/>
        </w:rPr>
      </w:pPr>
    </w:p>
    <w:p>
      <w:pPr>
        <w:ind w:left="1000" w:right="20" w:hanging="547"/>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share-based compensation and other related costs, as well as expenses for outside professional services, including legal, accounting and audit services and other consulting fees, rent expense, and other general administrative expenses.</w:t>
      </w:r>
    </w:p>
    <w:p>
      <w:pPr>
        <w:spacing w:after="0" w:line="184"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color w:val="auto"/>
        </w:rPr>
        <w:t>Other (expense) income, net consists primarily of changes in the fair value of convertible notes and Series A preferred share tranche obligations, as well as realized and unrealized gains and losses on foreign exchange and other expenses such as interest and bank charges.</w:t>
      </w:r>
    </w:p>
    <w:p>
      <w:pPr>
        <w:spacing w:after="0" w:line="146"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Changes in the fair value of convertible notes consisted of losses on the re-measurement at fair value at each reporting date of the convertible notes liability as we elected the fair value option to account for our convertible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459" w:right="3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notes. As of June 2017, in connection with our Series A preferred financing, the outstanding convertible notes were converted into shares of Series A preferred shares and as such, the convertible notes liability was extinguished.</w:t>
      </w:r>
    </w:p>
    <w:p>
      <w:pPr>
        <w:spacing w:after="0" w:line="170"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Changes in the fair value of the Series A preferred share tranche obligation consisted of gains and losses on the re-measurement at fair value at each reporting date of the tranche obligation, arising from the obligation and right to make future issuances of Series A preferred shares. As of September 2019, in connection with the issuance and sale of Series B preferred shares, the final Series A preferred tranche obligation was extinguished and recognized as additional paid-in-capital.</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Realized and unrealized gains and losses on foreign exchange consist of realized and unrealized gains and losses from holding cash and restricted cash in foreign currency and foreign currency denominated research and development tax credits receivable, other receivables, accounts payable, accrued expenses and other current liabilities as well as operating lease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2019 and 2020:</w:t>
      </w:r>
    </w:p>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5"/>
          </w:tcPr>
          <w:p>
            <w:pPr>
              <w:jc w:val="right"/>
              <w:ind w:right="480"/>
              <w:spacing w:after="0" w:line="149"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Research and development, net of tax credits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3,703</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8,632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(4,779)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(10,815)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(6,036)</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foreign exchange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(1,803)</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(1,733)</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(12,548)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(7,819)</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Income tax expense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(4,838)</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(12,601)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(7,763)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Research and development expenses were $8.6 million for the three months ended March 31, 2020, compared to $3.7 million for the three months ended March 31, 2019. The increase of $4.9 million was primarily due to a:</w:t>
      </w:r>
    </w:p>
    <w:p>
      <w:pPr>
        <w:spacing w:after="0" w:line="76" w:lineRule="exact"/>
        <w:rPr>
          <w:sz w:val="20"/>
          <w:szCs w:val="20"/>
          <w:color w:val="auto"/>
        </w:rPr>
      </w:pPr>
    </w:p>
    <w:p>
      <w:pPr>
        <w:ind w:left="1000" w:right="620" w:hanging="547"/>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$3.5 million increase in direct external costs for both discovery and development activities as a result of our increased efforts towards identifying a product candidate and advancing the development of RP-3500;</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$1.1 million increase in personnel related expenses in support of our increased discovery and development activities;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$0.2 million increase in lab supplies and research materials as a result of our increased efforts towards identifying a product candidate;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$0.1 million net increase in other research and development costs in support of increased research and development activities.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General and administrative expenses were $2.2 million for the three months ended March 31, 2020, compared to $1.1 million for the three months ended March 31, 2019. The increase of $1.1 million consisted of a $0.4 million increase in payroll and personnel related costs, a $0.3 million increase in legal and professional fees and a $0.4 million increase in other general and administrative expenses, related to costs associated with operating activities and the preparations for becoming a public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Other expense, net was $1.7 million for the three months ended March 31, 2020, compared to other income, net of $0.1 million for the three months ended March 31, 2019. The increase of $1.8 million in other expenses is primarily attributable to an increase of $1.8 million in unrealized losses on foreign exchange as a result of fluctuations in foreign exchange rates, as well as higher foreign currency-denominated cash, other receivables and research and development tax credits receivable balances held in the first quarter of 2020. From December 31, 2019 to March 31, 2020, the relative value of the U.S. dollar to the Canadian dollar increased by approximately 8%.</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Income tax expense was $0.1 million for the three months ended March 31, 2020, reflecting taxable income in our U.S. subsidiary. Income tax expense was $0.1 million for the three months ended March 31, 2019, reflecting withholding taxes on one of the upfront payments under our collaboration agreement with Ono as well as taxable income in our U.S. subsidiary.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$4.8 million and $12.6 million for the three months ended March 31, 2019 and 2020, respectively.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320" w:top="459" w:right="3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9,906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20,995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(12,820)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(26,377)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(13,557)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(12,773)</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(14,283)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(27,216)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(12,933)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were $21.0 million for the year ended December 31, 2019, compared to $9.9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of $11.1 million was primarily due to a:</w:t>
      </w:r>
    </w:p>
    <w:p>
      <w:pPr>
        <w:spacing w:after="0" w:line="116" w:lineRule="exact"/>
        <w:rPr>
          <w:sz w:val="20"/>
          <w:szCs w:val="20"/>
          <w:color w:val="auto"/>
        </w:rPr>
      </w:pPr>
    </w:p>
    <w:p>
      <w:pPr>
        <w:ind w:left="1000" w:right="620" w:hanging="547"/>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$6.6 million increase in direct external costs for both discovery and development activities as a result of our increased efforts towards identifying a product candidate and advancing the development of RP-3500;</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$2.3 million increase in personnel related expenses in support of our increased discovery and development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$1.4 million increase in lab supplies and research materials as a result of our increased efforts towards identifying a product candidate;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$0.8 million net increase in other research and development costs in support of increased research and development activities.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General and administrative expenses were $5.4 million for the year ended December 31, 2019, compared to $2.9 million for the year ended December 31, 2018. The increase of $2.5 million consisted of a $1.1 million increase in payroll and personnel related costs, a $0.7 million increase in legal and professional fees and a $0.7 million increase in other general and administrative expenses, related to costs associated with operating activities and the preparations for becoming a public company.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Other expense, net was $0.6 million for the year ended December 31, 2019, compared to $1.4 million for the year ended December 31, 2018. The decrease of $0.8 million is primarily attributable to an increase of $1.0 million in realized and unrealized gains on foreign exchange as a result of fluctuations in foreign exchange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rates, as well as higher foreign currency-denominated cash balances held in 2019, partially offset by a $0.2 million increase in changes in the fair value of our Series A preferred share tranche obligation year over year.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Income tax expense was $0.2 million for the year ended December 31, 2019. This expense was primarily attributed to withholding taxes on one of the upfront payments under our collaboration agreement with Ono as well as higher taxable income in our U.S. subsidiary. Income tax expense was $0.03 million for the year ended December 31, 2018, reflecting taxable income in our U.S. subsidiary.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$14.3 million and $27.2 million for the years ended December 31, 2018 and 2019, respectively.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780" w:type="dxa"/>
            <w:vAlign w:val="bottom"/>
            <w:gridSpan w:val="7"/>
          </w:tcPr>
          <w:p>
            <w:pPr>
              <w:jc w:val="right"/>
              <w:ind w:right="4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1780" w:type="dxa"/>
            <w:vAlign w:val="bottom"/>
            <w:gridSpan w:val="7"/>
          </w:tcPr>
          <w:p>
            <w:pPr>
              <w:jc w:val="right"/>
              <w:ind w:right="40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right"/>
              <w:ind w:right="1"/>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$ 4,401</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9,906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(12,820)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(6,645)</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(1,310)</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(7,796)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(14,248)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Net and comprehensive loss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(7,796</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(14,283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were $9.9 million for the year ended December 31, 2018, compared to $4.4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$5.5 million increase was primarily due to a:</w:t>
      </w:r>
    </w:p>
    <w:p>
      <w:pPr>
        <w:spacing w:after="0" w:line="116" w:lineRule="exact"/>
        <w:rPr>
          <w:sz w:val="20"/>
          <w:szCs w:val="20"/>
          <w:color w:val="auto"/>
        </w:rPr>
      </w:pPr>
    </w:p>
    <w:p>
      <w:pPr>
        <w:ind w:left="1000" w:right="620" w:hanging="547"/>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$1.7 million increase in direct external costs for both discovery and development activities as a result of our increased efforts towards identifying a product candidate;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$2.0 million increase in personnel related expenses in support of our increased discovery and development activities;</w:t>
      </w:r>
    </w:p>
    <w:p>
      <w:pPr>
        <w:spacing w:after="0" w:line="130" w:lineRule="exact"/>
        <w:rPr>
          <w:rFonts w:ascii="Arial" w:cs="Arial" w:eastAsia="Arial" w:hAnsi="Arial"/>
          <w:sz w:val="18"/>
          <w:szCs w:val="18"/>
          <w:color w:val="auto"/>
        </w:rPr>
      </w:pPr>
    </w:p>
    <w:p>
      <w:pPr>
        <w:ind w:left="5540" w:right="240" w:hanging="5087"/>
        <w:spacing w:after="0" w:line="449" w:lineRule="auto"/>
        <w:tabs>
          <w:tab w:leader="none" w:pos="10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$1.1 million increase in lab supplies and research materials as a result of our increased efforts towards identifying a product candidate; and 98</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$0.7 million net increase in other research and development net costs in support of our increased research and development activities.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40" w:firstLine="449"/>
        <w:spacing w:after="0" w:line="311" w:lineRule="auto"/>
        <w:rPr>
          <w:sz w:val="20"/>
          <w:szCs w:val="20"/>
          <w:color w:val="auto"/>
        </w:rPr>
      </w:pPr>
      <w:r>
        <w:rPr>
          <w:rFonts w:ascii="Arial" w:cs="Arial" w:eastAsia="Arial" w:hAnsi="Arial"/>
          <w:sz w:val="16"/>
          <w:szCs w:val="16"/>
          <w:color w:val="auto"/>
        </w:rPr>
        <w:t>General and administrative expenses were $2.9 million for the year ended December 31, 2018, compared to $1.8 million for the year ended December 31, 2017. The increase of $1.1 million is primarily attributed to a $0.7 million increase in payroll and personnel related costs, a $0.3 million increase in legal and professional fees and a $0.1 million increase in other general and administrative expenses, all in support of operating activities.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Other expense, net was $1.4 million for the year ended December 31, 2018, compared to $1.6 million for the year ended December 31, 2017. The decrease of $0.2 million is primarily attributable to a decrease of $1.6 million in changes in the fair value of our convertible notes as a result of their conversion into Series A preferred shares in 2017, partially offset by an increase of $1.3 million in changes in the fair value of our Series A preferred share tranche obligation and a $0.1 million increase in realized and unrealized losses on foreign exchange as a result of fluctuations in foreign exchange rates.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Income tax expense was $0.03 million for the year ended December 31, 2018, reflecting taxable income in our U.S. subsidiary. No comparable income tax expense was incurred for the year ended December 31, 2017.</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$7.8 million and $14.3 million for the years ended December 31, 2017 and 2018,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primarily through equity financings, and have raised an aggregate of approximately $135.2 million of gross proceeds from the sale of our preferred shares. We have also partnered with Ono for our Polq inhibitor program and received initial upfront payments of approximately $8.1 million. As of March 31, 2020, we had $83.7 million of cash on hand.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As of March 31, 2020, our cash on hand was $83.7 million. We believe that the net proceeds from this offering, together with our existing cash on hand and the $65.0 million payment Bristol Myers Squibb paid us in connection with our entry into the collaboration and license agreement in May 2020, will enable us to fund our operating expenses and capital expenditure requirements at least through 2022. We have based this estimate on assumptions that may prove to be wrong, and we could expend our capital resources sooner than we expect.</w:t>
      </w:r>
    </w:p>
    <w:p>
      <w:pPr>
        <w:spacing w:after="0" w:line="17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We expect that our research and development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459" w:right="3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general and administrative costs will increase in connection with our planned research and development activities. In addition, upon the completion of this offering, we expect to incur additional costs associated with operating as a public company.</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believe that our existing cash on hand will be sufficient to fund our anticipated operating and capital expenditure requirements for at least the next 12 months from the date of this prospectus. We have based this estimate on assumptions that may prove to be wrong, and we could exhaust our capital resources sooner than we expect. If we receive regulatory approval for any of our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spacing w:after="0" w:line="188"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29" w:lineRule="exact"/>
        <w:rPr>
          <w:sz w:val="20"/>
          <w:szCs w:val="20"/>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00" w:right="44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75" w:lineRule="exact"/>
        <w:rPr>
          <w:rFonts w:ascii="Arial" w:cs="Arial" w:eastAsia="Arial" w:hAnsi="Arial"/>
          <w:sz w:val="18"/>
          <w:szCs w:val="18"/>
          <w:color w:val="auto"/>
        </w:rPr>
      </w:pPr>
    </w:p>
    <w:p>
      <w:pPr>
        <w:ind w:left="1000" w:right="78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RP-3500 and any future product candidates for which we receive marketing approval;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Until such time, if ever, as we can generate substantial product revenues to support our cost structure, we expect to finance our cash needs through a combination of equity offerings, debt financings, collaborations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320" w:top="459" w:right="3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other similar arrangements.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common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rPr>
              <w:t>ENDED MARCH 31,</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(12,567)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20,995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(20,773)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(1,577)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restricted cash</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23,721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(11,102)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(34,823)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Net cash provided by operating activities was $2.9 million for the three months ended March 31, 2019, reflecting a net loss of $4.8 million, offset by a net change of $7.4 million in our net operating assets and non-cash charges of $0.3 million. The non-cash charges primarily consist of depreciation expense, share-based compensation expense for option grants to employees, changes in the fair value of the Series A preferred share tranche obligation, non-cash lease expense, as well as foreign exchange gains and losses. The change in our net operating assets and liabilities was primarily due to an increase of $8.1 million in deferred revenue from the upfront payments received from Ono pursuant to the terms of our collaboration and a decrease of $0.1 million in prepaid expenses, partially offset by a net increase of $0.4 million for research and development tax credits receivable and other receivables, as well as a decrease of $0.4 million in accrued expenses and other current liabilities.</w:t>
      </w:r>
    </w:p>
    <w:p>
      <w:pPr>
        <w:spacing w:after="0" w:line="177" w:lineRule="exact"/>
        <w:rPr>
          <w:sz w:val="20"/>
          <w:szCs w:val="20"/>
          <w:color w:val="auto"/>
        </w:rPr>
      </w:pPr>
    </w:p>
    <w:p>
      <w:pPr>
        <w:ind w:right="220" w:firstLine="449"/>
        <w:spacing w:after="0" w:line="273" w:lineRule="auto"/>
        <w:rPr>
          <w:sz w:val="20"/>
          <w:szCs w:val="20"/>
          <w:color w:val="auto"/>
        </w:rPr>
      </w:pPr>
      <w:r>
        <w:rPr>
          <w:rFonts w:ascii="Arial" w:cs="Arial" w:eastAsia="Arial" w:hAnsi="Arial"/>
          <w:sz w:val="17"/>
          <w:szCs w:val="17"/>
          <w:color w:val="auto"/>
        </w:rPr>
        <w:t>Net cash used in operating activities was $9.7 million for the three months ended March 31, 2020, reflecting a net loss of $12.6 million, offset by a net change of $0.5 million in our net operating assets and non-cash charges of $2.4 million. The non-cash charges primarily consist of unrealized foreign exchange losses, as well as depreciation expense, share-based compensation expense for option grants to employees and non-cash lease expense. The change in our net operating assets and liabilities was primarily due to an increase of $1.4 million in other assets, other receivables, research and development tax credits receivable and prepaid expenses, as well as a decrease of $0.1 million in operating lease liabilities, offset by an increase of $2.0 million in accounts payable, accrued expenses and other current liabilities, as well as income tax payable.</w:t>
      </w:r>
    </w:p>
    <w:p>
      <w:pPr>
        <w:spacing w:after="0" w:line="17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$12.6 million increase in cash used in operating activities for the three months ended March 31, 2020 compared to March 31, 2019 is primarily due to a decrease in cash provided by the $8.1 million in upfront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payments received from Ono under the terms of our collaboration agreement for our Polq inhibitor program in the first quarter of 2019, as well as an increase in research and development expenses and general and administrative expenses as a result of our increased efforts towards identifying product candidates and advancing the development of RP-3500.</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Net cash used in investing activities was $0.1 million and $0.03 million for the three months ended March 31, 2019 and 2020,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Net cash provided by financing activities was $21.0 million for the three months ended March 31, 2019, consisting of net proceeds from the issuance of Series A preferred shares in January 2019. Net cash provided by financing activities was $0.2 million for the three months ended March 31, 2020, consisting of net proceeds from the exercise of stock options, partially offset by payments of deferred financing costs.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Effect of exchange rate fluctuations on cash held</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effect of exchange rate fluctuations on cash held was $0.04 million and $1.6 million for the three months ended March 31, 2019 and 2020, respectively, and resulted from fluctuations in foreign exchange rates, as well as higher foreign currency-denominated cash balances held in the first quarter of 2020 compared to the first quarter of 2019. From December 31, 2019 to March 31, 2020, the relative value of the U.S. dollar to the Canadian dollar increased by approximately 8%.</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(18,429)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40" w:type="dxa"/>
            <w:vAlign w:val="bottom"/>
            <w:gridSpan w:val="3"/>
          </w:tcPr>
          <w:p>
            <w:pPr>
              <w:jc w:val="right"/>
              <w:ind w:right="100"/>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103,243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103,243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(decrease) increase in cash and restricted cash</w:t>
            </w:r>
          </w:p>
        </w:tc>
        <w:tc>
          <w:tcPr>
            <w:tcW w:w="2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(13,460)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97,536</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Net cash used in operating activities was $12.6 million for the year ended December 31, 2018, reflecting a net loss of $14.3 million, a net change of $0.4 million in our net operating assets and non-cash charges of $2.1 million. The non-cash charges primarily consist of changes in the fair value of the Series A preferred share tranche obligation, depreciation expense, share-based compensation expense for option grants to employees as well as foreign exchange gains and losses. The change in our net operating assets and liabilities was primarily due to an increase of $0.5 million for research and development tax credits receivable, other receivables and prepaid expenses, partially offset by a net increase of $0.1 million in accrued expenses and other current liabilities.</w:t>
      </w:r>
    </w:p>
    <w:p>
      <w:pPr>
        <w:spacing w:after="0" w:line="192"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Net cash used in operating activities was $18.4 million for the year ended December 31, 2019, reflecting a net loss of $27.2 million, offset by a net change of $6.6 million in our net operating assets and non-cash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of $2.2 million. The non-cash charges primarily consist of changes in the fair value of the Series A preferred share tranche obligation, depreciation expense, share-based compensation expense for option grants to employees, non-cash lease expense as well as foreign exchange gains and losses. The change in our net operating assets and liabilities was primarily due to an increase of $8.1 million in deferred revenue from the upfront payments received from Ono pursuant to the terms of our collaboration, an increase of $1.7 million in accounts payable, accrued expenses and other current liabilities, partially offset by a decrease of $0.4 million in operating lease liabilities and an increase of $2.8 million for prepaid expenses, research and development tax credits receivable, other receivables and other non-current assets.</w:t>
      </w:r>
    </w:p>
    <w:p>
      <w:pPr>
        <w:spacing w:after="0" w:line="17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$5.8 million increase in cash used in operating activities for the year ended December 31, 2019 compared to December 31, 2018 is primarily due to an increase in research and development expenses and general and administrative expenses as a result of our increased efforts towards identifying product candidates and advancing the development of RP-3500, partially offset by the $8.1 million in upfront payments received from Ono under the terms of our collaboration for our Polq inhibitor program.</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Net cash used in investing activities was $0.6 million and $1.3 million for the years ended December 31, 2018 and 2019,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Net cash provided by financing activities was $103.2 million for the year ended December 31, 2019, consisting of net proceeds from the issuance of Series A preferred shares in January 2019 and net proceeds from the issuance of Series B preferred shares in September 2019. We had no cash provided by financing activities in 2018.</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(6,007)</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(12,618)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20" w:type="dxa"/>
            <w:vAlign w:val="bottom"/>
            <w:gridSpan w:val="3"/>
          </w:tcPr>
          <w:p>
            <w:pPr>
              <w:jc w:val="right"/>
              <w:ind w:right="100"/>
              <w:spacing w:after="0"/>
              <w:rPr>
                <w:sz w:val="20"/>
                <w:szCs w:val="20"/>
                <w:color w:val="auto"/>
              </w:rPr>
            </w:pPr>
            <w:r>
              <w:rPr>
                <w:rFonts w:ascii="Arial" w:cs="Arial" w:eastAsia="Arial" w:hAnsi="Arial"/>
                <w:sz w:val="18"/>
                <w:szCs w:val="18"/>
                <w:color w:val="auto"/>
              </w:rPr>
              <w:t>(1,156)</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30,458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(30,458)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restricted cash</w:t>
            </w:r>
          </w:p>
        </w:tc>
        <w:tc>
          <w:tcPr>
            <w:tcW w:w="2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23,302</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(13,460)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(36,762)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320" w:firstLine="449"/>
        <w:spacing w:after="0" w:line="273" w:lineRule="auto"/>
        <w:rPr>
          <w:sz w:val="20"/>
          <w:szCs w:val="20"/>
          <w:color w:val="auto"/>
        </w:rPr>
      </w:pPr>
      <w:r>
        <w:rPr>
          <w:rFonts w:ascii="Arial" w:cs="Arial" w:eastAsia="Arial" w:hAnsi="Arial"/>
          <w:sz w:val="17"/>
          <w:szCs w:val="17"/>
          <w:color w:val="auto"/>
        </w:rPr>
        <w:t>Net cash used in operating activities was $6.0 million for the year ended December 31, 2017, reflecting a net loss of $7.8 million, a net change of $0.2 million in our net operating assets and non-cash charges of $1.6 million. The non-cash charges primarily consist of changes in the fair value of the convertible notes and Series A preferred share tranche obligation, depreciation expense and share-based compensation expense for option grants to employees. The change in our net operating assets and liabilities was primarily attributable to an increase of $1.1 million in accounts payables, accrued expenses and other current liabilities, as well as other liabilities, partially offset by an increase of $0.8 million in prepaid expenses, research and development tax credits receivable, other receivables and other non-current assets.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Net cash used in operating activities was $12.6 million for the year ended December 31, 2018, reflecting a net loss of $14.3 million, a net change of $0.4 million in our net operating assets and non-cash charges of $2.1 million. The non-cash charges primarily consist of changes in the fair value of the Series A preferred share tranche obligation, depreciation expense, share-based compensation expense for option grants to employees as well as foreign exchange gains and losses. The change in our net operating assets and liabilities was primarily due to an increase of $0.5 million for research and development tax credits receivable, other receivables and prepaid expenses, partially offset by a net increase of $0.1 million in accrued expenses and other current liabilities.</w:t>
      </w:r>
    </w:p>
    <w:p>
      <w:pPr>
        <w:spacing w:after="0" w:line="192"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$6.6 million increase in cash used in operating activities for the year ended December 31, 2018 compared to December 31, 2017 was primarily due to an increase in research and development expenses and general and administrative expenses as a result of our increased efforts towards advancing our research and development program.</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20" w:firstLine="449"/>
        <w:spacing w:after="0" w:line="277" w:lineRule="auto"/>
        <w:rPr>
          <w:sz w:val="20"/>
          <w:szCs w:val="20"/>
          <w:color w:val="auto"/>
        </w:rPr>
      </w:pPr>
      <w:r>
        <w:rPr>
          <w:rFonts w:ascii="Arial" w:cs="Arial" w:eastAsia="Arial" w:hAnsi="Arial"/>
          <w:sz w:val="18"/>
          <w:szCs w:val="18"/>
          <w:color w:val="auto"/>
        </w:rPr>
        <w:t>Net cash used in investing activities was $1.2 million and $0.6 million for the years ended December 31, 2017 and 2018,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Net cash provided by financing activities was $30.5 million for the year ended December 31, 2017, consisting of net proceeds from the issuance of convertible notes in April 2017 and the net proceeds from the issuance of Series A preferred shares in June 2017. We had no cash provided by financing activities in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The following table summarizes our commitments to settle contractual obligations at March 31, 2020 (in thousands), other than leases which are recognized as operating lease liabilities in our balance sheet: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left="419"/>
              <w:spacing w:after="0"/>
              <w:rPr>
                <w:sz w:val="20"/>
                <w:szCs w:val="20"/>
                <w:color w:val="auto"/>
              </w:rPr>
            </w:pPr>
            <w:r>
              <w:rPr>
                <w:rFonts w:ascii="Arial" w:cs="Arial" w:eastAsia="Arial" w:hAnsi="Arial"/>
                <w:sz w:val="14"/>
                <w:szCs w:val="14"/>
                <w:b w:val="1"/>
                <w:bCs w:val="1"/>
                <w:color w:val="auto"/>
                <w:w w:val="91"/>
              </w:rPr>
              <w:t>Payments Due By Period</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5"/>
              </w:rPr>
              <w:t>Total</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320" w:type="dxa"/>
            <w:vAlign w:val="bottom"/>
          </w:tcPr>
          <w:p>
            <w:pPr>
              <w:spacing w:after="0"/>
              <w:rPr>
                <w:sz w:val="10"/>
                <w:szCs w:val="10"/>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1-3 Years</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research agreements</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11,125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1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$ 5,250</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$ 2,350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11,125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$ 5,250</w:t>
            </w:r>
          </w:p>
        </w:tc>
        <w:tc>
          <w:tcPr>
            <w:tcW w:w="46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$ 2,350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and Research Agreements</w:t>
      </w:r>
    </w:p>
    <w:p>
      <w:pPr>
        <w:spacing w:after="0" w:line="11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Collaboration and research agreement obligations primarily relate to a strategic collaboration agreement that we entered into with the University of Texas M. D. Anderson Cancer Center, or MDACC, in March 2020. The collaboration will consist of preclinical studies and clinical trials designed by us and MDACC with the research to be completed by MDACC. We have agreed to commit $10.0 million in the aggregate to fund the collaboration, with payments to be made over a period of five years, of which $2.0 million was paid in April 2020.</w:t>
      </w:r>
    </w:p>
    <w:p>
      <w:pPr>
        <w:spacing w:after="0" w:line="187"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Collaboration and research agreement obligations also relate to the agreement we entered into with the Broad Institute Inc., or Broad, in February 2019, under which Broad will perform specialty screening services at our request over the course of a three-year term in exchange for payments of $0.5 million per year, totaling $1.5 million in the aggregate.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and Other Obligations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the normal course of business, we enter into contracts with CROs and other third parties for preclinical studies and clinical trials, research and development supplies and other testing and manufacturing services. These contracts generally do not contain minimum purchase commitments and provide for termination on notice, and therefore are cancellable contracts. These payments are not included in the table above as the amount and timing of such payments are not known as of March 31, 2020.</w:t>
      </w:r>
    </w:p>
    <w:p>
      <w:pPr>
        <w:spacing w:after="0" w:line="18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also entered into license agreements under which we are obligated to make milestone and royalty payments and incur annual maintenance fees. We have not included future milestone or royalty payments under these agreements in the table above since the payment obligations are contingent upon future events, such as achieving certain clinical and commercial milestones or generating product sales. As of March 31, 2020, we were unable to estimate the timing or likelihood of achieving these clinical and commercial milestones or generating future product sales. See the section titled “—License and Collaboration Agreements” elsewhere in this prospectus as well as Note 6 to our annual consolidated financial statements appearing elsewhere in this prospectus for a description of our license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This management’s discussion and analysis is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66"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While our accounting policies are described in more detail in the notes to our consolidated financial statements appearing elsewhere in this prospectus, we believe the following accounting policies used in the preparation of our consolidated financial statements require the most significant judgments and estimates. See Note 2 to our annual consolidated financial statements included elsewhere in this prospectus for a description of our other significant accounting policies.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w:t>
      </w:r>
    </w:p>
    <w:p>
      <w:pPr>
        <w:spacing w:after="0" w:line="164"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459" w:right="3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88" w:lineRule="exact"/>
        <w:rPr>
          <w:sz w:val="20"/>
          <w:szCs w:val="20"/>
          <w:color w:val="auto"/>
        </w:rPr>
      </w:pPr>
    </w:p>
    <w:p>
      <w:pPr>
        <w:ind w:right="560" w:firstLine="449"/>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Share Tranche Obligation</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initial fair value of the preferred share tranche obligation recognized in connection with our issuance of Series A preferred shares in June 2017 was determined based on significant inputs not observable in the market, which represents a Level 3 measurement within the fair value hierarchy, which are detailed in Note 3 to our annual consolidated financial statements included elsewhere in this prospectus. The initial fair value of the obligation was estimated based on results of a third-party valuation. This obligation is remeasured prior to the issuance of subsequent tranches and at each subsequent reporting period. See Note 8 to our annual consolidated financial statements included elsewhere in this prospectus for additional information regarding our issuances of preferred shares.</w:t>
      </w:r>
    </w:p>
    <w:p>
      <w:pPr>
        <w:spacing w:after="0" w:line="192"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Each tranche obligation is valued as a forward contract. The values are determined using a probability-weighted present value calculation. In determining the fair values of the tranche obligations, estimates and assumptions impacting fair value included the future value of our Series A preferred shares, discount rates, estimated years to liquidity, and probability of each tranche closing. We determined the per share future value of the Series A preferred shares by back-solving to the initial proceeds of the Series A financing. We remeasured each tranche obligation at each reporting period and prior to settlement.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 xml:space="preserve">We measure share-based compensation based on the grant date fair value of the share-based awards and recognize share-based compensation expense on a straight-line basis over the requisite service period of the awards, which is generally the vesting period of the respective award. For non-employee awards, compensation expense is recognized as the services are provided, which is generally ratably over the vesting period. On January 1, 2017, we adopted, using the modified retroactive approach, the guidance of </w:t>
      </w:r>
      <w:r>
        <w:rPr>
          <w:rFonts w:ascii="Arial" w:cs="Arial" w:eastAsia="Arial" w:hAnsi="Arial"/>
          <w:sz w:val="16"/>
          <w:szCs w:val="16"/>
          <w:i w:val="1"/>
          <w:iCs w:val="1"/>
          <w:color w:val="auto"/>
        </w:rPr>
        <w:t>Accounting Standard Update, or ASU, 2018-07, Compensation — Stock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(Topic 718) — Improvements to Nonemployee Share-Based Payment Accounting</w:t>
      </w:r>
      <w:r>
        <w:rPr>
          <w:rFonts w:ascii="Arial" w:cs="Arial" w:eastAsia="Arial" w:hAnsi="Arial"/>
          <w:sz w:val="16"/>
          <w:szCs w:val="16"/>
          <w:color w:val="auto"/>
        </w:rPr>
        <w:t>, and account for awards to non-employees using the grant date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subsequent periodic remeasurement. The adoption of ASU 2018-07 did not have a material effect on our consolidated financial statements.</w:t>
      </w:r>
    </w:p>
    <w:p>
      <w:pPr>
        <w:spacing w:after="0" w:line="164"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Share-based compensation expense is classified in our consolidated statements of operations and comprehensive loss based on the function to which the related services are provided. We recognize share-based compensation expense for the portion of awards that have vested. Forfeitures are accounted for as they occur.</w:t>
      </w:r>
    </w:p>
    <w:p>
      <w:pPr>
        <w:spacing w:after="0" w:line="184"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our expected dividend yield. The fair value of each restricted common shares award is estimated on the date of grant based on the fair value of our common share on that same date. As there is currently no public market for our common shares, we determined the volatility for awards granted based on an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analysis of reported data for a group of guideline companies that issued options with substantially similar terms. The expected volatility has been determined using a weighted-average of the historical volatility measures of this group of guideline companies. We expect to continue to do so until we have adequate historical data regarding the volatility of the trading price of our common shares on Nasdaq. The expected term of our options granted to employees has been determined utilizing the “simplified” method for awards that qualify as “plain-vanilla” options. With the adoption of ASU 2018-07, we applied the nonpublic entity practical expedient for calculating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 approximately equal to the expected term of the award. We have not paid, and do not anticipate paying, dividends on our common shares; therefore, the expected dividend yield is assumed to be zero.</w:t>
      </w:r>
    </w:p>
    <w:p>
      <w:pPr>
        <w:spacing w:after="0" w:line="165"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 xml:space="preserve">As there has been no public market for our common shares to date, the historical estimated fair value of our common shares has been approved by our board of directors, considering our most recently available independent third-party valuations of common shares.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Issued as Compensation</w:t>
      </w:r>
      <w:r>
        <w:rPr>
          <w:rFonts w:ascii="Arial" w:cs="Arial" w:eastAsia="Arial" w:hAnsi="Arial"/>
          <w:sz w:val="16"/>
          <w:szCs w:val="16"/>
          <w:color w:val="auto"/>
        </w:rPr>
        <w:t>, a third-party valuation firm prepared valuations of our common shares using either an option pricing method, or OPM,</w:t>
      </w:r>
      <w:r>
        <w:rPr>
          <w:rFonts w:ascii="Arial" w:cs="Arial" w:eastAsia="Arial" w:hAnsi="Arial"/>
          <w:sz w:val="16"/>
          <w:szCs w:val="16"/>
          <w:i w:val="1"/>
          <w:iCs w:val="1"/>
          <w:color w:val="auto"/>
        </w:rPr>
        <w:t xml:space="preserve"> </w:t>
      </w:r>
      <w:r>
        <w:rPr>
          <w:rFonts w:ascii="Arial" w:cs="Arial" w:eastAsia="Arial" w:hAnsi="Arial"/>
          <w:sz w:val="16"/>
          <w:szCs w:val="16"/>
          <w:color w:val="auto"/>
        </w:rPr>
        <w:t>or a hybrid method, both of which used market approaches to estimate our enterprise value. The OPM treats common shares and preferred shares as call options on the total equity value of a company, with exercise prices based on the value thresholds at which the allocation among the various holders of a company’s securities changes. Under this method, the common shares have value only if the funds available for distribution to shareholders exceeded the value of the preferred share liquidation preferences at the time of the liquidity event, such as a strategic sale or a merger. A discount for lack of marketability of the common shares is then applied to arrive at an indication of value for the common shares. The hybrid method is a probability-weighted expected return method, or PWERM, where the equity value in one or more scenarios is calculated using an OPM. The PWERM is a scenario-based methodology that estimates the fair value of common shares based upon an analysis of future values for the company, assuming various outcomes. The common share value is based on the probability-weighted present value of expected future investment returns considering each of the possible outcomes available as well as the rights of each share class. The future value of the common share under each outcome is discounted back to the valuation date at an appropriate risk-adjusted discount rate and probability weighted to arrive at an indication of value for the common share.</w:t>
      </w:r>
    </w:p>
    <w:p>
      <w:pPr>
        <w:spacing w:after="0" w:line="171"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In addition to considering the results of the third-party valuations, our board of directors considered various objective and subjective factors to determine the fair value of our common shares as of each grant date, which may be a date later than the most recent third-party valuation date, including:</w:t>
      </w:r>
    </w:p>
    <w:p>
      <w:pPr>
        <w:spacing w:after="0" w:line="29" w:lineRule="exact"/>
        <w:rPr>
          <w:sz w:val="20"/>
          <w:szCs w:val="20"/>
          <w:color w:val="auto"/>
        </w:rPr>
      </w:pPr>
    </w:p>
    <w:p>
      <w:pPr>
        <w:ind w:left="1000" w:right="160" w:hanging="547"/>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prices at which we sold preferred shares and the superior rights and preferences of the preferred shares relative to our common shares at the time of each grant;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including the status of preclinical studies for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lack of liquidity of our equity as a private company;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achievement of enterprise milestones, including entering into collaboration and license agreements;</w:t>
      </w:r>
    </w:p>
    <w:p>
      <w:pPr>
        <w:spacing w:after="0" w:line="130" w:lineRule="exact"/>
        <w:rPr>
          <w:rFonts w:ascii="Arial" w:cs="Arial" w:eastAsia="Arial" w:hAnsi="Arial"/>
          <w:sz w:val="18"/>
          <w:szCs w:val="18"/>
          <w:color w:val="auto"/>
        </w:rPr>
      </w:pPr>
    </w:p>
    <w:p>
      <w:pPr>
        <w:ind w:left="1000" w:right="700" w:hanging="547"/>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external market conditions affecting the biotechnology industry, and trends within the biotechnology industry;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8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preferred shares and holders of our common shares,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There are significant judgments and estimates inherent in these valuations. These judgments and estimates include assumptions regarding our future operating performance, the stage of development of our product candidates, the timing of a potential IPO or other liquidity event and the determination of the appropriate valuation methodology at each valuation date. 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 Following the completion of this offering, the fair value of our common shares will be determined based on the quoted market price of our common shares.</w:t>
      </w:r>
    </w:p>
    <w:p>
      <w:pPr>
        <w:spacing w:after="0" w:line="16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following table sets forth by grant date, the number of shares underlying options granted, the per share exercise price of options, the fair value of per common share on each grant date, and the per share estimated fair value of the options granted between January 1, 2017 and March 31, 2020. We did not grant any restricted common shares during this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Number of Common</w:t>
            </w:r>
          </w:p>
        </w:tc>
        <w:tc>
          <w:tcPr>
            <w:tcW w:w="1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Exercise Price per</w:t>
            </w:r>
          </w:p>
        </w:tc>
        <w:tc>
          <w:tcPr>
            <w:tcW w:w="1960" w:type="dxa"/>
            <w:vAlign w:val="bottom"/>
            <w:gridSpan w:val="3"/>
          </w:tcPr>
          <w:p>
            <w:pPr>
              <w:ind w:left="60"/>
              <w:spacing w:after="0"/>
              <w:rPr>
                <w:sz w:val="20"/>
                <w:szCs w:val="20"/>
                <w:color w:val="auto"/>
              </w:rPr>
            </w:pPr>
            <w:r>
              <w:rPr>
                <w:rFonts w:ascii="Arial" w:cs="Arial" w:eastAsia="Arial" w:hAnsi="Arial"/>
                <w:sz w:val="14"/>
                <w:szCs w:val="14"/>
                <w:b w:val="1"/>
                <w:bCs w:val="1"/>
                <w:color w:val="auto"/>
              </w:rPr>
              <w:t>Estimated Per-Share</w:t>
            </w:r>
          </w:p>
        </w:tc>
        <w:tc>
          <w:tcPr>
            <w:tcW w:w="1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Estimated Fair Value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Shares Subject</w:t>
            </w:r>
          </w:p>
        </w:tc>
        <w:tc>
          <w:tcPr>
            <w:tcW w:w="1720" w:type="dxa"/>
            <w:vAlign w:val="bottom"/>
            <w:gridSpan w:val="3"/>
            <w:vMerge w:val="continue"/>
          </w:tcPr>
          <w:p>
            <w:pPr>
              <w:spacing w:after="0"/>
              <w:rPr>
                <w:sz w:val="12"/>
                <w:szCs w:val="12"/>
                <w:color w:val="auto"/>
              </w:rPr>
            </w:pPr>
          </w:p>
        </w:tc>
        <w:tc>
          <w:tcPr>
            <w:tcW w:w="1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 of Options</w:t>
            </w: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Common Share at</w:t>
            </w:r>
          </w:p>
        </w:tc>
        <w:tc>
          <w:tcPr>
            <w:tcW w:w="7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to Options Granted</w:t>
            </w: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Common Share </w:t>
            </w:r>
            <w:r>
              <w:rPr>
                <w:rFonts w:ascii="Arial" w:cs="Arial" w:eastAsia="Arial" w:hAnsi="Arial"/>
                <w:sz w:val="12"/>
                <w:szCs w:val="12"/>
                <w:b w:val="1"/>
                <w:bCs w:val="1"/>
                <w:color w:val="auto"/>
              </w:rPr>
              <w:t>(1)</w:t>
            </w:r>
          </w:p>
        </w:tc>
        <w:tc>
          <w:tcPr>
            <w:tcW w:w="360" w:type="dxa"/>
            <w:vAlign w:val="bottom"/>
          </w:tcPr>
          <w:p>
            <w:pPr>
              <w:spacing w:after="0"/>
              <w:rPr>
                <w:sz w:val="12"/>
                <w:szCs w:val="12"/>
                <w:color w:val="auto"/>
              </w:rPr>
            </w:pPr>
          </w:p>
        </w:tc>
        <w:tc>
          <w:tcPr>
            <w:tcW w:w="1020" w:type="dxa"/>
            <w:vAlign w:val="bottom"/>
          </w:tcPr>
          <w:p>
            <w:pPr>
              <w:jc w:val="right"/>
              <w:ind w:right="533"/>
              <w:spacing w:after="0"/>
              <w:rPr>
                <w:sz w:val="20"/>
                <w:szCs w:val="20"/>
                <w:color w:val="auto"/>
              </w:rPr>
            </w:pPr>
            <w:r>
              <w:rPr>
                <w:rFonts w:ascii="Arial" w:cs="Arial" w:eastAsia="Arial" w:hAnsi="Arial"/>
                <w:sz w:val="12"/>
                <w:szCs w:val="12"/>
                <w:b w:val="1"/>
                <w:bCs w:val="1"/>
                <w:color w:val="auto"/>
              </w:rPr>
              <w:t>(2)</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 xml:space="preserve">Grant Date </w:t>
            </w:r>
            <w:r>
              <w:rPr>
                <w:rFonts w:ascii="Arial" w:cs="Arial" w:eastAsia="Arial" w:hAnsi="Arial"/>
                <w:sz w:val="12"/>
                <w:szCs w:val="12"/>
                <w:b w:val="1"/>
                <w:bCs w:val="1"/>
                <w:color w:val="auto"/>
                <w:w w:val="97"/>
              </w:rPr>
              <w:t>(3)</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1, 2017</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822,658</w:t>
            </w: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w w:val="79"/>
              </w:rPr>
              <w:t>1.64</w:t>
            </w: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1.03</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1.64</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November 30, 2018</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55,426</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1.64</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1.58</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2018</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39,588</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1.58</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March 29,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1,013,635</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2.06</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1.64</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3,299</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1.88</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63,508</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1.88</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1.88</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21,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351,367</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1.88</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1.88</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December 16,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1,318,503</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2.42</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2.42</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16,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10,722</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2.42</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2.42</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exercise price per common share represents the fair value of our common shares on the date of grant, as determined by our board of directors.</w:t>
      </w:r>
    </w:p>
    <w:p>
      <w:pPr>
        <w:spacing w:after="0" w:line="46"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estimated per share fair value of options reflects the weighted average fair value of options granted on each grant date, determined using the Black-Scholes option-pricing model.</w:t>
      </w:r>
    </w:p>
    <w:p>
      <w:pPr>
        <w:ind w:left="460" w:right="80" w:hanging="452"/>
        <w:spacing w:after="0" w:line="253"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the time of the option grants above, our board of directors determined that the values included under “Exercise Price per Common Share” reasonably reflected the per share fair value of our common shares as of the grant dates. However, for certain dates, the fair value of the common shares at the date of these grants was adjusted to the amounts included under “Estimated Fair Value per Common Share at Grant Date” in connection with retrospective fair value assessments for financial reporting purposes.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See Note 2 to our annual consolidated financial statements financial statements appearing elsewhere in this prospectus for a description of recent accounting pronouncements applicable to our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Interest-earning instruments carry a degree of interest rate risk. We have not historically earned interest on our cash balances and we do not enter into investments for trading or speculative purposes.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incur a portion of our expenses in Canadian dollars, as well as other currencies to a lesser extent. A change in the relative value of the U.S. dollar to the Canadian dollar and other currencies may negatively affect revenue and other operating results as expressed in U.S. dollars. We have not engaged in the hedging of foreign currency transactions to date, although we may choose to do so in the future. We do, however, keep expected Canadian dollar cash requirements in Canadian dollars to form a natural hedge. We are exposed to currency risk through our cash, research and development tax credits receivable, other receivables, restricted cash, accounts payable, accrued expenses and other current liabilities, and operating lease liabilities denominated in Canadian dollars. Based on our March 31, 2020 Canadian dollar net exposure, and assuming all other variables remain constant, a 10% depreciation in the relative value of the U.S. dollar to the Canadian dollar would result in an increase of approximately $1.8 million on our net loss.</w:t>
      </w:r>
    </w:p>
    <w:p>
      <w:pPr>
        <w:spacing w:after="0" w:line="166"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We are also exposed to currency risk through our collaboration agreement with Ono as future payments receivable under our collaboration agreement,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In April 2012, the Jumpstart Our Business Startups Act of 2012, or the JOBS Act, was enacted. The JOBS Act provides that, among other things,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date for public and private companies, we will disclose the date on which adoption is required for non-emerging growth companies and the date on which we will adopt the recently issued accounting standard.</w:t>
      </w:r>
    </w:p>
    <w:p>
      <w:pPr>
        <w:spacing w:after="0" w:line="165"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as an emerging growth company, we are entitled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320" w:top="459" w:right="3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will remain an emerging growth company until the earlier to occur of (1) the last day of our fiscal year (a) following the fifth anniversary of the completion of this offering, (b) in which we have total annual gross revenues of at least $1.0 billion or (c) in which we are deemed to be a “large accelerated filer” under the rules of the SEC, which means the market value of our common shares that is held by non-affiliates exceeds $700 million as of the last day of the second quarter of our fiscal year, and (2) the date on which we have issued more than $1.0 billion in non-convertible debt during the prior three-year period.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32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are a leading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lead product candidate, RP-3500, an oral small molecule inhibitor for the treatment of solid tumors with specific DNA damage repair-related genomic alterations. We anticipate filing an investigational new drug, or IND, application in the second quarter of 2020 and initiating an open-label Phase 1/2 clinical trial of RP-3500 in the third quarter of 2020.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powerful SL-based approach to the development of new precision oncology therapeutics has multiple potential benefits:</w:t>
      </w:r>
    </w:p>
    <w:p>
      <w:pPr>
        <w:spacing w:after="0" w:line="127" w:lineRule="exact"/>
        <w:rPr>
          <w:sz w:val="20"/>
          <w:szCs w:val="20"/>
          <w:color w:val="auto"/>
        </w:rPr>
      </w:pPr>
    </w:p>
    <w:p>
      <w:pPr>
        <w:ind w:left="1000" w:hanging="547"/>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Ability to address previously untargetable tumor biology</w:t>
      </w:r>
      <w:r>
        <w:rPr>
          <w:rFonts w:ascii="Arial" w:cs="Arial" w:eastAsia="Arial" w:hAnsi="Arial"/>
          <w:sz w:val="18"/>
          <w:szCs w:val="18"/>
          <w:color w:val="auto"/>
        </w:rPr>
        <w:t>, including, for example, loss-of-function mutations;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Enhanced benefit-risk profile</w:t>
      </w:r>
      <w:r>
        <w:rPr>
          <w:rFonts w:ascii="Arial" w:cs="Arial" w:eastAsia="Arial" w:hAnsi="Arial"/>
          <w:sz w:val="17"/>
          <w:szCs w:val="17"/>
          <w:color w:val="auto"/>
        </w:rPr>
        <w:t>, by precisely targeting tumor cells with the defined mutation while sparing normal, non-cancerous cells;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Genetic stratification of patients</w:t>
      </w:r>
      <w:r>
        <w:rPr>
          <w:rFonts w:ascii="Arial" w:cs="Arial" w:eastAsia="Arial" w:hAnsi="Arial"/>
          <w:sz w:val="18"/>
          <w:szCs w:val="18"/>
          <w:color w:val="auto"/>
        </w:rPr>
        <w:t>, potentially enabling higher response rates;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Tumor-agnostic approach</w:t>
      </w:r>
      <w:r>
        <w:rPr>
          <w:rFonts w:ascii="Arial" w:cs="Arial" w:eastAsia="Arial" w:hAnsi="Arial"/>
          <w:sz w:val="18"/>
          <w:szCs w:val="18"/>
          <w:color w:val="auto"/>
        </w:rPr>
        <w:t>, focusing on specific genetics and enabling the application to multiple tumor types.</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 cornerstone of our company is our SNIPRx platform, which enables us to accurately identify SL gene pairs and the corresponding patients who are most likely to benefit from our therapies based on the genetic profile of their tumors. These differentiated patient selection insights have driven the development of our lead product candidate, RP-3500, which is designed as a selective inhibitor of the DNA repair protein ataxia telangiectasia and Rad3-related protein, or ATR, a kinase that is activated by DNA replication stress. Tumors containing alterations in genes encoding other DNA repair proteins, such as ataxia-telangiectasia mutated kinase, or ATM, are SL with ATR inhibition and were observed to be hypersensitive to RP-3500 in our preclinical models. We believe that the preclinical selectivity and pharmacokinetic properties of RP-3500 support the profile of a differentiated therapy with the potential to enhance anti-tumor activity as compared to third party ATR inhibitors currently in development. Based on our preclinical studies, we believe RP-3500 has the potential to provide therapeutic benefit to identified patient populations both as a monotherapy and in combination with other therapies such as poly (ADP-ribose) polymerase, or PARP, inhibitors.</w:t>
      </w:r>
    </w:p>
    <w:p>
      <w:pPr>
        <w:spacing w:after="0" w:line="18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addition to RP-3500, we are developing a portfolio of product candidates based on targets identified using our SNIPRx platform to treat cancers with a high unmet medical need. We have a preclinical program that is focused on a novel target we discovered to be SL with amplification of cyclin E1, or CCNE1, in tumors such as gynecological and upper gastrointestinal malignancies. We anticipate advancing a clinical candidate for this potential first-in-class program into IND-enabling studies in the fourth quarter of 2020. We are also developing an inhibitor of polymerase theta, or Polq, which is SL with multiple gene deficiencies found in tumors, including BRCA1 or BRCA2. We anticipate advancing a clinical candidate and initiating IND-enabling studies for this program in the second half of 2021.</w:t>
      </w:r>
    </w:p>
    <w:p>
      <w:pPr>
        <w:spacing w:after="0" w:line="192"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Our SNIPRx platform begins with a genome-wide CRISPR-based screening approach that utilizes our proprietary isogenic cell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lines, which are cell lines that are identical with the exception of a single genomic alteration, to identify SL gene 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8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have systematically analyzed genomic data from approximately 60,000 tumor samples and identified an initial set of 16 clinically relevant tumor genomic alterations, which we refer to as tumor lesions, that are linked to genomic instability. These 16 tumor lesions are present in approximately 30% of tumors. For each of these 16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based on their potential to be amenable to small molecule inhibitors with drug-like properties. Once a SL product candidate is identified, we perform our proprietary SNIPRx Targeted Expansion of Patient Populations, or STEP</w:t>
      </w:r>
      <w:r>
        <w:rPr>
          <w:rFonts w:ascii="Arial" w:cs="Arial" w:eastAsia="Arial" w:hAnsi="Arial"/>
          <w:sz w:val="14"/>
          <w:szCs w:val="14"/>
          <w:color w:val="auto"/>
        </w:rPr>
        <w:t>2</w:t>
      </w:r>
      <w:r>
        <w:rPr>
          <w:rFonts w:ascii="Arial" w:cs="Arial" w:eastAsia="Arial" w:hAnsi="Arial"/>
          <w:sz w:val="17"/>
          <w:szCs w:val="17"/>
          <w:color w:val="auto"/>
        </w:rPr>
        <w:t>, screens to identify additional genomic alterations that are SL to our product candidate. Using these screens, we are able to enrich the patient population in our clinical trials and expand the patient populations that may be addressable with our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leader in developing innovative SL therapies and have built our SNIPRx platform based on three primary pillars:</w:t>
      </w:r>
    </w:p>
    <w:p>
      <w:pPr>
        <w:spacing w:after="0" w:line="131" w:lineRule="exact"/>
        <w:rPr>
          <w:sz w:val="20"/>
          <w:szCs w:val="20"/>
          <w:color w:val="auto"/>
        </w:rPr>
      </w:pPr>
    </w:p>
    <w:p>
      <w:pPr>
        <w:ind w:left="1000" w:right="360" w:hanging="357"/>
        <w:spacing w:after="0" w:line="277" w:lineRule="auto"/>
        <w:tabs>
          <w:tab w:leader="none" w:pos="10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Identify </w:t>
      </w:r>
      <w:r>
        <w:rPr>
          <w:rFonts w:ascii="Arial" w:cs="Arial" w:eastAsia="Arial" w:hAnsi="Arial"/>
          <w:sz w:val="18"/>
          <w:szCs w:val="18"/>
          <w:color w:val="auto"/>
        </w:rPr>
        <w:t>novel SL targets using our proprietary, genome-wide, CRISPR-enabled screening technology against clinically relevant genomic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alterations in tumors with high unmet medical need;</w:t>
      </w:r>
    </w:p>
    <w:p>
      <w:pPr>
        <w:spacing w:after="0" w:line="75" w:lineRule="exact"/>
        <w:rPr>
          <w:rFonts w:ascii="Arial" w:cs="Arial" w:eastAsia="Arial" w:hAnsi="Arial"/>
          <w:sz w:val="18"/>
          <w:szCs w:val="18"/>
          <w:b w:val="1"/>
          <w:bCs w:val="1"/>
          <w:color w:val="auto"/>
        </w:rPr>
      </w:pPr>
    </w:p>
    <w:p>
      <w:pPr>
        <w:ind w:left="1000" w:hanging="357"/>
        <w:spacing w:after="0"/>
        <w:tabs>
          <w:tab w:leader="none" w:pos="10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 and synthesize </w:t>
      </w:r>
      <w:r>
        <w:rPr>
          <w:rFonts w:ascii="Arial" w:cs="Arial" w:eastAsia="Arial" w:hAnsi="Arial"/>
          <w:sz w:val="18"/>
          <w:szCs w:val="18"/>
          <w:color w:val="auto"/>
        </w:rPr>
        <w:t>potent and selective small molecule inhibitors of these targets; and</w:t>
      </w:r>
    </w:p>
    <w:p>
      <w:pPr>
        <w:spacing w:after="0" w:line="130" w:lineRule="exact"/>
        <w:rPr>
          <w:rFonts w:ascii="Arial" w:cs="Arial" w:eastAsia="Arial" w:hAnsi="Arial"/>
          <w:sz w:val="18"/>
          <w:szCs w:val="18"/>
          <w:b w:val="1"/>
          <w:bCs w:val="1"/>
          <w:color w:val="auto"/>
        </w:rPr>
      </w:pPr>
    </w:p>
    <w:p>
      <w:pPr>
        <w:ind w:left="1000" w:right="140" w:hanging="357"/>
        <w:spacing w:after="0" w:line="277" w:lineRule="auto"/>
        <w:tabs>
          <w:tab w:leader="none" w:pos="10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Expand </w:t>
      </w:r>
      <w:r>
        <w:rPr>
          <w:rFonts w:ascii="Arial" w:cs="Arial" w:eastAsia="Arial" w:hAnsi="Arial"/>
          <w:sz w:val="18"/>
          <w:szCs w:val="18"/>
          <w:color w:val="auto"/>
        </w:rPr>
        <w:t>beyond the initial target population based on the additional genomic alterations identified by our proprietary STEP</w:t>
      </w:r>
      <w:r>
        <w:rPr>
          <w:rFonts w:ascii="Arial" w:cs="Arial" w:eastAsia="Arial" w:hAnsi="Arial"/>
          <w:sz w:val="15"/>
          <w:szCs w:val="15"/>
          <w:color w:val="auto"/>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screens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SL with our inhibitors.</w:t>
      </w:r>
    </w:p>
    <w:p>
      <w:pPr>
        <w:spacing w:after="0" w:line="170"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In May 2020, we entered into a collaboration and license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The collaboration consists of programs directed to both druggable targets and to targets commonly considered undruggable by traditional small molecule approaches. As part of the agreement, Bristol Myers Squibb paid us an initial upfront fee payment of $50.0 million and made an equity investment of $15.0 million into our company. We will also be eligible to receive up to $3.0 billion in total milestones across all potential programs. Such milestones consist of $301 million in total milestones per program subject upon the achievement of certain specified research, development, regulatory and commercial milestones. See “—Collaborations and License Agreements—Collaboration and License Agreement with Bristol-Myers Squibb Company” for additional information.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We are leveraging our proprietary SNIPRx platform to discover, validate and build a robust pipeline of SL-based therapeutics. Our current pipeline is represented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63310" cy="3094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63310" cy="309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0" w:right="140" w:hanging="452"/>
        <w:spacing w:after="0" w:line="263"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Ono Pharmaceutical has development and commercialization rights in Japan, South Korea, Taiwan, Hong Kong, Macau and certain other Southeast Asian countries. We retained all other rights outside of those countries. See “Business—Research Services, License and Collaboration Agreement with Ono Pharmaceutical Co.” for additional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company was founded in 2016 by field-leading academics and Versant Ventures to systematically employ SL insights and platforms and develop new precision oncology medicines. Our co-founder, Daniel Durocher, Ph.D., a principal investigator at the Lunenfeld-Tanenbaum Research Institute, was an early pioneer of genome-wide, SL screening using CRISPR, which formed the framework for our SNIPRx platform. Our other co-founders, Agnel Sfeir, Ph.D. at NYU-Langone Medical Center and Frank Sicheri, Ph.D. at the Lunenfeld-Tanenbaum Research Institute, also played a key role in the development of our company.</w:t>
      </w:r>
    </w:p>
    <w:p>
      <w:pPr>
        <w:spacing w:after="0" w:line="188" w:lineRule="exact"/>
        <w:rPr>
          <w:sz w:val="20"/>
          <w:szCs w:val="20"/>
          <w:color w:val="auto"/>
        </w:rPr>
      </w:pPr>
    </w:p>
    <w:p>
      <w:pPr>
        <w:ind w:right="140" w:firstLine="449"/>
        <w:spacing w:after="0" w:line="270" w:lineRule="auto"/>
        <w:rPr>
          <w:sz w:val="20"/>
          <w:szCs w:val="20"/>
          <w:color w:val="auto"/>
        </w:rPr>
      </w:pPr>
      <w:r>
        <w:rPr>
          <w:rFonts w:ascii="Arial" w:cs="Arial" w:eastAsia="Arial" w:hAnsi="Arial"/>
          <w:sz w:val="17"/>
          <w:szCs w:val="17"/>
          <w:color w:val="auto"/>
        </w:rPr>
        <w:t>We have assembled a highly qualified management team with broad experience in drug discovery and development to execute on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Merck, Bicycle Therapeutics and Clementia Pharmaceuticals. We have an experienced research and development team focused on leveraging our deep expertise and differentiated know-how across genomic target identification, target prioritization and selection, drug discovery chemistry and clinical development to develop highly potent and selective small molecule inhibitors based on SL for the treatment of cancer. Since our inception, we have raised an aggregate of approximately $135.2 million of gross proceeds from the sale of our preferred shares. Our investors include Versant Ventures, MPM Capital, Cowen Healthcare Investments, OrbiMed, BVF Partners, Redmile Group, Logos Capital, Celgene/Bristol Myers Squibb, Fonds de Solidarité FTQ, and Amplitude Ventures.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459" w:right="3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Our goal is to be the leading biopharmaceutical company developing precision oncology, small molecule therapies based on SL. The key elements of our strategy are to:</w:t>
      </w:r>
    </w:p>
    <w:p>
      <w:pPr>
        <w:spacing w:after="0" w:line="72" w:lineRule="exact"/>
        <w:rPr>
          <w:sz w:val="20"/>
          <w:szCs w:val="20"/>
          <w:color w:val="auto"/>
        </w:rPr>
      </w:pPr>
    </w:p>
    <w:p>
      <w:pPr>
        <w:ind w:left="1000" w:hanging="547"/>
        <w:spacing w:after="0" w:line="271"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Advance our lead product candidate, RP-3500, through clinical development by leveraging our differentiated STEP</w:t>
      </w:r>
      <w:r>
        <w:rPr>
          <w:rFonts w:ascii="Arial" w:cs="Arial" w:eastAsia="Arial" w:hAnsi="Arial"/>
          <w:sz w:val="14"/>
          <w:szCs w:val="14"/>
          <w:b w:val="1"/>
          <w:bCs w:val="1"/>
          <w:color w:val="auto"/>
        </w:rPr>
        <w:t>2</w:t>
      </w:r>
      <w:r>
        <w:rPr>
          <w:rFonts w:ascii="Arial" w:cs="Arial" w:eastAsia="Arial" w:hAnsi="Arial"/>
          <w:sz w:val="17"/>
          <w:szCs w:val="17"/>
          <w:b w:val="1"/>
          <w:bCs w:val="1"/>
          <w:color w:val="auto"/>
        </w:rPr>
        <w:t xml:space="preserve"> patient selection approach</w:t>
      </w:r>
      <w:r>
        <w:rPr>
          <w:rFonts w:ascii="Arial" w:cs="Arial" w:eastAsia="Arial" w:hAnsi="Arial"/>
          <w:sz w:val="17"/>
          <w:szCs w:val="17"/>
          <w:color w:val="auto"/>
        </w:rPr>
        <w:t>. We designed RP-3500 to have a highly selective and potent profile that may enable it to be a leading inhibitor of ATR, if</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We intend to initiate an open-label Phase 1/2 clinical trial of RP-3500 in the third quarter of 2020 in patients with advanced tumors that have alterations in the ATM gene or any of the 19 genes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this clinical trial design element will enrich the patient population in our trials with those who are most likely to respond to RP-3500. In parallel with the monotherapy dose-escalation portion of the trial, we intend to initiate a combination therapy arm to evaluate the safety and efficacy of RP-3500 in combination with an approved PARP inhibitor in the same patient subgroups. We expect preliminary safety and efficacy data for the monotherapy and combination therapy dose escalation phase of the trial in the second half of 2021, which may inform the design, including the targeted patient population, of a future pivotal trial.</w:t>
      </w:r>
    </w:p>
    <w:p>
      <w:pPr>
        <w:spacing w:after="0" w:line="79" w:lineRule="exact"/>
        <w:rPr>
          <w:rFonts w:ascii="Arial" w:cs="Arial" w:eastAsia="Arial" w:hAnsi="Arial"/>
          <w:sz w:val="17"/>
          <w:szCs w:val="17"/>
          <w:color w:val="auto"/>
        </w:rPr>
      </w:pPr>
    </w:p>
    <w:p>
      <w:pPr>
        <w:ind w:left="1000" w:hanging="547"/>
        <w:spacing w:after="0" w:line="274"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Continue to advance our preclinical programs into clinical development</w:t>
      </w:r>
      <w:r>
        <w:rPr>
          <w:rFonts w:ascii="Arial" w:cs="Arial" w:eastAsia="Arial" w:hAnsi="Arial"/>
          <w:sz w:val="17"/>
          <w:szCs w:val="17"/>
          <w:color w:val="auto"/>
        </w:rPr>
        <w:t>. In addition to RP-3500, we have two programs in advanced</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development. One of these programs is focused on a novel target we discovered using our SNIPRx platform to be SL with CCNE1 amplification in tumors such as gynecological and upper gastrointestinal malignancies. We anticipate advancing a clinical candidate for this potential first-in-class program into IND-enabling studies in the fourth quarter of 2020. We are also developing an inhibitor of Polq, which is SL with multiple gene deficiencies found in tumors, including BRCA1 or BRCA2. We anticipate advancing a clinical candidate and initiating IND-enabling studies for this program in the second half of 2021.</w:t>
      </w:r>
    </w:p>
    <w:p>
      <w:pPr>
        <w:spacing w:after="0" w:line="78" w:lineRule="exact"/>
        <w:rPr>
          <w:rFonts w:ascii="Arial" w:cs="Arial" w:eastAsia="Arial" w:hAnsi="Arial"/>
          <w:sz w:val="17"/>
          <w:szCs w:val="17"/>
          <w:color w:val="auto"/>
        </w:rPr>
      </w:pPr>
    </w:p>
    <w:p>
      <w:pPr>
        <w:ind w:left="1000" w:right="40" w:hanging="547"/>
        <w:spacing w:after="0" w:line="273"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Extend our leading position in SL drug discovery</w:t>
      </w:r>
      <w:r>
        <w:rPr>
          <w:rFonts w:ascii="Arial" w:cs="Arial" w:eastAsia="Arial" w:hAnsi="Arial"/>
          <w:sz w:val="17"/>
          <w:szCs w:val="17"/>
          <w:color w:val="auto"/>
        </w:rPr>
        <w:t>. We have systematically analyzed genomic data from approximately 60,000 tumor</w:t>
      </w:r>
      <w:r>
        <w:rPr>
          <w:rFonts w:ascii="Arial" w:cs="Arial" w:eastAsia="Arial" w:hAnsi="Arial"/>
          <w:sz w:val="17"/>
          <w:szCs w:val="17"/>
          <w:b w:val="1"/>
          <w:bCs w:val="1"/>
          <w:color w:val="auto"/>
        </w:rPr>
        <w:t xml:space="preserve"> </w:t>
      </w:r>
      <w:r>
        <w:rPr>
          <w:rFonts w:ascii="Arial" w:cs="Arial" w:eastAsia="Arial" w:hAnsi="Arial"/>
          <w:sz w:val="17"/>
          <w:szCs w:val="17"/>
          <w:color w:val="auto"/>
        </w:rPr>
        <w:t>samples and have identified an initial set of 16 tumor lesions that are linked to genomic instability. This initial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w:t>
      </w:r>
      <w:r>
        <w:rPr>
          <w:rFonts w:ascii="Arial" w:cs="Arial" w:eastAsia="Arial" w:hAnsi="Arial"/>
          <w:sz w:val="14"/>
          <w:szCs w:val="14"/>
          <w:color w:val="auto"/>
        </w:rPr>
        <w:t>2</w:t>
      </w:r>
      <w:r>
        <w:rPr>
          <w:rFonts w:ascii="Arial" w:cs="Arial" w:eastAsia="Arial" w:hAnsi="Arial"/>
          <w:sz w:val="17"/>
          <w:szCs w:val="17"/>
          <w:color w:val="auto"/>
        </w:rPr>
        <w:t xml:space="preserve"> screens to expand 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77" w:lineRule="exact"/>
        <w:rPr>
          <w:rFonts w:ascii="Arial" w:cs="Arial" w:eastAsia="Arial" w:hAnsi="Arial"/>
          <w:sz w:val="17"/>
          <w:szCs w:val="17"/>
          <w:color w:val="auto"/>
        </w:rPr>
      </w:pPr>
    </w:p>
    <w:p>
      <w:pPr>
        <w:ind w:left="1000" w:hanging="547"/>
        <w:spacing w:after="0" w:line="274"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Opportunistically pursue strategic partnerships to maximize the full potential of our pipeline and SNIPRx platform</w:t>
      </w:r>
      <w:r>
        <w:rPr>
          <w:rFonts w:ascii="Arial" w:cs="Arial" w:eastAsia="Arial" w:hAnsi="Arial"/>
          <w:sz w:val="17"/>
          <w:szCs w:val="17"/>
          <w:color w:val="auto"/>
        </w:rPr>
        <w:t>. The large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intend to selectively evaluate partnerships to maximize the long-term value of our research and development portfolio. We believe our recent collaboration with Bristol Myers Squibb highlights the potential broad application of our platform in the search for the next generation of precision oncology medicines.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Targeted Oncology Therapeutics</w:t>
      </w:r>
    </w:p>
    <w:p>
      <w:pPr>
        <w:spacing w:after="0" w:line="117"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The first-generation of approved targeted therapies were predominately directed at driver mutations, which target specific types of receptor tyrosine kinases, such as, bcr-abl, EGFR and HER2. This initial class of precision therapies generated approximately $20.0 billion of worldwide sales in 2019 and has largely represented the focus of the targeted oncology sector for the last 20 years. A rapid evolution in the understanding of tumor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459" w:right="3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biology coupled with an improved ability to segment subsets of tumors based on genomic alterations have led to the development of new generations of targeted cancer therapies for a variety of additional tumor-specific genomic abnormalities.</w:t>
      </w:r>
    </w:p>
    <w:p>
      <w:pPr>
        <w:spacing w:after="0" w:line="170"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 new generation of targeted oncology therapeutics has recently emerged that transcends single tumor, organ or histology-targeted cancers. These new therapies are tumor agnostic and are instead targeted at specific genomic alterations that underlie more complex tumor cell vulnerabilities. This has led to the approval of therapies that address specific genomic features of tumors, such as nTRK kinase inhibitors, including larotrectinib, for the treatment of tumors with nTRK gene fusions, and PD1 inhibitors, including pembrolizumab, for the treatment of tumors with microsatellite instability. This emerging trend for tumor-agnostic indications represents a breakthrough in drug development, clinical trial designs, drug approval patterns and speed to market. This new generation of targeted therapies requires diagnostic tools for patient selection but offers substantial benefit to patients across many tumor types.</w:t>
      </w:r>
    </w:p>
    <w:p>
      <w:pPr>
        <w:spacing w:after="0" w:line="164"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The speed at which science has uncovered genetic changes associated with tumors has outpaced the discovery and development of precision medicines that can target those alterations. Oncology drug development has been primarily focused on genes with 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 In June 2019, the New England Journal of Medicine referred to SL as a particularly attractive means to target the complex and gene-network oriented relationships associated with this previously undiscovered domain of oncology targets.</w:t>
      </w:r>
    </w:p>
    <w:p>
      <w:pPr>
        <w:spacing w:after="0" w:line="16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72" w:lineRule="exact"/>
        <w:rPr>
          <w:sz w:val="20"/>
          <w:szCs w:val="20"/>
          <w:color w:val="auto"/>
        </w:rPr>
      </w:pPr>
    </w:p>
    <w:p>
      <w:pPr>
        <w:ind w:left="1000" w:right="560" w:hanging="547"/>
        <w:spacing w:after="0" w:line="282"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Clinically-relevant tumor genomic data: </w:t>
      </w:r>
      <w:r>
        <w:rPr>
          <w:rFonts w:ascii="Arial" w:cs="Arial" w:eastAsia="Arial" w:hAnsi="Arial"/>
          <w:sz w:val="18"/>
          <w:szCs w:val="18"/>
          <w:color w:val="auto"/>
        </w:rPr>
        <w:t>the increasing adoption and regulatory acceptance of molecular tumor testing,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profiling of patient tumors;</w:t>
      </w:r>
    </w:p>
    <w:p>
      <w:pPr>
        <w:spacing w:after="0" w:line="67" w:lineRule="exact"/>
        <w:rPr>
          <w:rFonts w:ascii="Arial" w:cs="Arial" w:eastAsia="Arial" w:hAnsi="Arial"/>
          <w:sz w:val="18"/>
          <w:szCs w:val="18"/>
          <w:color w:val="auto"/>
        </w:rPr>
      </w:pPr>
    </w:p>
    <w:p>
      <w:pPr>
        <w:ind w:left="1000" w:right="320" w:hanging="547"/>
        <w:spacing w:after="0" w:line="282"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and annotated databases: </w:t>
      </w:r>
      <w:r>
        <w:rPr>
          <w:rFonts w:ascii="Arial" w:cs="Arial" w:eastAsia="Arial" w:hAnsi="Arial"/>
          <w:sz w:val="18"/>
          <w:szCs w:val="18"/>
          <w:color w:val="auto"/>
        </w:rPr>
        <w:t>the availability of multiple new and publicly accessible databases that consolidate, analyze and</w:t>
      </w:r>
      <w:r>
        <w:rPr>
          <w:rFonts w:ascii="Arial" w:cs="Arial" w:eastAsia="Arial" w:hAnsi="Arial"/>
          <w:sz w:val="18"/>
          <w:szCs w:val="18"/>
          <w:b w:val="1"/>
          <w:bCs w:val="1"/>
          <w:color w:val="auto"/>
        </w:rPr>
        <w:t xml:space="preserve"> </w:t>
      </w:r>
      <w:r>
        <w:rPr>
          <w:rFonts w:ascii="Arial" w:cs="Arial" w:eastAsia="Arial" w:hAnsi="Arial"/>
          <w:sz w:val="18"/>
          <w:szCs w:val="18"/>
          <w:color w:val="auto"/>
        </w:rPr>
        <w:t>synthesize new genetic data on tens of thousands of tumors; and</w:t>
      </w:r>
    </w:p>
    <w:p>
      <w:pPr>
        <w:spacing w:after="0" w:line="67" w:lineRule="exact"/>
        <w:rPr>
          <w:rFonts w:ascii="Arial" w:cs="Arial" w:eastAsia="Arial" w:hAnsi="Arial"/>
          <w:sz w:val="18"/>
          <w:szCs w:val="18"/>
          <w:color w:val="auto"/>
        </w:rPr>
      </w:pPr>
    </w:p>
    <w:p>
      <w:pPr>
        <w:ind w:left="1000" w:right="60" w:hanging="547"/>
        <w:spacing w:after="0" w:line="282"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Tools to apply emerging genetic knowledge: </w:t>
      </w:r>
      <w:r>
        <w:rPr>
          <w:rFonts w:ascii="Arial" w:cs="Arial" w:eastAsia="Arial" w:hAnsi="Arial"/>
          <w:sz w:val="18"/>
          <w:szCs w:val="18"/>
          <w:color w:val="auto"/>
        </w:rPr>
        <w:t>the emergence of new tools and methodologies, including CRISPR/Cas9, enabling large-scale</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of genetic networks underlying cancer biology.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Synthetic Lethality Opportunity and Challenge</w:t>
      </w:r>
    </w:p>
    <w:p>
      <w:pPr>
        <w:spacing w:after="0" w:line="117"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Synthetic lethality is a powerful approach and opportunity in oncology drug development that combines two key principles in treating patients with cancer through precision oncology: (1) identifying and selecting patient subgroups with specific genomic alterations in tumors that are most likely to benefit from these therapies and (2) improving tolerability and reducing toxicity by not affecting normal, non-cancerous cells.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Illustration of Synthetic Lethality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171450</wp:posOffset>
            </wp:positionV>
            <wp:extent cx="4894580" cy="25031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89458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first clinically-validated SL gene pair was PARP-BRCA1/2, and based on the efficacy of PARP inhibitors, the SL approach to treating cancer has achieved substantial commercial validation. PARP enzymes regulate critical DNA repair pathways that cancer cells rely on as they grow and divide. PARP inhibition blocks these pathways, preventing DNA repair in cancer cells with a BRCA1/2 alteration and resulting in cancer cell death while sparing normal cells. Multiple PARP inhibitors, including olaparib (AstraZeneca), niraparib (GlaxoSmithKline), talazoparib (Pfizer) and rucaparib (Clovis), have been approved for the treatment of tumors with BRCA and other DNA damage repair alterations, including ovarian, breast and pancreatic cancers. These four drugs generated over $1.6 billion in worldwide sales in 2019 and are expected to reach over $6.1 billion in worldwide sales by 2024.</w:t>
      </w:r>
    </w:p>
    <w:p>
      <w:pPr>
        <w:spacing w:after="0" w:line="16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459"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 Overview of Our Drug Discovery and Development Platform</w:t>
      </w:r>
    </w:p>
    <w:p>
      <w:pPr>
        <w:spacing w:after="0" w:line="121"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Our SNIPRx platform integrates our deep expertise and differentiated know-how across genomic target identification, target prioritization and selection, drug discovery chemistry and clinical development. Our approach can be divided into six steps, as depicted in the graphic below.</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Integrated Approach to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8002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8604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1. Select tumor lesion of interest.</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i w:val="1"/>
          <w:iCs w:val="1"/>
          <w:color w:val="auto"/>
        </w:rPr>
        <w:t>Apply our deep understanding of tumor lesions with a bias for alterations associated with genomic instability and cancers with high unmet medical need.</w:t>
      </w:r>
    </w:p>
    <w:p>
      <w:pPr>
        <w:spacing w:after="0" w:line="62"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Since 2016, we have systematically analyzed genomic data from approximately 60,000 tumor samples. We consult with leading oncology clinicians and key advisors to identify cancer types and subtypes where the current standard of care is not adequately improving patient survival. We then prioritize genetic lesions based on various criteria including mutation frequency and the feasibility of identifying lesion-positive patients. Of those, we focus on lesions that are known to directly or indirectly impact processes involved in genomic instability, such as DNA repair and cell cycle regulation.</w:t>
      </w:r>
    </w:p>
    <w:p>
      <w:pPr>
        <w:spacing w:after="0" w:line="15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We have identified an initial set of 16 largely mutually exclusive tumor lesions that comprise approximately 30% of tumors. These lesions are all linked to genomic instability.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 Execute SNIPRx screen campaign.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Utilize our SNIPRx screening technology to identify target gene candidates that induce SL in the context of our initial set of 16 tumor lesions.</w:t>
      </w:r>
    </w:p>
    <w:p>
      <w:pPr>
        <w:spacing w:after="0" w:line="129"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For each of the initial 16 tumor lesions we identified, each of which we refer to as an original tumor lesion, we have completed a screen campaign utilizing CRISPR technology and other tools to create proprietary isogenic cell lines, which are pairs of cell lines that are identical with the exception of a single genomic alteration. This allows us to identify, on a genome-wide basis, both known and novel targets that are SL with each original tumor lesion. Our SNIPRx platform has been optimized to both sensitivity and reproducibility, resulting in a significant decrease in false negatives compared to what has been reported with other CRISPR-based screening technologies.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3. Prioritize, select and validate druggable targets.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Evaluate the multiple SL targets identified for each original tumor lesion.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Our screen campaigns result in the identification of multiple SL targets for each original tumor lesion. We prioritize and select targets to advance into drug discovery based on a systematic and proprietary set of criteria,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320" w:top="459" w:right="3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 xml:space="preserve">which include thresholds for biological validation, cellular function, known and likely toxicity, druggability with small molecules, patentability and the potential for clinical impact versus alternative therapies. Our processes include extensive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genetic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validation of targets and comprehensive development of tool compounds for initial pharmacological corroboration.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 Develop potent and selective inhibitors.</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i w:val="1"/>
          <w:iCs w:val="1"/>
          <w:color w:val="auto"/>
        </w:rPr>
        <w:t>Develop small molecule product candidates that are highly potent and selective and advance them from lead discovery through the identification of a clinical candidate.</w:t>
      </w:r>
    </w:p>
    <w:p>
      <w:pPr>
        <w:spacing w:after="0" w:line="62"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 xml:space="preserve">We have assembled an internal research team that has extensive experience in small molecule drug discovery with a proven track record of identifying development candidates and delivering them into and through the clinic. Our team has deep in-house capabilities in cell biology, molecular biology, biochemistry, enzymology, medicinal chemistry, computational chemistry and molecular modeling. We also have proven capabilities in drug metabolism, pharmacokinetic/pharmacodynamics, and absorption, distribution, metabolism and excretion evaluation, as well as pharmacology, including dedicated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facilities to internally drive translational studies for human clinical trials. We believe these capabilities were demonstrated in the discovery and development of RP-3500.</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5. Perform SNIPRx Targeted Expansion of Patient Populations (STEP</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screens.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Expand our potential patient populations beyond those identified by the original SL pair.</w:t>
      </w:r>
    </w:p>
    <w:p>
      <w:pPr>
        <w:spacing w:after="0" w:line="117"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Once we have identified a clinical candidate, our STEP</w:t>
      </w:r>
      <w:r>
        <w:rPr>
          <w:rFonts w:ascii="Arial" w:cs="Arial" w:eastAsia="Arial" w:hAnsi="Arial"/>
          <w:sz w:val="14"/>
          <w:szCs w:val="14"/>
          <w:color w:val="auto"/>
        </w:rPr>
        <w:t>2</w:t>
      </w:r>
      <w:r>
        <w:rPr>
          <w:rFonts w:ascii="Arial" w:cs="Arial" w:eastAsia="Arial" w:hAnsi="Arial"/>
          <w:sz w:val="17"/>
          <w:szCs w:val="17"/>
          <w:color w:val="auto"/>
        </w:rPr>
        <w:t xml:space="preserve"> screens utilize a set of cell lines that, when treated with our clinical candidate, elucidate genes that, when knocked down, cause (hyper) sensitivity to our selected inhibitor. These screens not only confirm the SL relationship with the original tumor lesion, but also identify additional genomic alterations that confer a response to our product candidates and are mutually exclusive from the original tumor lesion. We believe the identification of these new SL pairs allows us to rationally expand our targeted patient populations by enabling us to potentially treat patients with tumors across multiple genomic alterations with the same product candidate.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6. Conduct clinical trials in an enriched patient population.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Design our clinical trials for efficient clinical development.</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For our clinical trials, we plan to enroll patients with tumors that contain either the original tumor lesion or any one of the genomic alterations identified by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this strategy will allow us to enroll only those patients who are most likely to achieve clinical benefit from our product candidates. In addition, we are prioritizing tumor types for which there are no effective therapies currently available. We plan to evaluate multiple cohorts of patients based on specific genomic alterations, which may enable us to pursue an accelerated regulatory approval pathway for certain targeted patient populations.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SNIPRx Platform</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We believe that our platform and approach provide many key advantages as highlighted below.</w:t>
      </w:r>
    </w:p>
    <w:p>
      <w:pPr>
        <w:spacing w:after="0" w:line="72" w:lineRule="exact"/>
        <w:rPr>
          <w:sz w:val="20"/>
          <w:szCs w:val="20"/>
          <w:color w:val="auto"/>
        </w:rPr>
      </w:pPr>
    </w:p>
    <w:p>
      <w:pPr>
        <w:ind w:left="1000" w:right="60" w:hanging="547"/>
        <w:spacing w:after="0" w:line="256"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Designed to Address Previously Untargetable Tumor Biology. </w:t>
      </w:r>
      <w:r>
        <w:rPr>
          <w:rFonts w:ascii="Arial" w:cs="Arial" w:eastAsia="Arial" w:hAnsi="Arial"/>
          <w:sz w:val="18"/>
          <w:szCs w:val="18"/>
          <w:color w:val="auto"/>
        </w:rPr>
        <w:t>Oncology drug development has been primarily focused on genes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 Our SNIPRx platform has demonstrated an ability to identify novel SL relationships, including those that address previously untargetable tumor biology.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9"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80" w:hanging="547"/>
        <w:spacing w:after="0" w:line="256"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Applies Our Proprietary Genome-wide Library. </w:t>
      </w:r>
      <w:r>
        <w:rPr>
          <w:rFonts w:ascii="Arial" w:cs="Arial" w:eastAsia="Arial" w:hAnsi="Arial"/>
          <w:sz w:val="18"/>
          <w:szCs w:val="18"/>
          <w:color w:val="auto"/>
        </w:rPr>
        <w:t>Genome-scale screens often identify many genes coding for the same protein complex or</w:t>
      </w:r>
      <w:r>
        <w:rPr>
          <w:rFonts w:ascii="Arial" w:cs="Arial" w:eastAsia="Arial" w:hAnsi="Arial"/>
          <w:sz w:val="18"/>
          <w:szCs w:val="18"/>
          <w:b w:val="1"/>
          <w:bCs w:val="1"/>
          <w:color w:val="auto"/>
        </w:rPr>
        <w:t xml:space="preserve"> </w:t>
      </w:r>
      <w:r>
        <w:rPr>
          <w:rFonts w:ascii="Arial" w:cs="Arial" w:eastAsia="Arial" w:hAnsi="Arial"/>
          <w:sz w:val="18"/>
          <w:szCs w:val="18"/>
          <w:color w:val="auto"/>
        </w:rPr>
        <w:t>cellular pathway, thereby increasing confidence in those hits. These screens allow us to screen the entire genome to determine the top hits across all genes, as compared to the more limited druggable gene libraries. In addition, because the definition of what is druggable is continuously evolving, by using genome-scale screens, we are able to mine the results of our existing screens as new therapeutic modalities emerge. Our genome-wide libraries, together with our industrialized and optimized screening approach and technology, result in a significant reduction in false negative hits.</w:t>
      </w:r>
    </w:p>
    <w:p>
      <w:pPr>
        <w:spacing w:after="0" w:line="92" w:lineRule="exact"/>
        <w:rPr>
          <w:rFonts w:ascii="Arial" w:cs="Arial" w:eastAsia="Arial" w:hAnsi="Arial"/>
          <w:sz w:val="18"/>
          <w:szCs w:val="18"/>
          <w:color w:val="auto"/>
        </w:rPr>
      </w:pPr>
    </w:p>
    <w:p>
      <w:pPr>
        <w:ind w:left="1000" w:right="100" w:hanging="547"/>
        <w:spacing w:after="0" w:line="273" w:lineRule="auto"/>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Utilizes Isogenic Cell Lines. </w:t>
      </w:r>
      <w:r>
        <w:rPr>
          <w:rFonts w:ascii="Arial" w:cs="Arial" w:eastAsia="Arial" w:hAnsi="Arial"/>
          <w:sz w:val="17"/>
          <w:szCs w:val="17"/>
          <w:color w:val="auto"/>
        </w:rPr>
        <w:t>We believe a key differentiator of our SNIPRx platform is the utilization of thoroughly characterized,</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isogenic cell lines for our CRISPR-based genome-wide SL screen campaigns. We use normal, non-cancerous cell lines to engineer our isogenic cell models, which enable us to mine for SL interactions between two genes in models with clean genetic backgrounds that have minimal mutations and normal chromosome numbers. We have also developed a proprietary computational algorithm that is specifically designed to identify SL interactions from our isogenic screens. We believe using isogenic cell lines gives us a significant competitive advantage since most SL screening approaches used by others are based on cancer cell line panels, which we believe are less accurate due to their propensity to result in variable data.</w:t>
      </w:r>
    </w:p>
    <w:p>
      <w:pPr>
        <w:spacing w:after="0" w:line="77" w:lineRule="exact"/>
        <w:rPr>
          <w:rFonts w:ascii="Arial" w:cs="Arial" w:eastAsia="Arial" w:hAnsi="Arial"/>
          <w:sz w:val="17"/>
          <w:szCs w:val="17"/>
          <w:color w:val="auto"/>
        </w:rPr>
      </w:pPr>
    </w:p>
    <w:p>
      <w:pPr>
        <w:ind w:left="1000" w:right="80" w:hanging="547"/>
        <w:spacing w:after="0" w:line="294"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Focuses on Niche of Genomic Instability. </w:t>
      </w:r>
      <w:r>
        <w:rPr>
          <w:rFonts w:ascii="Arial" w:cs="Arial" w:eastAsia="Arial" w:hAnsi="Arial"/>
          <w:sz w:val="16"/>
          <w:szCs w:val="16"/>
          <w:color w:val="auto"/>
        </w:rPr>
        <w:t>Based on the well-established network of SL interactions in DNA synthesis and repair across</w:t>
      </w:r>
      <w:r>
        <w:rPr>
          <w:rFonts w:ascii="Arial" w:cs="Arial" w:eastAsia="Arial" w:hAnsi="Arial"/>
          <w:sz w:val="16"/>
          <w:szCs w:val="16"/>
          <w:b w:val="1"/>
          <w:bCs w:val="1"/>
          <w:color w:val="auto"/>
        </w:rPr>
        <w:t xml:space="preserve"> </w:t>
      </w:r>
      <w:r>
        <w:rPr>
          <w:rFonts w:ascii="Arial" w:cs="Arial" w:eastAsia="Arial" w:hAnsi="Arial"/>
          <w:sz w:val="16"/>
          <w:szCs w:val="16"/>
          <w:color w:val="auto"/>
        </w:rPr>
        <w:t>model organisms, we have found and believe we will continue to find clear and reproducible SL interactions through our SNIPRx platform. Genomic instability is an early event that underlies all cancer, and many of the genes we screen represent early hits in cancer that may have less heterogeneity in later stage tumors. The genomic instability space is enriched with genes encoding enzymatic activity, which provides us with ample opportunity to identify novel druggable genes for development into small molecule precision oncology therapies. We believe developing product candidates that target genomic instability may lead to durable responses with resulting clinical benefits for patients.</w:t>
      </w:r>
    </w:p>
    <w:p>
      <w:pPr>
        <w:spacing w:after="0" w:line="164"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One example that illustrates the power of our SNIPRx platform is a SL screen campaign that we conducted in an isogenic pair of cell lines in which one cell line had a BRCA1 mutation and the other cell line was normal for BRCA1. The results of this screen campaign are graphically depicted below. The top-right quadrant of Graphic A highlights the SL hits resulting from our screen and shows that we were able to identify PARP1 as a SL hit with BRCA1. In addition, two additional sets of genes were identified to be SL with BRCA1: (1) the genes encoding the Fanconi Anemia pathway, which are depicted in purple, and (2) the genes coding for the BLM-RMI1-RMI2 complex, which are depicted in green. The independent identification by our SNIPRx screen campaign of multiple genes within a pathway or complex greatly increases confidence that those are true SL hits. In contrast, external cell panel screens that look for SL hits by comparing a panel of cancer cell lines that have either BRCA1-mutant or normal BRCA1 cell lines do not identify these validated BRCA1 SL genes. As shown in Graphic B below, multiple cancer cell line panel screens utilizing CRISPR or shRNA all failed to identify PARP1 as a SL hit with BRCA1.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SNIPRx Screen Campaign Identifies Both Known and Novel SL Pairs Undetected by Cancer Cell Line Panels</w:t>
      </w:r>
    </w:p>
    <w:p>
      <w:pPr>
        <w:spacing w:after="0" w:line="256" w:lineRule="exact"/>
        <w:rPr>
          <w:sz w:val="20"/>
          <w:szCs w:val="20"/>
          <w:color w:val="auto"/>
        </w:rPr>
      </w:pPr>
    </w:p>
    <w:p>
      <w:pPr>
        <w:ind w:left="1000" w:hanging="547"/>
        <w:spacing w:after="0"/>
        <w:tabs>
          <w:tab w:leader="none" w:pos="100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SNIPRx BRCA1 Isogenic SL Screen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168910</wp:posOffset>
            </wp:positionV>
            <wp:extent cx="3583305" cy="21259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58330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0" w:hanging="547"/>
        <w:spacing w:after="0"/>
        <w:tabs>
          <w:tab w:leader="none" w:pos="100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External BRCA1 Cell Panel SL Screens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2515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Program, RP-3500</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320" w:firstLine="449"/>
        <w:spacing w:after="0" w:line="272" w:lineRule="auto"/>
        <w:rPr>
          <w:sz w:val="20"/>
          <w:szCs w:val="20"/>
          <w:color w:val="auto"/>
        </w:rPr>
      </w:pPr>
      <w:r>
        <w:rPr>
          <w:rFonts w:ascii="Arial" w:cs="Arial" w:eastAsia="Arial" w:hAnsi="Arial"/>
          <w:sz w:val="17"/>
          <w:szCs w:val="17"/>
          <w:color w:val="auto"/>
        </w:rPr>
        <w:t>Our lead product candidate, RP-3500, is a potent and selective oral small molecule inhibitor of ATR that we are developing for the treatment of tumors with mutations in ATM, which is a SL pair with ATR. ATR is a critical DNA damage response, or DDR, protein that acts as both the master regulator of the response to DNA 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that we have more precisely identified and expanded the patient populations that would benefit from RP-3500, which allows us to differentiate and enrich our clinical development strategy as well as address multiple types of solid tumors.</w:t>
      </w:r>
    </w:p>
    <w:p>
      <w:pPr>
        <w:spacing w:after="0" w:line="17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RP-3500 has demonstrated an optimized anti-tumor effect, selectivity and pharmacokinetics profile in preclinical studies that we believe supports the potential for it to be a leading ATR inhibitor, if approved. These data led to our decision to advance RP-3500 into IND-enabling studies. We also conducted multiple STEP</w:t>
      </w:r>
      <w:r>
        <w:rPr>
          <w:rFonts w:ascii="Arial" w:cs="Arial" w:eastAsia="Arial" w:hAnsi="Arial"/>
          <w:sz w:val="15"/>
          <w:szCs w:val="15"/>
          <w:color w:val="auto"/>
        </w:rPr>
        <w:t>2</w:t>
      </w:r>
      <w:r>
        <w:rPr>
          <w:rFonts w:ascii="Arial" w:cs="Arial" w:eastAsia="Arial" w:hAnsi="Arial"/>
          <w:sz w:val="18"/>
          <w:szCs w:val="18"/>
          <w:color w:val="auto"/>
        </w:rPr>
        <w:t xml:space="preserve"> screens in which we confirmed the SL relationship between ATR and ATM and identified an additional 19 genes that are also SL with ATR, potentially expanding the patient populations that may benefit from our product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320" w:top="459" w:right="3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candidate. We anticipate filing an IND application in the second quarter of 2020 and initiating an open-label Phase 1/2 clinical trial of RP-3500 in the third quarter of 2020. We have designed our Phase 1/2 clinical trial to enroll patients based on the presence of alterations in ATM or any of the 19 STEP</w:t>
      </w:r>
      <w:r>
        <w:rPr>
          <w:rFonts w:ascii="Arial" w:cs="Arial" w:eastAsia="Arial" w:hAnsi="Arial"/>
          <w:sz w:val="14"/>
          <w:szCs w:val="14"/>
          <w:color w:val="auto"/>
        </w:rPr>
        <w:t>2</w:t>
      </w:r>
      <w:r>
        <w:rPr>
          <w:rFonts w:ascii="Arial" w:cs="Arial" w:eastAsia="Arial" w:hAnsi="Arial"/>
          <w:sz w:val="17"/>
          <w:szCs w:val="17"/>
          <w:color w:val="auto"/>
        </w:rPr>
        <w:t>-identified genes. Based on the observed synergistic activity in preclinical models with ATM and STEP</w:t>
      </w:r>
      <w:r>
        <w:rPr>
          <w:rFonts w:ascii="Arial" w:cs="Arial" w:eastAsia="Arial" w:hAnsi="Arial"/>
          <w:sz w:val="14"/>
          <w:szCs w:val="14"/>
          <w:color w:val="auto"/>
        </w:rPr>
        <w:t>2</w:t>
      </w:r>
      <w:r>
        <w:rPr>
          <w:rFonts w:ascii="Arial" w:cs="Arial" w:eastAsia="Arial" w:hAnsi="Arial"/>
          <w:sz w:val="17"/>
          <w:szCs w:val="17"/>
          <w:color w:val="auto"/>
        </w:rPr>
        <w:t>-identified genes, we also intend to include a combination arm in this trial to evaluate the anti-tumor activity of RP-3500 with an approved PARP inhibitor. We expect to report preliminary safety and efficacy data for the monotherapy and combination therapy dose escalation phase of the trial in the second half of 2021.</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ATR is a protein kinase that acts at multiple levels of the DDR network. It is activated when problems with ongoing DNA replication are identified, a phenomenon known as DNA replication stress. It uses its kinase activity to stabilize the DNA replication machinery locally and to suppress the initiation of DNA replication globally. As a consequence, ATR prevents the formation of DNA damage when DNA replication is stressed. In addition to these roles, ATR also restrains cell cycle progression when it is activated, a phenomenon known as the DNA damage checkpoint. ATR is one member of an extensive network of proteins that serve to recognize early stages of DNA damage, prevent replication from proceeding through these damaged sites and repair the damage. Cancer cells with alterations in genes encoding this network of DDR proteins are highly dependent on ATR for survival. ATR’s central role in the regulation of replication stress has led to the development of multiple ATR inhibitors that have demonstrated durable responses in early clinical trials.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459" w:right="3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ATM-ATR Synthetic Lethality</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ATM is a DDR protein related to ATR that is responsible for sensing and signaling DNA double-strand breaks. Our ATM SNIPRx screen campaign confirmed that ATM-deficient cells rely on ATR activity for survival. ATM orchestrates the response to double-strand break repair and thus, ATM-deficient tumors have an impaired response to DNA breaks. Inhibition of ATR compromises the stabilization of DNA replication forks and is associated with increases in DNA double-strand breaks that would normally be detected and signaled for repair by ATM. SL screens conducted by us and others have identified that ATR is SL with ATM, making cancer cells that are deficient in ATM highly sensitive to killing by ATR inhibitors. An overview of the ATM-ATR SL relationship is illustrated below.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Mechanism of ATM-ATR Synthetic Lethality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3197225" cy="4852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9722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320" w:top="459" w:right="3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gene encoding for ATM is frequently mutated in cancer. An analysis of sequence data collected as part of The Cancer Genome Atlas, or TCGA, found that between 1% and 4% of solid tumors, such as breast, bladder, pancreatic and lung cancers, have deficiencies in ATM, as depicted in the graph below.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Top 10 Tumor Types with Highest Prevalence of ATM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171450</wp:posOffset>
            </wp:positionV>
            <wp:extent cx="5109210" cy="23920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09210"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Validation of ATR Inhibitors in ATM-Deficient Tumors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Three ATR inhibitors in development by third parties have been evaluated in clinical trials either as a monotherapy or in combination with DNA-damaging chemotherapy drugs, ionizing radiation, immune checkpoint blockers or PARP inhibitors, in advanced solid tumors and hematological malignancies. Data published to date from these trials support the preclinical observations of the SL of ATR inhibitors in ATM-deficient cancers. For example, in a clinical trial conducted by Merck Serono of its ATR inhibitor, a patient with colorectal cancer containing a mutation in ATM reported a complete response. Additional proof-of-concept for the clinical relevance of the SL link between ATR and ATM was reported in June 2019 with data from Bayer’s Phase 1 clinical trial of its ATR inhibitor. This dose-escalation trial evaluated Bayer’s ATR inhibitor as a monotherapy in patients with advanced metastatic solid tumors that were resistant or refractory to standard treatment. Of thirteen evaluable patients who received Bayer’s ATR inhibitor at doses of 40 mg or greater twice a day, four patients, all of whom had tumors with mutations in ATM, had a durable tumor response. Additional clinical evidence indicates that the patient population that could benefit from an ATR inhibitor is not limited to ATM deficiency. For example, AstraZeneca conducted a clinical trial, which evaluated ATR inhibition as a monotherapy without any patient selection based on genomic tumor alterations. Results from this trial demonstrated that the three responding patients had normal ATM protein expression, which suggests that additional genomic tumor alterations may also be sensitive to ATR inhibition.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Solution, RP-3500</w:t>
      </w:r>
    </w:p>
    <w:p>
      <w:pPr>
        <w:spacing w:after="0" w:line="117"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We identified ATR as one of the SL targets through our SNIPRx screen campaign of ATM and selected ATR as the target for our lead product candidate, RP-3500, based on:</w:t>
      </w:r>
    </w:p>
    <w:p>
      <w:pPr>
        <w:spacing w:after="0" w:line="76" w:lineRule="exact"/>
        <w:rPr>
          <w:sz w:val="20"/>
          <w:szCs w:val="20"/>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existing third party clinical and preclinical support for the potential of ATR inhibition as a precision oncology therapy;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ability to design an ATR inhibitor with enhanced chemical properties, such as potency and selectivity;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hanging="547"/>
        <w:spacing w:after="0" w:line="277"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results of our STEP</w:t>
      </w:r>
      <w:r>
        <w:rPr>
          <w:rFonts w:ascii="Arial" w:cs="Arial" w:eastAsia="Arial" w:hAnsi="Arial"/>
          <w:sz w:val="15"/>
          <w:szCs w:val="15"/>
          <w:color w:val="auto"/>
        </w:rPr>
        <w:t>2</w:t>
      </w:r>
      <w:r>
        <w:rPr>
          <w:rFonts w:ascii="Arial" w:cs="Arial" w:eastAsia="Arial" w:hAnsi="Arial"/>
          <w:sz w:val="18"/>
          <w:szCs w:val="18"/>
          <w:color w:val="auto"/>
        </w:rPr>
        <w:t xml:space="preserve"> screens, which identified 19 additional genomic alterations beyond ATM deficiency to be SL with ATR, facilitating the expansion of the addressable patient populations.</w:t>
      </w:r>
    </w:p>
    <w:p>
      <w:pPr>
        <w:spacing w:after="0" w:line="170"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We designed RP-3500 as an oral small molecule ATR inhibitor with increased potency and a similar or improved selectivity profile compared to other known ATR inhibitors. RP-3500 has demonstrated a favorable pharmacokinetic profile in multiple preclinical models, including rodent and canine, and a distribution, metabolism and excretion profile that suggests a low potential for drug-drug interactions in the clinic.</w:t>
      </w:r>
    </w:p>
    <w:p>
      <w:pPr>
        <w:spacing w:after="0" w:line="165"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Our STEP</w:t>
      </w:r>
      <w:r>
        <w:rPr>
          <w:rFonts w:ascii="Arial" w:cs="Arial" w:eastAsia="Arial" w:hAnsi="Arial"/>
          <w:sz w:val="13"/>
          <w:szCs w:val="13"/>
          <w:color w:val="auto"/>
        </w:rPr>
        <w:t>2</w:t>
      </w:r>
      <w:r>
        <w:rPr>
          <w:rFonts w:ascii="Arial" w:cs="Arial" w:eastAsia="Arial" w:hAnsi="Arial"/>
          <w:sz w:val="16"/>
          <w:szCs w:val="16"/>
          <w:color w:val="auto"/>
        </w:rPr>
        <w:t xml:space="preserve"> screens have generated proprietary patient selection insights that we believe provide the rationale to expand the potential patient populations addressable by RP-3500 beyond patients with tumors carrying ATM genetic defects. We have identified 19 genomic alterations, in addition to ATM deficiency, that confer sensitivity to RP-3500. This 19 gene set, which we refer to as our STEP</w:t>
      </w:r>
      <w:r>
        <w:rPr>
          <w:rFonts w:ascii="Arial" w:cs="Arial" w:eastAsia="Arial" w:hAnsi="Arial"/>
          <w:sz w:val="13"/>
          <w:szCs w:val="13"/>
          <w:color w:val="auto"/>
        </w:rPr>
        <w:t>2</w:t>
      </w:r>
      <w:r>
        <w:rPr>
          <w:rFonts w:ascii="Arial" w:cs="Arial" w:eastAsia="Arial" w:hAnsi="Arial"/>
          <w:sz w:val="16"/>
          <w:szCs w:val="16"/>
          <w:color w:val="auto"/>
        </w:rPr>
        <w:t>-identified genes, includes several novel genes that have not been previously reported as rendering sensitivity to ATR inhibitors. In addition, many of the genes we have selected do not overlap with previously identified genes in the homologous recombination defect panel, which is utilized to identify patients for treatment with PARP inhibitors and is currently used by others to test for sensitivity to ATR inhibitors. Furthermore, our STEP</w:t>
      </w:r>
      <w:r>
        <w:rPr>
          <w:rFonts w:ascii="Arial" w:cs="Arial" w:eastAsia="Arial" w:hAnsi="Arial"/>
          <w:sz w:val="13"/>
          <w:szCs w:val="13"/>
          <w:color w:val="auto"/>
        </w:rPr>
        <w:t>2</w:t>
      </w:r>
      <w:r>
        <w:rPr>
          <w:rFonts w:ascii="Arial" w:cs="Arial" w:eastAsia="Arial" w:hAnsi="Arial"/>
          <w:sz w:val="16"/>
          <w:szCs w:val="16"/>
          <w:color w:val="auto"/>
        </w:rPr>
        <w:t xml:space="preserve"> screens demonstrated that two genes previously reported by others to be sensitive to ATR inhibition were not sensitive and hence, those genes were excluded from our set of STEP</w:t>
      </w:r>
      <w:r>
        <w:rPr>
          <w:rFonts w:ascii="Arial" w:cs="Arial" w:eastAsia="Arial" w:hAnsi="Arial"/>
          <w:sz w:val="13"/>
          <w:szCs w:val="13"/>
          <w:color w:val="auto"/>
        </w:rPr>
        <w:t>2</w:t>
      </w:r>
      <w:r>
        <w:rPr>
          <w:rFonts w:ascii="Arial" w:cs="Arial" w:eastAsia="Arial" w:hAnsi="Arial"/>
          <w:sz w:val="16"/>
          <w:szCs w:val="16"/>
          <w:color w:val="auto"/>
        </w:rPr>
        <w:t>-identified genes.</w:t>
      </w:r>
    </w:p>
    <w:p>
      <w:pPr>
        <w:spacing w:after="0" w:line="16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sensitivity and accuracy of our STEP</w:t>
      </w:r>
      <w:r>
        <w:rPr>
          <w:rFonts w:ascii="Arial" w:cs="Arial" w:eastAsia="Arial" w:hAnsi="Arial"/>
          <w:sz w:val="13"/>
          <w:szCs w:val="13"/>
          <w:color w:val="auto"/>
        </w:rPr>
        <w:t>2</w:t>
      </w:r>
      <w:r>
        <w:rPr>
          <w:rFonts w:ascii="Arial" w:cs="Arial" w:eastAsia="Arial" w:hAnsi="Arial"/>
          <w:sz w:val="16"/>
          <w:szCs w:val="16"/>
          <w:color w:val="auto"/>
        </w:rPr>
        <w:t xml:space="preserve"> screens enable the identification of several novel gene alterations, including certain genes that are not yet included in commercially available Next Generation Sequencing cancer panels or CLIA-validated panels used in large academic centers. As such, for our planned Phase 1/2 trial, we have identified and partnered with multiple large, leading clinical centers globally where tumor sequencing is a component of standard of care. These centers’ panels are validated and sufficiently large to accommodate screening for alterations in ATM or our 19 STEP</w:t>
      </w:r>
      <w:r>
        <w:rPr>
          <w:rFonts w:ascii="Arial" w:cs="Arial" w:eastAsia="Arial" w:hAnsi="Arial"/>
          <w:sz w:val="13"/>
          <w:szCs w:val="13"/>
          <w:color w:val="auto"/>
        </w:rPr>
        <w:t>2</w:t>
      </w:r>
      <w:r>
        <w:rPr>
          <w:rFonts w:ascii="Arial" w:cs="Arial" w:eastAsia="Arial" w:hAnsi="Arial"/>
          <w:sz w:val="16"/>
          <w:szCs w:val="16"/>
          <w:color w:val="auto"/>
        </w:rPr>
        <w:t>-identified genes. We believe that these panels will include the majority, if not all, of these 20 genes. For genes that are not available on certain panels at a particular clinical site, we have identified surrogate genes that are co-deleted with the STEP</w:t>
      </w:r>
      <w:r>
        <w:rPr>
          <w:rFonts w:ascii="Arial" w:cs="Arial" w:eastAsia="Arial" w:hAnsi="Arial"/>
          <w:sz w:val="13"/>
          <w:szCs w:val="13"/>
          <w:color w:val="auto"/>
        </w:rPr>
        <w:t>2</w:t>
      </w:r>
      <w:r>
        <w:rPr>
          <w:rFonts w:ascii="Arial" w:cs="Arial" w:eastAsia="Arial" w:hAnsi="Arial"/>
          <w:sz w:val="16"/>
          <w:szCs w:val="16"/>
          <w:color w:val="auto"/>
        </w:rPr>
        <w:t xml:space="preserve"> genes and have an approximately 50% to 80% probability of concomitant loss, which we believe will provide sufficient enrichment for our clinical trial. By working in collaboration with our clinical partners to access their existing patient databases, we believe that we will be able to efficiently identify existing and new patients who may be eligible for our clinical trial.</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320" w:top="459" w:right="3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308" w:lineRule="auto"/>
        <w:rPr>
          <w:sz w:val="20"/>
          <w:szCs w:val="20"/>
          <w:color w:val="auto"/>
        </w:rPr>
      </w:pPr>
      <w:r>
        <w:rPr>
          <w:rFonts w:ascii="Arial" w:cs="Arial" w:eastAsia="Arial" w:hAnsi="Arial"/>
          <w:sz w:val="17"/>
          <w:szCs w:val="17"/>
          <w:color w:val="auto"/>
        </w:rPr>
        <w:t>Based on the prevalence of ATM deficiencies and our STEP</w:t>
      </w:r>
      <w:r>
        <w:rPr>
          <w:rFonts w:ascii="Arial" w:cs="Arial" w:eastAsia="Arial" w:hAnsi="Arial"/>
          <w:sz w:val="14"/>
          <w:szCs w:val="14"/>
          <w:color w:val="auto"/>
        </w:rPr>
        <w:t>2</w:t>
      </w:r>
      <w:r>
        <w:rPr>
          <w:rFonts w:ascii="Arial" w:cs="Arial" w:eastAsia="Arial" w:hAnsi="Arial"/>
          <w:sz w:val="17"/>
          <w:szCs w:val="17"/>
          <w:color w:val="auto"/>
        </w:rPr>
        <w:t>-identified genomic alterations across various solid tumors, as shown in the graph below, we believe that RP-3500 has the potential to benefit a significant number of patients representing a large unmet medical need.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10 Tumor Types with Highest Prevalence of ATM Deficiency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Genomic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160655</wp:posOffset>
            </wp:positionV>
            <wp:extent cx="5074920" cy="2563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7492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As part of our development strategy for RP-3500, we are evaluating the potential anti-tumor activity of RP-3500 in combination with an approved PARP inhibitor based on the synergies we have observed in our preclinical studies. PARP inhibitors lead to the stabilization of PARP-DNA complexes that block the progression of replication forks. ATR activity stabilizes the DNA replication forks that are destabilized by PARP inhibition and inhibition of ATR causes stalled replication forks to collapse and form cytotoxic DNA double-strand breaks. As a consequence, ATR inhibition can potentiate the cytotoxic effects of PARP inhibitors. We note that this phenomenon is particularly prominent under conditions where some cancer-relevant DDR genes, such as those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are inactivated, thereby creating a potential therapeutic window.</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Data: Monotherapy</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observed RP-3500 to have a favorable tolerability and pharmacokinetics profile across multiple preclinical studies and animal models, which we believe supports advancing the product candidate into clinical trials. In a preclinical study, we evaluated continuous daily dosing of RP-3500 in a colon cancer xenograft model with CW-2 cancer cells, which contain an inactivating mutation in ATM that confers sensitivity to ATR inhibition. In this study, we injected mice with tumor cells and waited for tumor growth to approximately 200 mm</w:t>
      </w:r>
      <w:r>
        <w:rPr>
          <w:rFonts w:ascii="Arial" w:cs="Arial" w:eastAsia="Arial" w:hAnsi="Arial"/>
          <w:sz w:val="14"/>
          <w:szCs w:val="14"/>
          <w:color w:val="auto"/>
        </w:rPr>
        <w:t>3</w:t>
      </w:r>
      <w:r>
        <w:rPr>
          <w:rFonts w:ascii="Arial" w:cs="Arial" w:eastAsia="Arial" w:hAnsi="Arial"/>
          <w:sz w:val="17"/>
          <w:szCs w:val="17"/>
          <w:color w:val="auto"/>
        </w:rPr>
        <w:t xml:space="preserve"> before initiating daily dosing over a period of 14 days with vehicle, RP-3500 at its maximum tolerated dose, or MTD, of 10 mg/kg/day, or Bayer’s ATR inhibitor product candidate, BAY1895344, at what we determined to be its MTD of 35 mg/kg/day (n=10 mice per group). Both RP-3500 and BAY1895344 demonstrated statistically significant suppression of tumor growth as compared to vehicle. Importantly, we observed statistically significant higher suppression of tumor growth with RP-3500 as compared to BAY1895344 (p=0.018). Body weight loss as a measurement of tolerability was similar for both compounds in this study.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Statistically Significant Tumor Growth Suppression in Colon Cancer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6548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604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another preclinical study using an intermittent dosing schedule, we evaluated RP-3500 in comparison to BAY1895344 in a Granta-519 mantle cell lymphoma xenograft model. Similar to CW-2 cancer cells, Granta-519 cancer cells also contain an inactivating mutation in ATM that confers sensitivity to ATR inhibition. In this study, we injected mice with tumor cells and waited for tumor growth to approximately 150 mm</w:t>
      </w:r>
      <w:r>
        <w:rPr>
          <w:rFonts w:ascii="Arial" w:cs="Arial" w:eastAsia="Arial" w:hAnsi="Arial"/>
          <w:sz w:val="14"/>
          <w:szCs w:val="14"/>
          <w:color w:val="auto"/>
        </w:rPr>
        <w:t>3</w:t>
      </w:r>
      <w:r>
        <w:rPr>
          <w:rFonts w:ascii="Arial" w:cs="Arial" w:eastAsia="Arial" w:hAnsi="Arial"/>
          <w:sz w:val="17"/>
          <w:szCs w:val="17"/>
          <w:color w:val="auto"/>
        </w:rPr>
        <w:t xml:space="preserve"> before initiating intermittent dosing with vehicle or either treatment (n=9 mice per group). We observed that both RP-3500 and BAY1895344 exhibited tolerability at higher doses when administered on a three days per week schedule than their respective MTDs from the daily dosing CW-2 colon cancer study. The MTDs utilizing this intermittent dosing schedule were determined to be 30 mg/kg daily for RP-3500 and 50 mg/kg twice-daily for BAY1895344. Both agents demonstrated similar and significant suppression of tumor growth in this model without body weight loss. However, significant anemia, or hematocrit reduction, was observed in mice treated with BAY1895344 (p=0.0002), whereas we did not observe these tolerability issues with RP-3500, which we believe supports our hypothesis of a favorable tolerability profile for RP-3500.</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RP-3500 Exhibits Tumor Growth Suppression Without Significant Anemia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Measured as Hematocrit in Mantle Cell Lymphoma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160020</wp:posOffset>
            </wp:positionV>
            <wp:extent cx="4963160" cy="1705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6316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320" w:top="459" w:right="3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Data: Combination Therapy with PARP</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Of our 19 STEP</w:t>
      </w:r>
      <w:r>
        <w:rPr>
          <w:rFonts w:ascii="Arial" w:cs="Arial" w:eastAsia="Arial" w:hAnsi="Arial"/>
          <w:sz w:val="15"/>
          <w:szCs w:val="15"/>
          <w:color w:val="auto"/>
        </w:rPr>
        <w:t>2</w:t>
      </w:r>
      <w:r>
        <w:rPr>
          <w:rFonts w:ascii="Arial" w:cs="Arial" w:eastAsia="Arial" w:hAnsi="Arial"/>
          <w:sz w:val="18"/>
          <w:szCs w:val="18"/>
          <w:color w:val="auto"/>
        </w:rPr>
        <w:t>-identified genes for RP-3500 as a monotherapy, we have identified a subset of genes that are particularly sensitive to the combination of RP-3500 and PARP inhibitors. The graphs below illustrate two examples of this subset of genes where synergy was demonstrated between RP-3500 and PARP inhibitors.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Significant Synergy Demonstrated by Combination of RP-3500 and PARP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374640" cy="26320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74640"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Wild Type</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Genomically altered</w:t>
      </w:r>
    </w:p>
    <w:p>
      <w:pPr>
        <w:spacing w:after="0" w:line="21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 xml:space="preserve">We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killing of cells carrying this subset of genomic alterations at low concentrations of both compounds, whereas only a minimal effect was seen on control wild-type cells. Based on this finding, we believe that the combination of RP-3500 with lower doses of PARP inhibitors could lead to efficient anti-tumor activity while potentially addressing the tolerability issues observed with PARP inhibitors, where a majority of patients in clinical trials of niraparib and talazoparib required a dose reduction or interruption in dosing. We are currently exploring the ATR-PARP inhibitor synergy in additional ongoing studies in xenograft models.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Validation of STEP</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xml:space="preserve"> Screens</w:t>
      </w:r>
    </w:p>
    <w:p>
      <w:pPr>
        <w:spacing w:after="0" w:line="117" w:lineRule="exact"/>
        <w:rPr>
          <w:sz w:val="20"/>
          <w:szCs w:val="20"/>
          <w:color w:val="auto"/>
        </w:rPr>
      </w:pPr>
    </w:p>
    <w:p>
      <w:pPr>
        <w:jc w:val="both"/>
        <w:ind w:right="180" w:firstLine="449"/>
        <w:spacing w:after="0" w:line="255" w:lineRule="auto"/>
        <w:rPr>
          <w:sz w:val="20"/>
          <w:szCs w:val="20"/>
          <w:color w:val="auto"/>
        </w:rPr>
      </w:pPr>
      <w:r>
        <w:rPr>
          <w:rFonts w:ascii="Arial" w:cs="Arial" w:eastAsia="Arial" w:hAnsi="Arial"/>
          <w:sz w:val="18"/>
          <w:szCs w:val="18"/>
          <w:color w:val="auto"/>
        </w:rPr>
        <w:t>Through our STEP</w:t>
      </w:r>
      <w:r>
        <w:rPr>
          <w:rFonts w:ascii="Arial" w:cs="Arial" w:eastAsia="Arial" w:hAnsi="Arial"/>
          <w:sz w:val="15"/>
          <w:szCs w:val="15"/>
          <w:color w:val="auto"/>
        </w:rPr>
        <w:t>2</w:t>
      </w:r>
      <w:r>
        <w:rPr>
          <w:rFonts w:ascii="Arial" w:cs="Arial" w:eastAsia="Arial" w:hAnsi="Arial"/>
          <w:sz w:val="18"/>
          <w:szCs w:val="18"/>
          <w:color w:val="auto"/>
        </w:rPr>
        <w:t xml:space="preserve"> screens of ATR inhibitors, we confirmed the SL relationship between ATR and ATM and identified an additional 19 genomic alterations that confer sensitivity to RP-3500. In follow-up studies with cancer cell line pairs, in which the only difference is the inactivation of the target genes, we are confirming the sensitivity of these genomic alterations to RP-3500, and this extensive validation effort is still being expanded. We are also creating xenograft models using both the parent cell lines and the inactivated cell line. In such a model using one of the STEP</w:t>
      </w:r>
      <w:r>
        <w:rPr>
          <w:rFonts w:ascii="Arial" w:cs="Arial" w:eastAsia="Arial" w:hAnsi="Arial"/>
          <w:sz w:val="15"/>
          <w:szCs w:val="15"/>
          <w:color w:val="auto"/>
        </w:rPr>
        <w:t>2</w:t>
      </w:r>
      <w:r>
        <w:rPr>
          <w:rFonts w:ascii="Arial" w:cs="Arial" w:eastAsia="Arial" w:hAnsi="Arial"/>
          <w:sz w:val="18"/>
          <w:szCs w:val="18"/>
          <w:color w:val="auto"/>
        </w:rPr>
        <w:t>-identified genes, RP-3500 led to statistically significant suppression of tumor growth, whereas it had no anti-tumor effect in tumors created with wild-type parent cells, as shown in the model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Tumor Growth Suppression in a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Gene Deficient (-/-) Xenograft Model vs.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Effect in Tumor with Wild-Type (+/+)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160655</wp:posOffset>
            </wp:positionV>
            <wp:extent cx="5186045" cy="16459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604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Planned Phase 1/2 Trial</w:t>
      </w:r>
    </w:p>
    <w:p>
      <w:pPr>
        <w:spacing w:after="0" w:line="117"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Our open-label Phase 1/2 clinical trial is designed to evaluate the oral administration of RP-3500 in patients with advanced recurrent tumors of different histologies with ATM loss-of-function or any of the 19 STEP</w:t>
      </w:r>
      <w:r>
        <w:rPr>
          <w:rFonts w:ascii="Arial" w:cs="Arial" w:eastAsia="Arial" w:hAnsi="Arial"/>
          <w:sz w:val="15"/>
          <w:szCs w:val="15"/>
          <w:color w:val="auto"/>
        </w:rPr>
        <w:t>2</w:t>
      </w:r>
      <w:r>
        <w:rPr>
          <w:rFonts w:ascii="Arial" w:cs="Arial" w:eastAsia="Arial" w:hAnsi="Arial"/>
          <w:sz w:val="18"/>
          <w:szCs w:val="18"/>
          <w:color w:val="auto"/>
        </w:rPr>
        <w:t>-identified genomic alterations.</w:t>
      </w:r>
    </w:p>
    <w:p>
      <w:pPr>
        <w:spacing w:after="0" w:line="17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the initial monotherapy dose escalation phase of our trial, we plan to evaluate the dosing regimen and safety of RP-3500 to establish the recommended dose for the expansion phase of the trial. In three expansion cohorts, each of which will enroll patients based on ATM loss-of-function or different STEP</w:t>
      </w:r>
      <w:r>
        <w:rPr>
          <w:rFonts w:ascii="Arial" w:cs="Arial" w:eastAsia="Arial" w:hAnsi="Arial"/>
          <w:sz w:val="13"/>
          <w:szCs w:val="13"/>
          <w:color w:val="auto"/>
        </w:rPr>
        <w:t>2</w:t>
      </w:r>
      <w:r>
        <w:rPr>
          <w:rFonts w:ascii="Arial" w:cs="Arial" w:eastAsia="Arial" w:hAnsi="Arial"/>
          <w:sz w:val="16"/>
          <w:szCs w:val="16"/>
          <w:color w:val="auto"/>
        </w:rPr>
        <w:t>-identified genomic alterations, we will assess the preliminary efficacy of RP-3500 at the recommended dose. In parallel with the monotherapy dose escalation phase, we will enroll a separate arm to evaluate RP-3500 in combination with an approved PARP inhibitor. An efficacy evaluation will be performed every six weeks for the first five months and every nine weeks thereafter. We anticipate filing an IND application in the second quarter of 2020 and initiating an open-label Phase 1/2 clinical trial of RP-3500 as both a monotherapy and in combination with an approved PARP inhibitor in the third quarter of 2020. We expect to report preliminary safety and efficacy data for the monotherapy and combination therapy dose escalation phase of the trial in the second half of 2021, which may inform the design, including the targeted patient population, of a future pivotal trial.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design of our Phase 1/2 clinical trial is summarized in the diagram below.</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Proposed Design of Phase 1/2 Clinical Trial of RP-3500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171450</wp:posOffset>
            </wp:positionV>
            <wp:extent cx="5057775" cy="2091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5777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Preclinical Programs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CCNE1-SL Inhibitor Program</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CCNE1-SL inhibitor program is a proprietary drug discovery program for tumors with amplification of CCNE1. We have identified an undisclosed gene and corresponding protein which we have found to be SL with amplifications in the gene for CCNE1. Amplification of CCNE1 is found in many tumor types, including gynecological and upper gastrointestinal malignancies, and these CCNE1-amplified tumors typically do not respond well to platinum or PARP inhibitor treatment. Through our SNIPRx screen campaign for targets that are SL with CCNE1 amplification, we have identified and validated a SL target that we believe has the characteristics of a therapeutic target. We have developed novel and selective inhibitors against the target that have repeatedly demonstrated compelling anti-tumor activity. We anticipate advancing our advancing a clinical candidate for this potential first-in-class program into IND-enabling studies in the fourth quarter of 2020.</w:t>
      </w:r>
    </w:p>
    <w:p>
      <w:pPr>
        <w:spacing w:after="0" w:line="19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gene targeted by our CCNE1-SL inhibitor program has not previously been published as a SL gene pair with CCNE1, and we are not aware of any advanced drug discovery efforts against this target. In preclinical studies, we observed that the deletion of this gene was well tolerated in wild-type cells, but it caused lethality in isogenic cancer cells that overexpressed CCNE1.</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459"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High levels of CCNE1 protein, an activating subunit of cyclin dependent kinase 2, or CDK2, are often observed in patients across multiple tumor types. Deregulation of cell cycle control is thought to be a prerequisite for tumor development, and several studies have demonstrated accelerated entry of cells into the S phase, or DNA synthesis phase, of the cell cycle, due to constitutive, or “always-on,” expression of CCNE1. Such an accelerated entry of cells into the S phase is a common sign of unregulated, cancerous growth. CCNE1 can induce chromosome instability, another sign of cancer, by contributing to inappropriate initiation of DNA replication. Several studies have demonstrated that CCNE1 amplification or constitutive expression is associated with disease progression in various malignancies as well as poor clinical prognosis in patients across multiple cancers, including ovarian, breast, bladder and colorectal cancer. For example, clinical data from patients with ovarian cancer indicate that those with CCNE1-amplified tumors have significantly shorter overall survival than those with tumors without CCNE1 amplification, as shown below.</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CCNE1 Amplification is Associated with Significantly Shorter Overall Survival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Patients with Ovarian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160020</wp:posOffset>
            </wp:positionV>
            <wp:extent cx="2082800" cy="14916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8280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CCNE1 amplification is found in 4% of tumors in the pan-cancer TCGA studies. Over 40% of uterine carcinosarcoma cancers and 10% to 20% of ovarian and stomach cancers harbor CCNE1 amplification. Together, these cancers lead to over 40,000 deaths each year in the United States. Additional cancer types also harbor CCNE1 amplification at a lower frequency, including up to 3% to 8% of esophagus, bladder, lung and pancreatic cancers, as shown below.</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Top 10 Tumor Types with Highest Frequency of CCNE1 Amplification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171450</wp:posOffset>
            </wp:positionV>
            <wp:extent cx="5014595" cy="23399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1459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80"/>
          </w:cols>
          <w:pgMar w:left="320" w:top="459" w:right="3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 xml:space="preserve">In preclinical studies, our CCNE1-SL inhibitor candidates demonstrated early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anti-tumor activity in two patient-derived xenograft, or PDX, models with CCNE1 amplification. In the colorectal PDX model, we observed statistically significant tumor growth suppression with an unoptimized version of our CCNE1-SL inhibitor, as shown on the left below. In the pancreatic PDX model, which has a higher level of CCNE1 over-expression, tumor regression was observed with the same compound, as shown on the right below.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CCNE1-SL Inhibitor Demonstrates Tumor Growth Suppression in Patient-Derived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171450</wp:posOffset>
            </wp:positionV>
            <wp:extent cx="4869180" cy="15087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6918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Development Activities</w:t>
      </w:r>
    </w:p>
    <w:p>
      <w:pPr>
        <w:spacing w:after="0" w:line="11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We are currently evaluating additional genes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for our CCNE1-SL inhibitor candidates that we believe may be SL with our target. Some of the STEP</w:t>
      </w:r>
      <w:r>
        <w:rPr>
          <w:rFonts w:ascii="Arial" w:cs="Arial" w:eastAsia="Arial" w:hAnsi="Arial"/>
          <w:sz w:val="14"/>
          <w:szCs w:val="14"/>
          <w:color w:val="auto"/>
        </w:rPr>
        <w:t>2</w:t>
      </w:r>
      <w:r>
        <w:rPr>
          <w:rFonts w:ascii="Arial" w:cs="Arial" w:eastAsia="Arial" w:hAnsi="Arial"/>
          <w:sz w:val="17"/>
          <w:szCs w:val="17"/>
          <w:color w:val="auto"/>
        </w:rPr>
        <w:t>-identified genes are altered in 5% to 20% of certain cancers, including lung and prostate cancers, which we believe is indicative of a potential opportunity to address large patient populations with our CCNE1-SL inhibitor. We anticipate advancing a clinical candidate for this potential first-in-class program into IND-enabling studies program in the fourth quarter of 2020.</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Polymerase Theta (Pol</w:t>
      </w:r>
      <w:r>
        <w:rPr>
          <w:rFonts w:ascii="Arial" w:cs="Arial" w:eastAsia="Arial" w:hAnsi="Arial"/>
          <w:sz w:val="18"/>
          <w:szCs w:val="18"/>
          <w:i w:val="1"/>
          <w:iCs w:val="1"/>
          <w:color w:val="auto"/>
        </w:rPr>
        <w:t>q</w:t>
      </w:r>
      <w:r>
        <w:rPr>
          <w:rFonts w:ascii="Arial" w:cs="Arial" w:eastAsia="Arial" w:hAnsi="Arial"/>
          <w:sz w:val="18"/>
          <w:szCs w:val="18"/>
          <w:b w:val="1"/>
          <w:bCs w:val="1"/>
          <w:i w:val="1"/>
          <w:iCs w:val="1"/>
          <w:color w:val="auto"/>
        </w:rPr>
        <w:t>) Program</w:t>
      </w:r>
    </w:p>
    <w:p>
      <w:pPr>
        <w:spacing w:after="0" w:line="117"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We are developing a small molecule inhibitor of polymerase theta, or Polq, a SL target associated with BRCA mutations as well as other genomic alterations. This program was initially added to our portfolio through a collaboration with our co-founder, Dr. Agnel Sfeir at NYU-Langone Medical Center, who initially published her early observations on the SL between BRCA and Polq in Nature in 2016.</w:t>
      </w:r>
    </w:p>
    <w:p>
      <w:pPr>
        <w:spacing w:after="0" w:line="18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Polymerase theta enzyme, or POLQ, is a DNA polymerase enzyme that participates in the repair of double-strand breaks in DNA. Mutations in genes such as BRCA1 and BRCA2 increase the frequency of these breaks, resulting in SL with Polq. Preclinical studies have shown that inactivation of Polq both on its own and in combination with PARP inhibitors reduces survival in BRCA-mutated cells, but not in BRCA wild-type cells. BRCA1 and BRCA2 mutations are routinely identified in multiple genetic profiling tests and observed in approximately 1% to 7% of patients with breast and ovarian cancer. However, the frequency of mutations in one of these BRCA genes increases in women with a family history of disease and in certain subpopulations. For example, up to 37% of patients with breast cancer with low estrogen and progesterone receptor expression have BRCA mutations.</w:t>
      </w:r>
    </w:p>
    <w:p>
      <w:pPr>
        <w:spacing w:after="0" w:line="16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BRCA1 and BRCA2 mutations have also been shown in clinical trials to be SL with PARP inhibitors in multiple tumors, such as breast and ovarian cancer. While PARP inhibitors have proven effective in BRCA-mutant tumors, no statistically significant survival benefit has been reported in breast or pancreatic cancer to date, highlighting the potential for other SL targets, such as Polq, to demonstrate meaningful efficacy as a monotherapy or in combination with PARP inhibitors. We anticipate advancing a clinical candidate and initiating IND-enabling studies for this program in the second half of 2021.</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459" w:right="3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88"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As of May 29, 2020, our patent portfolio included four pending U.S. provisional patent applications, consisting of one application covering RP-3500 and its uses, one application covering uses of RP-3500, one application covering CCNE1-SL inhibitors and their use and one application covering uses of CCNE1-SL inhibitors. In addition, our patent portfolio included one pending international application under the Patent Cooperation Treaty of 1970, or the PCT, covering RP-3500 and its uses.</w:t>
      </w:r>
    </w:p>
    <w:p>
      <w:pPr>
        <w:spacing w:after="0" w:line="187" w:lineRule="exact"/>
        <w:rPr>
          <w:sz w:val="20"/>
          <w:szCs w:val="20"/>
          <w:color w:val="auto"/>
        </w:rPr>
      </w:pPr>
    </w:p>
    <w:p>
      <w:pPr>
        <w:ind w:right="880" w:firstLine="449"/>
        <w:spacing w:after="0" w:line="342" w:lineRule="auto"/>
        <w:rPr>
          <w:sz w:val="20"/>
          <w:szCs w:val="20"/>
          <w:color w:val="auto"/>
        </w:rPr>
      </w:pPr>
      <w:r>
        <w:rPr>
          <w:rFonts w:ascii="Arial" w:cs="Arial" w:eastAsia="Arial" w:hAnsi="Arial"/>
          <w:sz w:val="16"/>
          <w:szCs w:val="16"/>
          <w:color w:val="auto"/>
        </w:rPr>
        <w:t>Our solely owned PCT application has composition of matter and method of treatment and use claims covering RP-3500 and its use. Any application, if issued, claiming priority to this PCT application is expected to expire in 2039, not including any patent term adjustment.</w:t>
      </w:r>
    </w:p>
    <w:p>
      <w:pPr>
        <w:spacing w:after="0" w:line="124"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6"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The PCT is an international patent law treaty that provides a unified procedure for filing patent applications to protect inventions in each of its contracting states. Thus, a single PCT application can be converted into a patent application in any of the PCT-contracting states, and is considered a simple, cost-effective means for seeking patent protection in numerous regions or countries. This nationalization (converting into an application in any of the contracting states) typically occurs 18 months after the PCT application filing date. An applicant must undertake prosecution within the allotted time in each of the contracting states or on a regional basis if it determines to undertake patent issuance in protection in such country or territory. Pursuant to its PCT application, the Company expects to pursue patent protection in the United States</w:t>
      </w:r>
    </w:p>
    <w:p>
      <w:pPr>
        <w:spacing w:after="0" w:line="178"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In addition,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20" w:firstLine="449"/>
        <w:spacing w:after="0" w:line="301" w:lineRule="auto"/>
        <w:rPr>
          <w:sz w:val="20"/>
          <w:szCs w:val="20"/>
          <w:color w:val="auto"/>
        </w:rPr>
      </w:pPr>
      <w:r>
        <w:rPr>
          <w:rFonts w:ascii="Arial" w:cs="Arial" w:eastAsia="Arial" w:hAnsi="Arial"/>
          <w:sz w:val="16"/>
          <w:szCs w:val="16"/>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future product candidates may have an adverse impact on us. For more information, please see “Risk Factors—Risks Related to Intellectual Property.”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Collaboration and License Agreement with Bristol-Myers Squibb Company</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May 2020, we entered into a collaboration and license agreement, or the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We are responsible for carrying out early stage research activities directed to identifying potential targets for potential licensing by Bristol Myers Squibb, in accordance with a mutually agreed upon research plan. The collaboration consists of programs directed to both druggable targets and to targets commonly considered undruggable by traditional small molecule approaches. In the event that Bristol Myers Squibb elects to obtain an exclusive license on for the subsequent development, manufacture and commercialization of a program, Bristol Myers Squibb will then be solely responsible for all such worldwide activities. The research collaboration will be overseen by a joint steering committee through completion of all research activities.</w:t>
      </w:r>
    </w:p>
    <w:p>
      <w:pPr>
        <w:spacing w:after="0" w:line="16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Under the terms of the agreement, Bristol Myers Squibb paid us an initial upfront fee payment of $50 million. In connection with entering into the agreement, we entered into a warrant agreement with an affiliate of Bristol Myers Squibb pursuant to which we issued a warrant which will be automatically exercised into our common shares at the subscription price of $15 million divided by the initial public offering price of our common shares in this offering. Based on the initial public offering price of $20.00 per share, Bristol Myers Squibb will acquire 750,000 of our common shares upon the automatic exercise of the warrant in connection with the consummation of this offering.</w:t>
      </w:r>
    </w:p>
    <w:p>
      <w:pPr>
        <w:spacing w:after="0" w:line="18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For each of the targets in the collaboration, we are entitled to receive, on a program-by-program basis, option exercise fees ranging in the low six figures depending on the nature of the applicable program. Bristol Myers Squibb has the right to retain rights to certain back-up programs in exchange for a one-time payment in the low eight figures per program. Additionally, we are entitled to receive additional fees ranging in the low to mid seven figures upon the selection of certain programs beyond a specified limit.</w:t>
      </w:r>
    </w:p>
    <w:p>
      <w:pPr>
        <w:spacing w:after="0" w:line="187"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Under the agreement, we are entitled to receive up to $3.0 billion in total milestones across all potential programs. Such milestones consist of $301 million in total milestones per program, including $176 million in the aggregate for certain specified research, development and regulatory milestones and $125 million in the aggregate for certain specified commercial milestones. We are also entitled to a tiered percentage royalty on annual net sales ranging from high-single digits to low-double digits, subject to certain specified reductions. Royalties are payable by Bristol Myers Squibb on a licensed product-by-licensed product and country-by-country basis until the later of the expiration of the last valid claim covering the licensed product in such country, expiration of all applicable regulatory exclusivities in such country for such licensed product and the tenth anniversary of the first commercial sale of such licensed product in such country.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On a program-by-program basis, prior to the earlier of such program ceasing to be included under our agreement with Bristol Myers Squibb and expiration of the last to expire royalty term for such program, we, alone and with third parties, are prohibited from researching, developing, manufacturing and commercializing products that are directed to the applicable target for such program.</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also have provided Bristol Myers Squibb with certain, limited rights to first negotiate with us if we determine to divest, license or collaborate with others regarding certain existing programs, including in the event that we received an unsolicited offer to do so. The right to first negotiation expressly excludes any potential Change of Control transaction (as such term is contractually defined in the agreement).</w:t>
      </w:r>
    </w:p>
    <w:p>
      <w:pPr>
        <w:spacing w:after="0" w:line="184" w:lineRule="exact"/>
        <w:rPr>
          <w:sz w:val="20"/>
          <w:szCs w:val="20"/>
          <w:color w:val="auto"/>
        </w:rPr>
      </w:pPr>
    </w:p>
    <w:p>
      <w:pPr>
        <w:jc w:val="both"/>
        <w:ind w:right="200" w:firstLine="449"/>
        <w:spacing w:after="0" w:line="287" w:lineRule="auto"/>
        <w:rPr>
          <w:sz w:val="20"/>
          <w:szCs w:val="20"/>
          <w:color w:val="auto"/>
        </w:rPr>
      </w:pPr>
      <w:r>
        <w:rPr>
          <w:rFonts w:ascii="Arial" w:cs="Arial" w:eastAsia="Arial" w:hAnsi="Arial"/>
          <w:sz w:val="16"/>
          <w:szCs w:val="16"/>
          <w:color w:val="auto"/>
        </w:rPr>
        <w:t>The agreement will expire, assuming that Bristol Myers Squibb has exercised at least one option for a program, on a licensed product-by-licensed product and country-by-country basis on expiration of the applicable royalty term and in its entirety upon expiration of the last royalty term. Either party may terminate the agreement earlier upon an uncured material breach of the agreement by the other party, or the insolvency of the other party.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Additionally, Bristol Myers Squibb may terminate the agreement for any or no reason on a program-by-program basis upon specified written notice.</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Services, License and Collaboration Agreement with Ono Pharmaceutical Co.</w:t>
      </w:r>
    </w:p>
    <w:p>
      <w:pPr>
        <w:spacing w:after="0" w:line="117"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i w:val="1"/>
          <w:iCs w:val="1"/>
          <w:color w:val="auto"/>
        </w:rPr>
        <w:t>All payments by Ono to us are presented in U.S. dollars. Future payments as disclosed in this summary have been converted to U.S. dollars at the December 31, 2019 exchange rate of $1.00 = 109.05 Japanese yen.</w:t>
      </w:r>
    </w:p>
    <w:p>
      <w:pPr>
        <w:spacing w:after="0" w:line="62"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In January 2019, we entered into a research services, license and collaboration agreement, or the Ono Agreement, with Ono Pharmaceutical Co., Ltd., or Ono, pursuant to which we and Ono have agreed to collaborate in the research of potential product candidates targeting Polq and the development of our small molecule Polq inhibitor program. We are primarily responsible for carrying out research activities to identify a product candidate for the program, to be licensed to Ono, in accordance with a mutually agreed upon research plan until the first submission of an IND in the United States or Japan. In the event that Ono elects to collaborate on the subsequent development and commercialization of a proposed product candidate, Ono will then be responsible for such activities in Japan, South Korea, Taiwan, Hong Kong, Macau and certain other Southeast Asian countries, and we will be responsible for such activities in the rest of the world. The collaboration will be overseen by a joint research committee through development candidate selection and a joint steering committee thereafter. Except as set forth below, each party will bear its own expenses in connection with research, development and commercialization activities under the Ono Agreement.</w:t>
      </w:r>
    </w:p>
    <w:p>
      <w:pPr>
        <w:spacing w:after="0" w:line="181" w:lineRule="exact"/>
        <w:rPr>
          <w:sz w:val="20"/>
          <w:szCs w:val="20"/>
          <w:color w:val="auto"/>
        </w:rPr>
      </w:pPr>
    </w:p>
    <w:p>
      <w:pPr>
        <w:ind w:right="220" w:firstLine="449"/>
        <w:spacing w:after="0" w:line="273" w:lineRule="auto"/>
        <w:rPr>
          <w:sz w:val="20"/>
          <w:szCs w:val="20"/>
          <w:color w:val="auto"/>
        </w:rPr>
      </w:pPr>
      <w:r>
        <w:rPr>
          <w:rFonts w:ascii="Arial" w:cs="Arial" w:eastAsia="Arial" w:hAnsi="Arial"/>
          <w:sz w:val="17"/>
          <w:szCs w:val="17"/>
          <w:color w:val="auto"/>
        </w:rPr>
        <w:t>Under the terms of the Ono Agreement, Ono paid us an initial upfront fee payment of ¥110 million (approximately $1.0 million). Additionally, in connection with the research activities to be conducted by us pursuant to the Ono Agreement, Ono paid us an initial upfront research service payment of ¥790 million (approximately $7.1 million) and has agreed to make research service payments up to an aggregate of ¥750 million (approximately $6.9 million) upon (i) certain specified research triggers and (ii) the election by Ono to collaborate on the development and commercialization of a proposed product candidate. Upon election by Ono to collaborate on a proposed product candidate, Ono shall be responsible for a specified percentage of research and development costs for the IND-enabling studies of the selected product candidate.</w:t>
      </w:r>
    </w:p>
    <w:p>
      <w:pPr>
        <w:spacing w:after="0" w:line="17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Under the Ono Agreement, we are also entitled to receive up to ¥5.11 billion (approximately $46.9 million) in the aggregate for certain specified development and regulatory milestones, ¥12.1 billion (approximately $111.0 million) in the aggregate for certain specified commercial milestones and a tiered percentage royalty on annual net sales in Ono’s territory ranging from high-single digits to low teens, subject to certain specified reductions. Royalties are payable by Ono on a licensed product-by-licensed product and country-by-country basis until the later of the expiration of the last valid claim covering the licensed product in such country and the tenth anniversary of the first commercial sale of such licensed product in such country.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320" w:top="459" w:right="3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During the term of the Ono Agreement, we, alone and with third parties, are prohibited from researching, developing, manufacturing and commercializing products that inhibit or modulate Polq as a mechanism of action in Ono’s territory (as such term is defined in the Ono Agreement). During the term of the Ono Agreement, Ono, alone and with third parties, is prohibited from researching, developing, manufacturing and commercializing products, other than licensed products, that inhibit or modulate Polq as a mechanism of action in Ono’s territory.</w:t>
      </w:r>
    </w:p>
    <w:p>
      <w:pPr>
        <w:spacing w:after="0" w:line="17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collaboration and research obligations of the Ono Agreement may be terminated upon the mutual written consent of both parties on or before the two-year anniversary of the Ono Agreement. The Ono Agreement expires on the date of expiration of all royalty obligations. Either party may terminate the Ono Agreement earlier upon an uncured material breach of the agreement by the other party, the insolvency of the other party, or the initiation of an action challenging the validity or enforceability of a party’s patents. Additionally, Ono may terminate the Ono Agreement for any or no reason on a product-by-product and country-by-country basis upon specified written notice, as well as on a product-by-product basis for safety or efficacy reasons upon abbreviated written notice. Moreover, in the event that we are acquired by a third party and after any such acquisition the acquirer initiates a competing program in Ono’s territory, Ono will have the right to treat such initiation as a material breach.</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 with New York University</w:t>
      </w:r>
    </w:p>
    <w:p>
      <w:pPr>
        <w:spacing w:after="0" w:line="11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December 2016, we entered into a license agreement with New York University pursuant to which we obtained a worldwide, royalty-bearing, exclusive license under certain current and/or future patents and know-how of New York University to research, develop and commercialize products that are covered by such licensed patents or otherwise modulate Polq. Upon initial entry into the license agreement, we issued New York University 60,211 common shares in December 2016 as consideration for the license.</w:t>
      </w:r>
    </w:p>
    <w:p>
      <w:pPr>
        <w:spacing w:after="0" w:line="18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In July 2018, we subsequently amended and restated our license agreement with NYU, which we refer to, as amended and restated, as the NYU Agreement. Pursuant to the terms of the NYU Agreement, we are obligated to use reasonable diligence in connection with the research, development and commercialization of the licensed products (as such term is defined in the NYU Agreement), including specified minimum annual spends on research and development.</w:t>
      </w:r>
    </w:p>
    <w:p>
      <w:pPr>
        <w:spacing w:after="0" w:line="18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Under the terms of the NYU Agreement, we are obligated to pay New York University annual license maintenance fees in the low five figures that are creditable against any milestone payments payable in such year. Additionally, in connection with development, regulatory and commercial activities, we have agreed to make milestone payments of (i) $2.6 million in the aggregate for a product covered by a licensed patent that achieves specified development and sales milestones for the first indication, (ii) $1.3 million in the aggregate for a product covered by a licensed patent that achieves specified development and sales milestones for a second indication, (iii) $575,000 in the aggregate for a product covered by a licensed patent that achieves specified development and sales milestones for each of a third and fourth indication, (iv) $1.3 million in the aggregate for a product that is not covered by a licensed patent that achieves specified development and sales milestones for the first indication, (v) $650,000 in the aggregate for a product that is not covered by a licensed patent that achieves specified development and sales milestones for a second indication, (vi) $287,500 in the aggregate for a product that is not covered by a licensed patent that achieves specified development and sales milestones for each of a third and fourth indication. We have the right to reduce these milestone payments by a specified amount of any milestones payable to a third party for a license required for the commercialization of a product candidate.</w:t>
      </w:r>
    </w:p>
    <w:p>
      <w:pPr>
        <w:spacing w:after="0" w:line="182"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are also obligated to pay New York University a low single digit royalty on net sales of any product covered by a licensed patent and a lower single digit royalty on net sales of any product that is not covered by a licensed patent, in each case subject to reduction by a specified amount of any royalties payable to a third party for a license to unblocking intellectual property. Moreover, we are obligated to pay New York University a percentage of any non-royalty consideration received by us from a sublicensee ranging in the low double digits.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Ono is considered a sublicensee under the terms of the NYU Agreement. Accordingly, we have paid New York University a specified percentage of the approximately $1.0 million initial upfront fee payment we received from Ono and we will be required to pay New York University a percentage between the high teens and low twenties of any future payments received under the Ono Agreement from Ono for development, regulatory and commercial milestones, as well as low single digit royalties on annual net sales in Ono’s territory.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in respect of net sales or sublicense in a country shall remain in force on a product-by-product, country-by-country basis, with respect to</w:t>
      </w:r>
    </w:p>
    <w:p>
      <w:pPr>
        <w:spacing w:after="0" w:line="46" w:lineRule="exact"/>
        <w:rPr>
          <w:sz w:val="20"/>
          <w:szCs w:val="20"/>
          <w:color w:val="auto"/>
        </w:rPr>
      </w:pPr>
    </w:p>
    <w:p>
      <w:pPr>
        <w:ind w:right="120" w:firstLine="8"/>
        <w:spacing w:after="0" w:line="255" w:lineRule="auto"/>
        <w:tabs>
          <w:tab w:leader="none" w:pos="2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products that are not covered by a licensed patent, for ten years from the date of first commercial sale in such country and (ii) products that are covered by a licensed patent, until the expiration date of the last to expire of the licensed patents covering such product or its manufacture or use in the applicable country.</w:t>
      </w:r>
    </w:p>
    <w:p>
      <w:pPr>
        <w:spacing w:after="0" w:line="19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NYU Agreement expires on the date of expiration of all royalty obligations. Either party may terminate the NYU Agreement earlier upon an uncured material breach of NYU Agreement by the other party or the insolvency of the other party.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have established a wholly-owned U.S. subsidiary, Repare Therapeutics USA Inc., a Delaware corporation with operations in Cambridge, Massachusetts, to support our clinical development program and our potential commercialization efforts in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We currently rely, and expect to continue to rely for the foreseeable future, on third-party contract manufacturing organizations, or CMOs, to produce our product candidates for preclinical and clinical testing, as well as for future commercial manufacture of any products that we may commercialize.</w:t>
      </w:r>
    </w:p>
    <w:p>
      <w:pPr>
        <w:spacing w:after="0" w:line="12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require all of our CMOs to conduct manufacturing activities in compliance with current good manufacturing practice, or cGMP, requirements. We have assembled a team of experienced employees and consultants to provide the necessary technical, quality and regulatory oversight over our CMOs. Currently, we have manufacturing and supply agreements with our CMOs for the manufacture of RP-3500 and our preclinical candidates, including the synthesis of the active pharmaceutical ingredient, or API, as well as drug product.</w:t>
      </w:r>
    </w:p>
    <w:p>
      <w:pPr>
        <w:spacing w:after="0" w:line="18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All of our product candidates are small molecules and are manufactured in synthetic processes from available starting materials. The chemistry underlying our product candidates appears amenable to scale up and does not currently require unusual equipment in the manufacturing process. We expect to continue to develop product candidates that can be produced cost-effectively at contract manufacturing facilities.</w:t>
      </w:r>
    </w:p>
    <w:p>
      <w:pPr>
        <w:spacing w:after="0" w:line="16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plan to continue to rely on third-party manufacturers for any future trials and commercialization of RP-3500 and any future product candidates, if approved. We anticipate that these CMOs will have capacity to support commercial scale production, but we do not have any formal agreements in place at this time given our early stages of development. If needed, we believe we can identify and establish additional CMOs to provide API and finished drug product without significant disruption to our business or clinical development timelines.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459" w:right="3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66"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(recently acquired by Eli Lilly and Company), Blueprint Medicines Corporation, Agios Pharmaceuticals, Inc., SpringWorks Therapeutics, Inc., Black Diamond Therapeutics, Inc., Deciphera Pharmaceuticals, Inc. and Turning Point Therapeutics, Inc., are developing precision oncology medicines. In addition, we may face competition from companies developing product candidates that are based on SL, including AstraZeneca, GlaxoSmithKline, Pfizer, Bayer, Merck Serono, Artios Pharma Ltd. and IDEAYA Biosciences, Inc.</w:t>
      </w:r>
    </w:p>
    <w:p>
      <w:pPr>
        <w:spacing w:after="0" w:line="192"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8"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With respect to our lead product candidate, RP-3500, several companies are developing ATR inhibitors with multiple monotherapy and/or combination trials ongoing, including AstraZeneca (AZD6738), Bayer (BAY1895344) and Merck Serono (M4344). In addition, companies such as Artios Pharma and Atrin Pharmaceuticals have ATR inhibitors in preclinical development.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our CCNE1-SL inhibitor program, we are not aware of any companies or institutions with programs in development for this target.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our preclinical Polq program, both Artios Pharma and IDEAYA Biosciences have Polq programs in the preclinical stages of development.</w:t>
      </w:r>
    </w:p>
    <w:p>
      <w:pPr>
        <w:spacing w:after="0" w:line="237"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We could see a reduction or elimination in our commercial opportunity if our competitors develop and commercialize drugs that are safer, more effective, have fewer or less severe side effects, are more convenient to administer, are less expensive or with a more favorable label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459"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be their efficacy, safety, convenience, price, the level of generic competition and the availability of reimbursement from government and other third-party payors.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a pending New Drug Application, or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31" w:lineRule="exact"/>
        <w:rPr>
          <w:sz w:val="20"/>
          <w:szCs w:val="20"/>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nonclinical laboratory and animal tests that must be conducted in accordance with good laboratory practices, or GLPs;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become effective before clinical trials may begin;</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product candidate for its intended use, performed in accordance with good clinical practices, or GCPs;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submission to the FDA of an NDA and payment of user fees;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selected clinical investigators for their compliance with cGMP and good clinical practices, or GCPs;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FDA review and approval of an NDA to permit commercial marketing for particular indications for use; and</w:t>
      </w:r>
    </w:p>
    <w:p>
      <w:pPr>
        <w:spacing w:after="0" w:line="130" w:lineRule="exact"/>
        <w:rPr>
          <w:rFonts w:ascii="Arial" w:cs="Arial" w:eastAsia="Arial" w:hAnsi="Arial"/>
          <w:sz w:val="18"/>
          <w:szCs w:val="18"/>
          <w:color w:val="auto"/>
        </w:rPr>
      </w:pPr>
    </w:p>
    <w:p>
      <w:pPr>
        <w:ind w:left="1000" w:right="60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testing and approval process requires substantial time, effort and financial resources.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80"/>
          </w:cols>
          <w:pgMar w:left="320" w:top="459" w:right="3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161"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that may overlap.</w:t>
      </w:r>
    </w:p>
    <w:p>
      <w:pPr>
        <w:spacing w:after="0" w:line="131" w:lineRule="exact"/>
        <w:rPr>
          <w:sz w:val="20"/>
          <w:szCs w:val="20"/>
          <w:color w:val="auto"/>
        </w:rPr>
      </w:pPr>
    </w:p>
    <w:p>
      <w:pPr>
        <w:jc w:val="both"/>
        <w:ind w:left="1000" w:right="40" w:hanging="547"/>
        <w:spacing w:after="0" w:line="286" w:lineRule="auto"/>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spacing w:after="0" w:line="70" w:lineRule="exact"/>
        <w:rPr>
          <w:rFonts w:ascii="Arial" w:cs="Arial" w:eastAsia="Arial" w:hAnsi="Arial"/>
          <w:sz w:val="17"/>
          <w:szCs w:val="17"/>
          <w:color w:val="auto"/>
        </w:rPr>
      </w:pPr>
    </w:p>
    <w:p>
      <w:pPr>
        <w:ind w:left="1000" w:right="220" w:hanging="547"/>
        <w:spacing w:after="0" w:line="286" w:lineRule="auto"/>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70" w:lineRule="exact"/>
        <w:rPr>
          <w:rFonts w:ascii="Arial" w:cs="Arial" w:eastAsia="Arial" w:hAnsi="Arial"/>
          <w:sz w:val="17"/>
          <w:szCs w:val="17"/>
          <w:color w:val="auto"/>
        </w:rPr>
      </w:pPr>
    </w:p>
    <w:p>
      <w:pPr>
        <w:ind w:left="1000" w:right="180" w:hanging="547"/>
        <w:spacing w:after="0" w:line="275" w:lineRule="auto"/>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Phase 3—These clinical trials are generally undertaken in larger subject populations to provide statistically significant evidence of clinical efficacy and to further test for safety in an expanded subject population at multiple clinical trial sites. These clinical trials are intended to establish the overall risk/benefit ratio of the product and provide an adequate basis for product labeling. These clinical trials may be done at trial sites outside the United States as long as the global sites are also representative of the U.S. population and the conduct of the study at global sites comports with FDA regulations and guidance, such as compliance with GCPs.</w:t>
      </w:r>
    </w:p>
    <w:p>
      <w:pPr>
        <w:spacing w:after="0" w:line="176"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for public dissemination on their ClinicalTrials.gov website. Progress reports detailing the results of the clinical trials must be submitted at least annually to the FDA and more frequently if serious adverse events occur.</w:t>
      </w:r>
    </w:p>
    <w:p>
      <w:pPr>
        <w:spacing w:after="0" w:line="192"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188"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FDA Expedited Review and Approval Programs</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w:t>
      </w:r>
    </w:p>
    <w:p>
      <w:pPr>
        <w:spacing w:after="0" w:line="187"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 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18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addition, a sponsor can request breakthrough therapy designation for a drug if it is intended, alone or in combination with one or more other drugs, to treat a serious or life-threatening disease or condition,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459"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176"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Under the FDA’s accelerated approval regulations,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 including the completion of Phase 4 or post approval clinical trials to confirm the effect on the clinical endpoint. Failure to conduct required post approval studies, or confirm a clinical benefit during post marketing studies, will allow the FDA to withdraw the drug from the market on an expedited basis. All promotional materials for drug candidates approved under accelerated approval regulations are subject to prior review by the FDA.</w:t>
      </w:r>
    </w:p>
    <w:p>
      <w:pPr>
        <w:spacing w:after="0" w:line="178"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the Prescription Drug User Fee Act, or PDUFA, guidelines. Under the current PDUFA performance goals, these six and ten month review periods are measured from the 60-day filing date rather than the receipt date for NDAs for new molecular entities, which typically adds approximately two months to the timeline for review from the date of submission.</w:t>
      </w:r>
    </w:p>
    <w:p>
      <w:pPr>
        <w:spacing w:after="0" w:line="16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 threatening disease is required to make available, such as by posting on its website, its policy on responding to requests for expanded access. Furthermore, fast track designation, breakthrough therapy designation, accelerated approval and priority review do not change the standards for approval and may not ultimately expedite the development or approval process.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NDA Submission and Review by the FDA</w:t>
      </w:r>
    </w:p>
    <w:p>
      <w:pPr>
        <w:spacing w:after="0" w:line="11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95"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In addition, under the Pediatric Research Equity Act,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70"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92"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92"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 has set the review goal of 10 months from the 60-day filing date to complete its initial review of a standard NDA for a new molecular entity, or NME, and make a decision on the application. For priority review applications, the FDA has set the review goal of reviewing NME NDAs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 during the review period that amends the original application.</w:t>
      </w:r>
    </w:p>
    <w:p>
      <w:pPr>
        <w:spacing w:after="0" w:line="16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in the future.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95"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9"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or may include contraindications, warnings or precautions in the product labeling, which has resulted in a boxed warning. A boxed warning is the strictest warning put in the labeling of prescription drugs or drug products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Post-Approval Requirements</w:t>
      </w:r>
    </w:p>
    <w:p>
      <w:pPr>
        <w:spacing w:after="0" w:line="11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Any products manufactured or distributed by us pursuant to FDA approvals are subject to continuing regulation by the FDA, including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49"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176"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1" w:lineRule="exact"/>
        <w:rPr>
          <w:sz w:val="20"/>
          <w:szCs w:val="20"/>
          <w:color w:val="auto"/>
        </w:rPr>
      </w:pPr>
    </w:p>
    <w:p>
      <w:pPr>
        <w:ind w:right="260" w:firstLine="449"/>
        <w:spacing w:after="0" w:line="279"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71"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 and that differ from those tested by us and approved by the FDA. However, manufacturers and third parties acting on their behalf are prohibited from marketing or promoting drugs in a manner inconsistent with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92" w:lineRule="exact"/>
        <w:rPr>
          <w:sz w:val="20"/>
          <w:szCs w:val="20"/>
          <w:color w:val="auto"/>
        </w:rPr>
      </w:pPr>
    </w:p>
    <w:p>
      <w:pPr>
        <w:ind w:right="760" w:firstLine="449"/>
        <w:spacing w:after="0" w:line="311" w:lineRule="auto"/>
        <w:rPr>
          <w:sz w:val="20"/>
          <w:szCs w:val="20"/>
          <w:color w:val="auto"/>
        </w:rPr>
      </w:pPr>
      <w:r>
        <w:rPr>
          <w:rFonts w:ascii="Arial" w:cs="Arial" w:eastAsia="Arial" w:hAnsi="Arial"/>
          <w:sz w:val="16"/>
          <w:szCs w:val="16"/>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Marketing Exclusivity</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(i.e., formed by the chemical interaction of two compounds), chelate (i.e., a chemical compound), or clathrate (i.e., a polymer framework that traps molecules), of the molecule, responsible for the therapeutic activity of the drug substance. During the exclusivity period, the FDA may not accept for review or approve an Abbreviated New Drug Application, or ANDA, or a 505(b)(2) NDA submitted by another company that contains the previously approved active moiety. An ANDA or 505(b)(2) application, however, may be submitted one year before NCE exclusivity expires if a Paragraph IV certification is filed.</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be subject to similar foreign laws and regulations concerning the development of our product candidates outside of the United States.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Healthcare Laws and Regulations</w:t>
      </w:r>
    </w:p>
    <w:p>
      <w:pPr>
        <w:spacing w:after="0" w:line="117" w:lineRule="exact"/>
        <w:rPr>
          <w:sz w:val="20"/>
          <w:szCs w:val="20"/>
          <w:color w:val="auto"/>
        </w:rPr>
      </w:pPr>
    </w:p>
    <w:p>
      <w:pPr>
        <w:ind w:right="280" w:firstLine="449"/>
        <w:spacing w:after="0" w:line="296" w:lineRule="auto"/>
        <w:rPr>
          <w:sz w:val="20"/>
          <w:szCs w:val="20"/>
          <w:color w:val="auto"/>
        </w:rPr>
      </w:pPr>
      <w:r>
        <w:rPr>
          <w:rFonts w:ascii="Arial" w:cs="Arial" w:eastAsia="Arial" w:hAnsi="Arial"/>
          <w:sz w:val="16"/>
          <w:szCs w:val="16"/>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the Department of Justice, the Department of Health and Human Services, or HHS, and its various divisions, including Centers for Medicare &amp; Medicaid Services, or CMS, and the Health Resources and Services Administration, the Department of Veterans Affairs, the Department of Defense and state and local governments. Our business activities must comply with numerous healthcare laws and regulations, including those described below.</w:t>
      </w:r>
    </w:p>
    <w:p>
      <w:pPr>
        <w:spacing w:after="0" w:line="161"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Anti-Kickback Statute has been interpreted to apply to arrangements between pharmaceutical manufacturers on the one hand and prescribers, purchasers, and formulary managers on the other hand. The term remuneration has been interpreted broadly to include anything of value. There are a number of statutory exceptions and regulatory safe harbors protecting some common activities from prosecution. The exceptions and safe harbors are drawn narrowly and require strict compliance in order to offer protection.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safe harbor does not make the conduct per se illegal under the federal Anti-Kickback Statute. Instead, the legality of the arrangement will be evaluated on a case-by-case basis based on a cumulative review of all of its facts and circumstances. Additionally, the Patient Protection and Affordable Care Act of 2010, as amended by the Health Care and Education Reconciliation Act of 2010, or collectively the ACA, amended the intent requirement of the federal Anti-Kickback Statute, and other healthcare criminal fraud statutes, so that a person or entity no longer needs to have actual knowledge of the federal Anti-Kickback Statute, or the specific intent to violate it, to have violated the statute.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 or FCA.</w:t>
      </w:r>
    </w:p>
    <w:p>
      <w:pPr>
        <w:spacing w:after="0" w:line="17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The federal civil and criminal false claims laws, including the FCA, prohibit, among other things, any person or entity from knowingly presenting, or causing to be presented, a false claim for payment to, or approval by, the U.S. federal government, including the Medicare and Medicaid programs, or knowingly making, using, or causing to be made or used a false record or statement material to a false or fraudulent claim or to avoid, decrease or conceal an obligation to pay money to the federal government.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FCA liability is potentially significant in the healthcare industry because the statute provides for treble damages and mandatory penalties. Government enforcement agencies and private whistleblowers have investigated pharmaceutical companies for or asserted liability under the FCA for a variety of alleged promotional and marketing activities, such as providing free products to customers with the expectation that the customers would bill federal programs for the products; providing consulting fees and other benefits to physicians to induce them to prescribe products; engaging in promotion for “off-label” uses; and submitting inflated best price information to the Medicaid Rebate Program.</w:t>
      </w:r>
    </w:p>
    <w:p>
      <w:pPr>
        <w:spacing w:after="0" w:line="168"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prohibits,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scheme or device a material fact or making any materially false, fictitious or fraudulent statements in connection with the delivery of, or payment for, healthcare benefits, items or services relating to healthcare matters. Additionally, the ACA amended the intent requirement of some of these criminal statutes under HIPAA so that a person or entity no longer needs to have actual knowledge of the statute, or the specific intent to violate it, to have committed a violation.</w:t>
      </w:r>
    </w:p>
    <w:p>
      <w:pPr>
        <w:spacing w:after="0" w:line="16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Additionally, the federal Open Payments program pursuant to the Physician Payments Sunshine Act, created under Section 6002 of the ACA and its implementing regulations, requires certain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as defined by such law, and teaching hospitals, or to entities or individuals at the request of, or designated on behalf of, the physicians and teaching hospitals and to report annually specified ownership and investment interests held by physicians and their immediate family members. Failure to submit timely, accurately and completely the required information for all payments, transfers of value and ownership or investment interests may result in civil monetary penalties.</w:t>
      </w:r>
    </w:p>
    <w:p>
      <w:pPr>
        <w:spacing w:after="0" w:line="195"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In addition, we may be subject to data privacy and security regulation by both the federal government and the states in which we conduct our business. HIPAA, as amended by the Health Information Technology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Economic and Clinical Health Act, or HITECH, and their implementing regulations, impose requirements relating to the privacy, security and transmission of individually identifiable health information held by covered entities and their business associates. Among other things, HITECH makes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9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third-party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or marketing expenditures and pricing information, state and local laws that require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spacing w:after="0" w:line="177"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Ensuring that our internal operations and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imprisonment, possible exclusion from government funded healthcare programs, contractual damages, reputational harm, diminished profits and future earnings, additional reporting obligations and oversight if we become subject to a corporate integrity agreement or other agreement to resolve allegations of non-compliance with these laws, and curtailment of our operations, any of which could substantially disrupt our operations. 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Our ability to commercialize any products successfully will also depend in part on the extent to which coverage and adequate reimbursement for the procedures utilizing our product candidates, performed by health care providers, once approved, will be available from government health administration authorities, private health insurers and other organizations. Government authorities and other third-party payors, such as private health insurers and health maintenance organizations, determine which procedures, and the products utilized in such procedures, they will cover and establish reimbursement levels. Assuming coverage is obtained for procedures utilizing a given product by a third-party payor, the resulting reimbursement payment rates may not be adequate or may require co-payments that patients find unacceptably high. Patients who undergo procedures for the treatment of their conditions, and their treating physicians, generally rely on third-party payors to reimburse all or part of the costs associated with the procedures which utilize our products. Treating physicians are unlikely to use and order our products unless coverage is provided and the reimbursement is adequate to cover all or a significant portion of the cost of the procedures which utilize our products. Therefore, coverage and adequate reimbursement for procedures which utilize new products is critical to the acceptance of such new products. Coverage decisions may depend upon clinical and economic standards that disfavor new products when more established or lower cost therapeutic alternatives are already available or subsequently become available.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320" w:top="459" w:right="3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cost containment, such as including price controls, restrictions on coverage and reimbursement and requirements for substitution of less expensive products and procedures. Government and other third-party payors are increasingly challenging the prices charged for health care products and procedures, examining the cost effectiveness of procedures, and the products used in such procedures, in addition to their safety and efficacy, and limiting or attempting to limit both coverage and the level of reimbursement. Further, no uniform policy requirement for coverage and reimbursement exists among third-party payors in the United States, which causes significant uncertainty related to the insurance coverage and reimbursement of newly approved products, and the procedures which may utilize such newly approved products. Therefore, coverage and reimbursement can differ significantly from payor to payor and health care provider to health care provider. As a result, the coverage determination process is often a time-consuming and costly process that requires the provision of scientific and clinical support for the use of new products to each payor separately, with no assurance that coverage and adequate reimbursement will be applied consistently or obtained in the first instance.</w:t>
      </w:r>
    </w:p>
    <w:p>
      <w:pPr>
        <w:spacing w:after="0" w:line="185"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There may be significant delays in obtaining coverage and reimbursement for newly approved products, and coverage may be more limited than the purposes for which the product is approved by the FDA. Moreover, eligibility for coverage and reimbursement does not imply that a product, or the procedures which utilize such product, will be paid for in all cases or at a rate which the health care providers who purchase those products will find cost effective. Additionally, we expect pricing pressures in connection with the sale of any of our product candidates due to the trend toward managed healthcare, the increasing influence of health maintenance organizations, and additional legislative changes.</w:t>
      </w:r>
    </w:p>
    <w:p>
      <w:pPr>
        <w:spacing w:after="0" w:line="176"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We cannot be sure that coverage and reimbursement will be available for any product that we commercialize, or the procedures which utilize such product,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designed to change the healthcare system.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7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For example, the pharmaceutical industry in the United States has been affected by the passage of ACA, which, among other things: imposed new fees on entities that manufacture or import certain branded prescription drugs; expanded pharmaceutical manufacturer obligations to provide discounts and rebates to certain government programs; implemented a licensure framework for follow-on biologic products; expanded health care fraud and abuse laws; revised the methodology by which rebates owed by manufacturers to the state and federal government under the Medicaid Drug Rebate Program are calculated for certain drugs and biologics, including products that are inhaled, infused, instilled, implanted or injected; imposed an additional rebate similar to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8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There remain judicial and Congressional challenges to certain aspects of the ACA, as well as efforts by the Trump administration to repeal or replace certain aspects of the ACA. Since January 2017, President Trump has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459"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been signed into law. The Tax Cuts and Jobs Act of 2017, or Tax Act, included a provision repealing,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or the BBA,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w:t>
      </w:r>
    </w:p>
    <w:p>
      <w:pPr>
        <w:spacing w:after="0" w:line="167"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included aggregate reductions of Medicare payments to providers of 2.0% per fiscal year, which went into effect in April 2013, and due to subsequent legislative amendments, including the BBA, will remain in effect through 2030, unless additional U.S. Congressional action is taken. These Medicare sequester reductions will be suspended from May 1, 2020 through December 31, 2020 due to the COVID-19 pandemic.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Additionally, the Medicare Access and CHIP Reauthorization Act of 2015, or MACRA, ended the use of the statutory formula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68"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addition, there has been particular and increasing legislative and enforcement interest in the United States with respect to drug pricing practices in recent years, particularly with respect to drugs that have been subject to relatively large price increases over relatively short time periods. Specifically, there have been several recent U.S. Congressional inquiries and proposed and enacted federal and state legislation designed to, among other things, bring more transparency to product pricing, review the relationship between pricing and manufacturer patient programs, reduce the cost of prescription drugs under Medicare and reform government program reimbursement methodologies for pharmaceutical products.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459" w:right="3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place limits on pharmaceutical price increases. Further, the Trump administration previously released a “Blueprint”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in May 2019, CMS issued a final rule to allow Medicare Advantage plans the option to use step therapy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In addition, individual states in the United States have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the future, there will likely continue to be proposals relating to the reform of the U.S. healthcare system, some of which could further limit coverage and reimbursement of products.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As of March 31, 2020, we had 64 full-time employees, including 29 who hold an M.D. or Ph.D. degree. Of these full-time employees, 53 were primarily engaged in research and development activities and 11 were primarily engaged in management or general and administrative activities. None of our employees is represented by a labor union and we consider our employee relations to be good.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Our headquarters is currently located in Montréal, Québec, Canada and consists of 9,045 square feet of leased laboratory and office space under a lease that expires in July 2021. We also have a U.S. subsidiary in Cambridge, Massachusetts. In November 2019, we entered into a new five-year lease agreement for 17,123 square feet of office and laboratory space in Montréal, Québec, Canada. Such lease has not yet commenced and we intend to move into the space prior to the end of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459"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and directors, including their ages as of May 15,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5420" w:type="dxa"/>
            <w:vAlign w:val="bottom"/>
            <w:gridSpan w:val="3"/>
          </w:tcPr>
          <w:p>
            <w:pPr>
              <w:ind w:left="280"/>
              <w:spacing w:after="0"/>
              <w:rPr>
                <w:sz w:val="20"/>
                <w:szCs w:val="20"/>
                <w:color w:val="auto"/>
              </w:rPr>
            </w:pPr>
            <w:r>
              <w:rPr>
                <w:rFonts w:ascii="Arial" w:cs="Arial" w:eastAsia="Arial" w:hAnsi="Arial"/>
                <w:sz w:val="14"/>
                <w:szCs w:val="14"/>
                <w:b w:val="1"/>
                <w:bCs w:val="1"/>
                <w:color w:val="auto"/>
              </w:rPr>
              <w:t>Position(s)</w:t>
            </w:r>
          </w:p>
        </w:tc>
      </w:tr>
      <w:tr>
        <w:trPr>
          <w:trHeight w:val="61"/>
        </w:trPr>
        <w:tc>
          <w:tcPr>
            <w:tcW w:w="380" w:type="dxa"/>
            <w:vAlign w:val="bottom"/>
            <w:tcBorders>
              <w:top w:val="single" w:sz="8" w:color="auto"/>
            </w:tcBorders>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Lloyd M. Segal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President, Chief Executive Officer and Director</w:t>
            </w:r>
          </w:p>
        </w:tc>
      </w:tr>
      <w:tr>
        <w:trPr>
          <w:trHeight w:val="67"/>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Forte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 Chief Financial Officer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Maria Koehler, M.D., Ph.D.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Executive Vice President, Chief Medical Officer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Zinda, Ph.D.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 Chief Scientific Officer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Jerel Davis, Ph.D.</w:t>
            </w:r>
            <w:r>
              <w:rPr>
                <w:rFonts w:ascii="Arial" w:cs="Arial" w:eastAsia="Arial" w:hAnsi="Arial"/>
                <w:sz w:val="15"/>
                <w:szCs w:val="15"/>
                <w:color w:val="auto"/>
              </w:rPr>
              <w:t>(2)(3)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Chairman of the Board of Directors</w:t>
            </w: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David Bonita, M.D.</w:t>
            </w:r>
            <w:r>
              <w:rPr>
                <w:rFonts w:ascii="Arial" w:cs="Arial" w:eastAsia="Arial" w:hAnsi="Arial"/>
                <w:sz w:val="15"/>
                <w:szCs w:val="15"/>
                <w:color w:val="auto"/>
              </w:rPr>
              <w:t>(3)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7"/>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r>
              <w:rPr>
                <w:rFonts w:ascii="Arial" w:cs="Arial" w:eastAsia="Arial" w:hAnsi="Arial"/>
                <w:sz w:val="15"/>
                <w:szCs w:val="15"/>
                <w:color w:val="auto"/>
              </w:rPr>
              <w:t>(1)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Samarth Kulkarni, Ph.D.</w:t>
            </w:r>
            <w:r>
              <w:rPr>
                <w:rFonts w:ascii="Arial" w:cs="Arial" w:eastAsia="Arial" w:hAnsi="Arial"/>
                <w:sz w:val="15"/>
                <w:szCs w:val="15"/>
                <w:color w:val="auto"/>
              </w:rPr>
              <w:t>(2)</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 M.D.</w:t>
            </w:r>
            <w:r>
              <w:rPr>
                <w:rFonts w:ascii="Arial" w:cs="Arial" w:eastAsia="Arial" w:hAnsi="Arial"/>
                <w:sz w:val="15"/>
                <w:szCs w:val="15"/>
                <w:color w:val="auto"/>
              </w:rPr>
              <w:t>(2)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Kevin J. Raidy</w:t>
            </w:r>
            <w:r>
              <w:rPr>
                <w:rFonts w:ascii="Arial" w:cs="Arial" w:eastAsia="Arial" w:hAnsi="Arial"/>
                <w:sz w:val="15"/>
                <w:szCs w:val="15"/>
                <w:color w:val="auto"/>
              </w:rPr>
              <w:t>(4)</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 D. Rhoads</w:t>
            </w:r>
            <w:r>
              <w:rPr>
                <w:rFonts w:ascii="Arial" w:cs="Arial" w:eastAsia="Arial" w:hAnsi="Arial"/>
                <w:sz w:val="15"/>
                <w:szCs w:val="15"/>
                <w:color w:val="auto"/>
              </w:rPr>
              <w:t>(1)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Carol A. Schafer</w:t>
            </w:r>
            <w:r>
              <w:rPr>
                <w:rFonts w:ascii="Arial" w:cs="Arial" w:eastAsia="Arial" w:hAnsi="Arial"/>
                <w:sz w:val="15"/>
                <w:szCs w:val="15"/>
                <w:color w:val="auto"/>
              </w:rPr>
              <w:t>(1)(3)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8"/>
          <w:szCs w:val="18"/>
          <w:color w:val="auto"/>
        </w:rPr>
        <w:t>Member of nominating and corporate governance committee.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8"/>
          <w:szCs w:val="18"/>
          <w:color w:val="auto"/>
        </w:rPr>
        <w:t>Mr. Raidy resigned from our board of directors on June 18,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i w:val="1"/>
          <w:iCs w:val="1"/>
          <w:color w:val="auto"/>
        </w:rPr>
        <w:t xml:space="preserve">Lloyd M. Segal </w:t>
      </w:r>
      <w:r>
        <w:rPr>
          <w:rFonts w:ascii="Arial" w:cs="Arial" w:eastAsia="Arial" w:hAnsi="Arial"/>
          <w:sz w:val="16"/>
          <w:szCs w:val="16"/>
          <w:color w:val="auto"/>
        </w:rPr>
        <w:t>has served as our President and Chief Executive Officer and as a member of our board of directors since our incorporation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September 2016. From February 2010 to January 2016, he was a Managing Partner with Persistence Capital Partners, a Canadian-based healthcare private equity investor. Previously, Mr. Segal was a consultant with McKinsey &amp; Company, and served as chief executive officer of several emerging biotechnology companies including Advanced Bioconcept Inc., Caprion Pharmaceuticals Inc. (now Caprion Biosciences), which he co-founded, and Thallion Pharmaceuticals Inc. He serves as a member of the board of directors of GBC American Fund, a U.S. growth-focused mutual fund. Mr. Segal also previously served as Chairman of LMC Diabetes &amp; Endocrinology, Canada’s leading national endocrinology practice. From June 2016 to March 2020, Mr. Segal served as Entrepreneur-in-Residence with Versant Ventures. He was honored in 2013 by the </w:t>
      </w:r>
      <w:r>
        <w:rPr>
          <w:rFonts w:ascii="Arial" w:cs="Arial" w:eastAsia="Arial" w:hAnsi="Arial"/>
          <w:sz w:val="16"/>
          <w:szCs w:val="16"/>
          <w:i w:val="1"/>
          <w:iCs w:val="1"/>
          <w:color w:val="auto"/>
        </w:rPr>
        <w:t>Financial Times</w:t>
      </w:r>
      <w:r>
        <w:rPr>
          <w:rFonts w:ascii="Arial" w:cs="Arial" w:eastAsia="Arial" w:hAnsi="Arial"/>
          <w:sz w:val="16"/>
          <w:szCs w:val="16"/>
          <w:color w:val="auto"/>
        </w:rPr>
        <w:t xml:space="preserve"> as Outstanding Director of the Year for public companies and also previously served on the boards of directors of several public and private U.S. and Canadian companies, including Valeant Pharmaceuticals International and its predecessor company, Biovail Corporation. He holds a B.A. in politics from Brandeis University and an M.B.A. from Harvard Business School. Our board of directors believes that Mr. Segal’s extensive experience in the biotechnology industry in addition to his corporate governance and executive leadership experience qualify him to serve on our board of directors.</w:t>
      </w:r>
    </w:p>
    <w:p>
      <w:pPr>
        <w:spacing w:after="0" w:line="172"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i w:val="1"/>
          <w:iCs w:val="1"/>
          <w:color w:val="auto"/>
        </w:rPr>
        <w:t xml:space="preserve">Steve Forte </w:t>
      </w:r>
      <w:r>
        <w:rPr>
          <w:rFonts w:ascii="Arial" w:cs="Arial" w:eastAsia="Arial" w:hAnsi="Arial"/>
          <w:sz w:val="17"/>
          <w:szCs w:val="17"/>
          <w:color w:val="auto"/>
        </w:rPr>
        <w:t>has served as our Executive Vice President, Chief Financial Officer since October 2019. Prior to joining us, he served as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Clementia Pharmaceuticals Inc. from August 2018 through June 2019, during which time Clementia was acquired by Ipsen S.A. From September 2015 to August 2018, Mr. Forte served as Chief Financial Officer of Thinking Capital Financial Corporation, a Canadian financial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technology firm, where he ultimately led the firm through a sale to Purpose Investments. From September 2014 to September 2015, he served as Executive Director of Finance of CST Canada Co. From 2005 to 2014, Mr. Forte held positions of increasing responsibility at Aptalis Pharma Inc., including most recently holding the position of Vice President, Financial Reporting where he was responsible for the overall corporate controllership function of the company. He currently serves on the board of directors of Profound Medical Corp., where he is also a member of the audit committee. Mr. Forte received his Bachelor of Commerce in accountancy from Concordia University and is a Certified Professional Accountant in the Province of Québec and a Certified Information Systems Auditor (non-practicing) with ISACA.</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Maria Koehler, M.D., Ph.D. </w:t>
      </w:r>
      <w:r>
        <w:rPr>
          <w:rFonts w:ascii="Arial" w:cs="Arial" w:eastAsia="Arial" w:hAnsi="Arial"/>
          <w:sz w:val="16"/>
          <w:szCs w:val="16"/>
          <w:color w:val="auto"/>
        </w:rPr>
        <w:t>has served as our Executive Vice President, Chief Medical Officer since May 2019. Prior to joining us, from September</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2017 to April 2019, Dr. Koehler served as the Chief Medical Officer of Bicycle Therapeutics Limited. From March 2009 to September 2017, Dr. Koehler served as Vice President of Strategy, Innovation and Collaborations for the Oncology Business Unit at Pfizer Inc. Prior to joining Pfizer, Dr. Koehler was the group leader for the Medicine Development Center of GlaxoSmithKline Oncology. Prior to that, Dr. Koehler was a Senior Medical Director for oncology research and development at AstraZeneca plc. Dr. Koehler has also served as the clinical director of Bone Marrow Transplantation at University Hospital in Pittsburgh as well as the director of the Bone Marrow Transplant Program and associate professor at St. Christopher’s Hospital in Philadelphia. Dr. Koehler is a board-certified hematology/oncology physician. Dr. Koehler received her M.D. and Ph.D. from Silesian School of Medicine in Katowice, Poland.</w:t>
      </w:r>
    </w:p>
    <w:p>
      <w:pPr>
        <w:spacing w:after="0" w:line="192"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i w:val="1"/>
          <w:iCs w:val="1"/>
          <w:color w:val="auto"/>
        </w:rPr>
        <w:t xml:space="preserve">Michael Zinda, Ph.D. </w:t>
      </w:r>
      <w:r>
        <w:rPr>
          <w:rFonts w:ascii="Arial" w:cs="Arial" w:eastAsia="Arial" w:hAnsi="Arial"/>
          <w:sz w:val="18"/>
          <w:szCs w:val="18"/>
          <w:color w:val="auto"/>
        </w:rPr>
        <w:t>has served as our Executive Vice President, Chief Scientific Officer since May 2019 and previously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Head of Research and Development of our U.S. subsidiary, Repare Therapeutics USA Inc., from June 2017 to May 2019. Prior to joining us, he spent 16 years at AstraZeneca from 2001 to May 2017, where he obtained the position of Executive Director, Head of Cancer Bioscience. In this role, Dr. Zinda served on the global science leadership team, oncology research board and the Acerta research and early development teams accountable for strategy, key collaborations/partnerships and delivery of an innovative portfolio of patient-centric drug discovery programs. Dr. Zinda holds a B.Sc. in biology from Minnesota State University Moorhead and a Ph.D. in molecular biology from Vanderbilt University. He received his post-doctoral training at Princeton University and Eli Lilly &amp;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i w:val="1"/>
          <w:iCs w:val="1"/>
          <w:color w:val="auto"/>
        </w:rPr>
        <w:t xml:space="preserve">Jerel Davis, Ph.D. </w:t>
      </w:r>
      <w:r>
        <w:rPr>
          <w:rFonts w:ascii="Arial" w:cs="Arial" w:eastAsia="Arial" w:hAnsi="Arial"/>
          <w:sz w:val="18"/>
          <w:szCs w:val="18"/>
          <w:color w:val="auto"/>
        </w:rPr>
        <w:t>has served as chairman of our board of directors since our incorporation in September 2016. Since June 2011, Dr. Davis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at Versant Venture Management, LLC, a healthcare investment firm, where he has held the position of managing director since 2015. He has played a critical role in Versant’s company creation strategies and has served on the boards of directors of many public and private biotech companies including BlueRock Therapeutics, Turnstone Biologics, Chinook Therapeutics, Inception 5 and Northern Biologics. Prior to joining Versant, Dr. Davis was an associate principal at McKinsey &amp; Company in various healthcare markets including the United States, Canada, Europe and China. He received a B.S. in mathematics and biology from Pepperdine University and a Ph.D. in population genetics from Stanford University. Our board of directors believes that Dr. Davis’s broad and extensive experience in the life sciences industry as both an investor of and launching numerous life sciences companies qualifies him to serve on our board of directors.</w:t>
      </w:r>
    </w:p>
    <w:p>
      <w:pPr>
        <w:spacing w:after="0" w:line="19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i w:val="1"/>
          <w:iCs w:val="1"/>
          <w:color w:val="auto"/>
        </w:rPr>
        <w:t xml:space="preserve">David Bonita, M.D. </w:t>
      </w:r>
      <w:r>
        <w:rPr>
          <w:rFonts w:ascii="Arial" w:cs="Arial" w:eastAsia="Arial" w:hAnsi="Arial"/>
          <w:sz w:val="17"/>
          <w:szCs w:val="17"/>
          <w:color w:val="auto"/>
        </w:rPr>
        <w:t>has served as a member of our board of directors since September 2019. Dr. Bonita is a member of OrbiMed Advisors LLC, 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firm, where he has held various positions since joining in June 2004. He currently serves on the boards of directors of Tricida, Inc. and Imara Inc. Dr. Bonita previously served on the boards of directors of several other public and private companies, including Ambit Biosciences Corporation, Clementia Pharmaceuticals Inc., Loxo Oncology, Inc., SI-BONE, Inc. and ViewRay Inc. Prior to joining OrbiMed, he worked as a corporate finance analyst in the healthcare investment banking groups of Morgan Stanley and UBS. Dr. Bonita has published scientific articles in peer-reviewed journals based on signal transduction research performed at Harvard Medical School. He received his B.A. in biology from Harvard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University and his joint M.D./M.B.A. from Columbia University. Our board of directors believes that Dr. Bonita’s extensive investment experience in the healthcare industry and his experience on the boards of directors of several public and private companies qualify him to serve on our board of directors.</w:t>
      </w:r>
    </w:p>
    <w:p>
      <w:pPr>
        <w:spacing w:after="0" w:line="124"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i w:val="1"/>
          <w:iCs w:val="1"/>
          <w:color w:val="auto"/>
        </w:rPr>
        <w:t xml:space="preserve">Todd Foley </w:t>
      </w:r>
      <w:r>
        <w:rPr>
          <w:rFonts w:ascii="Arial" w:cs="Arial" w:eastAsia="Arial" w:hAnsi="Arial"/>
          <w:sz w:val="17"/>
          <w:szCs w:val="17"/>
          <w:color w:val="auto"/>
        </w:rPr>
        <w:t>has served as a member of our board of directors since June 2017. Since 1999, Mr. Foley has worked at MPM Capital LLC, a healthcare-focused venture capital firm, where he currently serves as a Managing Director focusing on investments in biotech companies. He currently serves on the board of directors of Chiasma, Inc. and Rhythm Pharmaceuticals, Inc. and also serves as on the boards of directors of several other privately-held life sciences and pharmaceutical companies. Mr. Foley received a B.S. in chemistry from the Massachusetts Institute of Technology and an M.B.A from Harvard Business School. Our board of directors believes that Mr. Foley’s financial expertise and experience as both an investor of and a member of the board of directors of numerous life sciences companies qualify him to serve on our board of directors.</w:t>
      </w:r>
    </w:p>
    <w:p>
      <w:pPr>
        <w:spacing w:after="0" w:line="178" w:lineRule="exact"/>
        <w:rPr>
          <w:sz w:val="20"/>
          <w:szCs w:val="20"/>
          <w:color w:val="auto"/>
        </w:rPr>
      </w:pPr>
    </w:p>
    <w:p>
      <w:pPr>
        <w:ind w:right="340" w:firstLine="449"/>
        <w:spacing w:after="0" w:line="291" w:lineRule="auto"/>
        <w:rPr>
          <w:sz w:val="20"/>
          <w:szCs w:val="20"/>
          <w:color w:val="auto"/>
        </w:rPr>
      </w:pPr>
      <w:r>
        <w:rPr>
          <w:rFonts w:ascii="Arial" w:cs="Arial" w:eastAsia="Arial" w:hAnsi="Arial"/>
          <w:sz w:val="16"/>
          <w:szCs w:val="16"/>
          <w:i w:val="1"/>
          <w:iCs w:val="1"/>
          <w:color w:val="auto"/>
        </w:rPr>
        <w:t xml:space="preserve">Samarth Kulkarni, Ph.D. </w:t>
      </w:r>
      <w:r>
        <w:rPr>
          <w:rFonts w:ascii="Arial" w:cs="Arial" w:eastAsia="Arial" w:hAnsi="Arial"/>
          <w:sz w:val="16"/>
          <w:szCs w:val="16"/>
          <w:color w:val="auto"/>
        </w:rPr>
        <w:t>has served as a member of our board of directors since November 2019. Dr. Kulkarni is the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CRISPR Therapeutics AG, a position he has held since 2017. He initially joined CRISPR in August 2015 as Chief Business Officer, and then served as CRISPR’s President and Chief Business Officer from May 2017 to November 2017. Prior to joining CRISPR, Dr. Kulkarni was a partner within the pharmaceuticals and biotechnology practice at McKinsey &amp; Company, a global consulting firm, where he held various positions of increasing responsibility after joining in 2006. He also serves on the board of directors of Black Diamond Therapeutics, Inc. Dr. Kulkarni received a Ph.D. in bioengineering and nanotechnology from the University of Washington and a B. Tech. from the Indian Institute of Technology. Our board of directors believes that Dr. Kulkarni’s extensive management and industry experience qualify him to serve on our board of directors.</w:t>
      </w:r>
    </w:p>
    <w:p>
      <w:pPr>
        <w:spacing w:after="0" w:line="166"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i w:val="1"/>
          <w:iCs w:val="1"/>
          <w:color w:val="auto"/>
        </w:rPr>
        <w:t xml:space="preserve">Briggs Morrison, M.D. </w:t>
      </w:r>
      <w:r>
        <w:rPr>
          <w:rFonts w:ascii="Arial" w:cs="Arial" w:eastAsia="Arial" w:hAnsi="Arial"/>
          <w:sz w:val="16"/>
          <w:szCs w:val="16"/>
          <w:color w:val="auto"/>
        </w:rPr>
        <w:t>has served as a member of our board of directors since June 2017. Dr. Morrison currently serves 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Syndax Pharmaceuticals, Inc., a position he has held since June 2015, and as a member of its board of directors since July 2015. Prior to joining Syndax, Dr. Morrison served as Executive Vice President, Global Medicines Development and Chief Medical Officer at AstraZeneca plc from January 2012 to June 2015, leading the company’s global, late-stage development organization and serving as a member of the AstraZeneca senior executive team. From October 2007 to December 2011, Dr. Morrison held a number of positions of increasing responsibility at Pfizer Inc., culminating in his appointment as Head, Medical Affairs, Safety and Regulatory Affairs for Pfizer’s human health business. Dr. Morrison served as chairman of the board of TransCelerate BioPharma Inc. from 2014 to 2015, a member of the executive committee of the Clinical Trials Transformation Initiative sponsored by FDA, and is on the board of the Alliance for Clinical Research Excellence and Safety. In addition to Syndax, Dr. Morrison currently serves on the boards of directors of two other public companies, Arvinas, Inc. and NextCure, Inc. as well as on the boards of directors of several private companies. He is also currently an executive partner at MPM Capital LLC, a healthcare-focused venture capital firm, a position he has held since June 2015. Dr. Morrison received a B.S. in biology from Georgetown University and an M.D. from the University of Connecticut Medical School. He completed residency training in internal medicine at Massachusetts General Hospital and a fellowship in medical oncology at the Dana-Farber Cancer Institute. Our board of directors believes that Dr. Morrison’s extensive executive leadership experience, his medical background and training and his service on the boards of other public and private biopharmaceutical and biotechnology companies qualify him to serve on our board of directors.</w:t>
      </w:r>
    </w:p>
    <w:p>
      <w:pPr>
        <w:spacing w:after="0" w:line="17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i w:val="1"/>
          <w:iCs w:val="1"/>
          <w:color w:val="auto"/>
        </w:rPr>
        <w:t xml:space="preserve">Kevin J. Raidy </w:t>
      </w:r>
      <w:r>
        <w:rPr>
          <w:rFonts w:ascii="Arial" w:cs="Arial" w:eastAsia="Arial" w:hAnsi="Arial"/>
          <w:sz w:val="16"/>
          <w:szCs w:val="16"/>
          <w:color w:val="auto"/>
        </w:rPr>
        <w:t>has served as a member of our board of directors since September 2019. Since November 2017, Mr. Raidy has served as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and Portfolio Manager of Cowen Healthcare Investments. Previously, from 2012 to 2017, he served as Head of Investment Banking at Cowen and Company, and from 2010 to 2012, he served as the co-head of Cowen’s equity capital markets group, which is responsible for the origination and execution of all equity capital-raising transactions. Prior joining Cowen, Mr. Raidy was a managing director at Ramius LLC, where he was portfolio manager for direct investments and convertible bonds, managing a portfolio in excess of $1 billion. Mr. Raidy also was the founder of H4 Capital Management LLC. His sell-side experience includes ten years at Shipley Raidy Capital Partners LP, a boutique investment banking</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459" w:right="3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firm that he co-founded, where he was responsible for sourcing, evaluating and structuring numerous debt and equity financings and also performed M&amp;A advisory services. Mr. Raidy holds a B.S. in economics with a concentration in finance from the Wharton School of the University of Pennsylvania. Our board of directors believes that Mr. Raidy’s extensive financial and investment expertise qualify him to serve on our board of directors. Mr. Raidy resigned from or board of directors on June 18, 2020.</w:t>
      </w:r>
    </w:p>
    <w:p>
      <w:pPr>
        <w:spacing w:after="0" w:line="187"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i w:val="1"/>
          <w:iCs w:val="1"/>
          <w:color w:val="auto"/>
        </w:rPr>
        <w:t xml:space="preserve">Ann D. Rhoads </w:t>
      </w:r>
      <w:r>
        <w:rPr>
          <w:rFonts w:ascii="Arial" w:cs="Arial" w:eastAsia="Arial" w:hAnsi="Arial"/>
          <w:sz w:val="17"/>
          <w:szCs w:val="17"/>
          <w:color w:val="auto"/>
        </w:rPr>
        <w:t>has served as a member of our board of directors since June 10, 2020. Ms. Rhoads most recently served as Chief Financial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Forty Seven, Inc. (acquired by Gilead Sciences, Inc.), a position she held from March 2018 until its sale to Gilead in 2020. Previously, from 2010 to January 2017, Ms. Rhoads was Executive Vice President and Chief Financial Officer of Zogenix, Inc. From 1998 through 2009, Ms. Rhoads was at Premier, Inc., serving as Vice President, Strategic Initiatives from 1998 to 2000 before serving as Chief Financial Officer from 2000 through the 2009. Ms. Rhoads currently serves on the board of directors of Globus Medical Inc. and Evoke Pharma, Inc., and she previously served on the board of directors of Iridex Corporation and Novellus Systems, Inc. Ms. Rhoads holds a B.S. in Finance from the University of Arkansas and an M.B.A. from the Harvard Graduate Business School. Our board of directors believes that Ms. Rhoads’ extensive experience as a chief financial officer of multiple publicly traded biotech and pharmaceutical companies, in addition to her experience as a member of the boards of directors of multiple publicly traded biotech and pharmaceutical companies, qualify her to serve on our board of directors.</w:t>
      </w:r>
    </w:p>
    <w:p>
      <w:pPr>
        <w:spacing w:after="0" w:line="18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i w:val="1"/>
          <w:iCs w:val="1"/>
          <w:color w:val="auto"/>
        </w:rPr>
        <w:t xml:space="preserve">Carol A. Schafer </w:t>
      </w:r>
      <w:r>
        <w:rPr>
          <w:rFonts w:ascii="Arial" w:cs="Arial" w:eastAsia="Arial" w:hAnsi="Arial"/>
          <w:sz w:val="17"/>
          <w:szCs w:val="17"/>
          <w:color w:val="auto"/>
        </w:rPr>
        <w:t>has served as a member of our board of directors since March 2019. Ms. Schafer is currently a consultant in the biotech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more than 25 years of experience in investment banking, equity capital markets, corporate finance and business development in the biopharmaceutical sector. From April 2007 to September 2018, she held various positions of increasing responsibility at Wells Fargo Securities, most recently serving as Vice Chair, Equity Capital Markets. From December 2003 to February 2007, Ms. Schafer served as Vice President of Finance and Business Development at Lexicon Pharmaceuticals. Prior to that, Ms. Schafer worked at J.P. Morgan, where she held positions of increasing responsibility, most recently serving as a managing director in equity capital markets. Ms. Schafer currently serves on the boards of directors of Idera Pharmaceuticals, Inc., Five Prime Therapeutics, Inc. and Insmed Incorporated. Ms. Schafer received a B.A. from Boston College and an M.B.A from New York University. Our board of directors believes that Ms. Schafer’s extensive financial background and experience providing investment banking, equity capital markets and strategic support to companies within the healthcare sector qualify her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board of directors is currently composed of eight members. All of our directors currently serve on the board of directors pursuant to the provisions of our second amended and restated unanimous shareholders’ agreement, or the shareholders’ agreement, dated September 3, 2019, between us and all of our shareholders. The shareholders’ agreement will terminate upon the closing of this offering, after which there will be no further contractual obligations regarding the election of our directors.</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Our board of directors will be divided into three classes, Class I, Class II and Class III, with members of each class serving staggered terms. Effective upon the closing of this offering, our board of directors will be divided into the following classes:</w:t>
      </w:r>
    </w:p>
    <w:p>
      <w:pPr>
        <w:spacing w:after="0" w:line="76" w:lineRule="exact"/>
        <w:rPr>
          <w:sz w:val="20"/>
          <w:szCs w:val="20"/>
          <w:color w:val="auto"/>
        </w:rPr>
      </w:pPr>
    </w:p>
    <w:p>
      <w:pPr>
        <w:ind w:left="1000" w:right="58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Class I, which will consist of Dr. Davis, Mr. Foley and Ms. Rhoads, whose terms will expire at the close of our first annual meeting of shareholders to be held after the closing of this offering;</w:t>
      </w:r>
    </w:p>
    <w:p>
      <w:pPr>
        <w:spacing w:after="0" w:line="75"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Class II, which will consist of Dr. Bonita and Ms. Schafer, whose terms will expire at our second annual meeting of shareholders to be held after the closing of this offering; and</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Class III, which will consist of Dr. Kulkarni, Dr. Morrison and Mr. Segal, whose terms will expire at our third annual meeting of shareholders to be held after the closing of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59"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articles of continuance that will become effective immediately prior to the closing of this offering will provide that our board of directors is to consist of a minimum of three and a maximum of fifteen directors as determined from time to time by the directors. Under the QBCA, between annual general meetings of our shareholders, the directors may appoint one or more additional directors, but the number of additional directors may not at any time exceed one third of the number of directors elected at the previous annual meeting of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Under listing rules of the Nasdaq Stock Market LLC, or the Nasdaq Listing Rules, independent directors must comprise a majority of our board of directors within one year of listing as a public company.</w:t>
      </w:r>
    </w:p>
    <w:p>
      <w:pPr>
        <w:spacing w:after="0" w:line="170"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all of our directors except Mr. Segal, representing seven of our eight directors to hold office upon the closing of this offering, do not have any relationships that would interfere with the exercise of independent judgment in carrying out the responsibilities of a director and that each of these directors is “independent” as that term is defined under the applicable rules and regulations of the SEC and the Nasdaq Listing Rules.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 capital by each non-employee director.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Our board of directors has established an audit committee and a compensation committee, each of which was reconstituted. We also established a nominating and corporate governance committee. The composition and functions of each committee are described below. Members serve on these committees until their resignation or until otherwise determined by our board of directors.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Our audit committee consists of Mr. Foley, Ms. Rhoads and Ms. Schafer. The chair of our audit committee is Ms. Rhoads. Our board of directors has determined that all members are independent under the Nasdaq Listing Rules and Rule 10A-3(b)(1) of the Securities Exchange Act of 1934, as amended, or the Exchange Act. Our board of directors has determined that each member of our audit committee meets the financial literacy requirements as set forth in the Nasdaq Listing Rules. Our board of directors has also determined that each of Ms. Rhoads and Ms. Schafer is an “audit committee financial expert” as such term is currently defined in Item 407(d)(5) of Regulations S-K. In arriving at these determinations, the board of directors has examined each audit committee member’s scope of experience and the nature of their employment in the corporate finance sector.</w:t>
      </w:r>
    </w:p>
    <w:p>
      <w:pPr>
        <w:spacing w:after="0" w:line="4"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audit committee is responsible for assisting our board of directors in its oversight of the integrity of our consolidated financial statements, the qualifications and independence of our independent auditors and our internal financial and accounting controls. The principal duties and responsibilities of our audit committee include, among other things:</w:t>
      </w:r>
    </w:p>
    <w:p>
      <w:pPr>
        <w:spacing w:after="0" w:line="95" w:lineRule="exact"/>
        <w:rPr>
          <w:sz w:val="20"/>
          <w:szCs w:val="20"/>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immediately prior to the closing of this offering, which satisfies the applicable rules and regulations of the SEC and the Nasdaq Listing Rules.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Our compensation committee consists of Dr. Bonita, Dr. Kulkarni and Dr. Morrison. The chair of our compensation committee is Dr. Morrison. Our board of directors has determined that all members are independent under the Nasdaq Listing Rules and are “non-employee directors” as defined in Rule 16b-3 promulgated under the Exchange Act.</w:t>
      </w:r>
    </w:p>
    <w:p>
      <w:pPr>
        <w:spacing w:after="0" w:line="18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compensation committee oversees the compensation objectives for the company and the compensation of the chief executive officer and other executives. The principal duties and responsibilities of our compensation committee include, among other things:</w:t>
      </w:r>
    </w:p>
    <w:p>
      <w:pPr>
        <w:spacing w:after="0" w:line="76" w:lineRule="exact"/>
        <w:rPr>
          <w:sz w:val="20"/>
          <w:szCs w:val="20"/>
          <w:color w:val="auto"/>
        </w:rPr>
      </w:pPr>
    </w:p>
    <w:p>
      <w:pPr>
        <w:ind w:left="1000" w:right="18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executive officers, including evaluating the performance of our chief executive officer and, with his assistance, that of our other executive officers;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459"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administering our equity and non-equity incentive plans;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and</w:t>
      </w:r>
    </w:p>
    <w:p>
      <w:pPr>
        <w:spacing w:after="0" w:line="130"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immediately prior to the closing of this offering, which satisfies the applicable rules and regulations of the SEC and Nasdaq Listing Rules.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nominating and corporate governance committee consists of Dr. Davis, Mr. Foley and Ms. Schafer. The chair of our nominating and corporate governance committee is Ms. Schafer. Each member of the nominating and corporate governance committee is a non-employee director within the meaning of Rule 16b-3 of the rules promulgated under the Exchange Act, an independent director as defined by the Nasdaq Listing Rules and is free from any relationship that would interfere with the exercise of his or her independent judgment, as determined by the board of directors in accordance with the applicable Nasdaq Listing Rules.</w:t>
      </w:r>
    </w:p>
    <w:p>
      <w:pPr>
        <w:spacing w:after="0" w:line="188" w:lineRule="exact"/>
        <w:rPr>
          <w:sz w:val="20"/>
          <w:szCs w:val="20"/>
          <w:color w:val="auto"/>
        </w:rPr>
      </w:pPr>
    </w:p>
    <w:p>
      <w:pPr>
        <w:ind w:right="420" w:firstLine="449"/>
        <w:spacing w:after="0" w:line="342" w:lineRule="auto"/>
        <w:rPr>
          <w:sz w:val="20"/>
          <w:szCs w:val="20"/>
          <w:color w:val="auto"/>
        </w:rPr>
      </w:pPr>
      <w:r>
        <w:rPr>
          <w:rFonts w:ascii="Arial" w:cs="Arial" w:eastAsia="Arial" w:hAnsi="Arial"/>
          <w:sz w:val="16"/>
          <w:szCs w:val="16"/>
          <w:color w:val="auto"/>
        </w:rPr>
        <w:t>The nominating and corporate governance committee oversees our corporate governance policies and evaluates the composition of our board of directors and candidates for director. The nominating and corporate governance committee’s responsibilities include, among other things:</w:t>
      </w:r>
    </w:p>
    <w:p>
      <w:pPr>
        <w:spacing w:after="0" w:line="29" w:lineRule="exact"/>
        <w:rPr>
          <w:sz w:val="20"/>
          <w:szCs w:val="20"/>
          <w:color w:val="auto"/>
        </w:rPr>
      </w:pPr>
    </w:p>
    <w:p>
      <w:pPr>
        <w:ind w:left="1000" w:right="240" w:hanging="547"/>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of directors approve, nominees for election to our board of directors and its committees;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overseeing an annual evaluation of the board’s performance.</w:t>
      </w:r>
    </w:p>
    <w:p>
      <w:pPr>
        <w:spacing w:after="0" w:line="225"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Our nominating and governance committee will operate under a written charter, to be effective immediately prior to the closing of this offering, which satisfies the applicable rules and regulations of the SEC and the Nasdaq Listing Rules.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 xml:space="preserve">In connection with this offering, we have adopted a Code of Business Conduct and Ethics, or the Code of Ethics, applicable to all of our employees, executive officers and directors. The Code of Ethics is available on our website at </w:t>
      </w:r>
      <w:r>
        <w:rPr>
          <w:rFonts w:ascii="Arial" w:cs="Arial" w:eastAsia="Arial" w:hAnsi="Arial"/>
          <w:sz w:val="16"/>
          <w:szCs w:val="16"/>
          <w:i w:val="1"/>
          <w:iCs w:val="1"/>
          <w:color w:val="auto"/>
        </w:rPr>
        <w:t>www.reparerx.com</w:t>
      </w:r>
      <w:r>
        <w:rPr>
          <w:rFonts w:ascii="Arial" w:cs="Arial" w:eastAsia="Arial" w:hAnsi="Arial"/>
          <w:sz w:val="16"/>
          <w:szCs w:val="16"/>
          <w:color w:val="auto"/>
        </w:rPr>
        <w:t>. The nominating and corporate governance committee will be responsible for overseeing the Code of Ethics and must approve any waivers of the Code of Ethics for our employees, executive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459" w:right="3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officers and directors. We expect that any amendments to the Code of Ethics, or any waivers of its requirements, will be disclosed on our website.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in, or accessible through, our website does not constitute a part of, and is not incorporated into, this prospectus.</w:t>
      </w:r>
    </w:p>
    <w:p>
      <w:pPr>
        <w:spacing w:after="0" w:line="211" w:lineRule="exact"/>
        <w:rPr>
          <w:sz w:val="20"/>
          <w:szCs w:val="20"/>
          <w:color w:val="auto"/>
        </w:rPr>
      </w:pPr>
    </w:p>
    <w:p>
      <w:pPr>
        <w:ind w:right="180" w:firstLine="449"/>
        <w:spacing w:after="0" w:line="254" w:lineRule="auto"/>
        <w:rPr>
          <w:sz w:val="20"/>
          <w:szCs w:val="20"/>
          <w:color w:val="auto"/>
        </w:rPr>
      </w:pPr>
      <w:r>
        <w:rPr>
          <w:rFonts w:ascii="Arial" w:cs="Arial" w:eastAsia="Arial" w:hAnsi="Arial"/>
          <w:sz w:val="18"/>
          <w:szCs w:val="18"/>
          <w:color w:val="auto"/>
        </w:rPr>
        <w:t>In accordance with the QBCA, directors and officers must disclose the nature and value of any interest he or she has in a contract or transaction, whether made or proposed (including related negotiations), to which we are a party. Such “interest” means any financial stake in a contract or transaction that may reasonably be considered likely to influence decision-making. Such disclosure is also required for any contract of transaction to which we are a party and (i) an associate of the director or officer; (ii) a group of which the director or officer is a director or officer; or (iii) a group in which the director or officer or an associate of the director or officer has an interest, whether or not such contract or transaction requires approval by our board of directors. Subject to certain limited exceptions under the QBCA, no director may vote on, any resolution to approve, amend or terminate a contract or transaction which is subject to such disclosure requirement.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200" w:firstLine="449"/>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Historically, we have not had a formal compensation policy with respect to service on our board of directors. We have reimbursed and will continue to reimburse our non-employee directors for their reasonable out-of-pocket expenses incurred in attending board and committee meetings, and occasionally granted share options as compensation for service. Our board of directors will adopt a formal director compensation policy for non-employee directors to be effective following the completion of this offering.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In June 2020, following market research and advice from its compensation consultant, our board of directors adopted the non-employee director compensation policy, to be effective immediately upon the closing of this offering.</w:t>
      </w:r>
    </w:p>
    <w:p>
      <w:pPr>
        <w:spacing w:after="0" w:line="170"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Under this policy, we will pay each of our non-employee directors a cash retainer for service on our board of directors and committees of our board of directors. Our non-executive chairperson will also receive an additional cash retainer. These retainers will be payable in arrears in four equal quarterly installments within thirty days after the end of each calendar quarter, provided that the amount of such payment will be prorated for any portion of such quarter that the director is not serving on our board. We will also reimburse our directors for their reasonable out-of-pocket expenses in connection with attending our board and committee meetings.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will be eligible to receive cash compensation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Annual Cash</w:t>
            </w:r>
          </w:p>
        </w:tc>
      </w:tr>
      <w:tr>
        <w:trPr>
          <w:trHeight w:val="171"/>
        </w:trPr>
        <w:tc>
          <w:tcPr>
            <w:tcW w:w="53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 xml:space="preserve">Retainer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Annual retainer</w:t>
            </w:r>
          </w:p>
        </w:tc>
        <w:tc>
          <w:tcPr>
            <w:tcW w:w="50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Additional retainer for non-executive chairperson</w:t>
            </w:r>
          </w:p>
        </w:tc>
        <w:tc>
          <w:tcPr>
            <w:tcW w:w="5940" w:type="dxa"/>
            <w:vAlign w:val="bottom"/>
            <w:gridSpan w:val="3"/>
          </w:tcPr>
          <w:p>
            <w:pPr>
              <w:jc w:val="right"/>
              <w:ind w:right="60"/>
              <w:spacing w:after="0"/>
              <w:rPr>
                <w:sz w:val="20"/>
                <w:szCs w:val="20"/>
                <w:color w:val="auto"/>
              </w:rPr>
            </w:pPr>
            <w:r>
              <w:rPr>
                <w:rFonts w:ascii="Arial" w:cs="Arial" w:eastAsia="Arial" w:hAnsi="Arial"/>
                <w:sz w:val="18"/>
                <w:szCs w:val="18"/>
                <w:color w:val="auto"/>
              </w:rPr>
              <w:t>30,000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audit committee chair</w:t>
            </w:r>
          </w:p>
        </w:tc>
        <w:tc>
          <w:tcPr>
            <w:tcW w:w="5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Additional retainer for audit committee member</w:t>
            </w:r>
          </w:p>
        </w:tc>
        <w:tc>
          <w:tcPr>
            <w:tcW w:w="5940" w:type="dxa"/>
            <w:vAlign w:val="bottom"/>
            <w:gridSpan w:val="3"/>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compensation committee chair</w:t>
            </w:r>
          </w:p>
        </w:tc>
        <w:tc>
          <w:tcPr>
            <w:tcW w:w="5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Additional retainer for compensation committee member</w:t>
            </w:r>
          </w:p>
        </w:tc>
        <w:tc>
          <w:tcPr>
            <w:tcW w:w="5940" w:type="dxa"/>
            <w:vAlign w:val="bottom"/>
            <w:gridSpan w:val="3"/>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9"/>
              </w:rPr>
              <w:t>Additional retainer for nominating and governance committee chair</w:t>
            </w:r>
          </w:p>
        </w:tc>
        <w:tc>
          <w:tcPr>
            <w:tcW w:w="5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w w:val="94"/>
              </w:rPr>
              <w:t>Additional retainer for nominating and governance committee member</w:t>
            </w:r>
          </w:p>
        </w:tc>
        <w:tc>
          <w:tcPr>
            <w:tcW w:w="5940" w:type="dxa"/>
            <w:vAlign w:val="bottom"/>
            <w:gridSpan w:val="3"/>
          </w:tcPr>
          <w:p>
            <w:pPr>
              <w:jc w:val="right"/>
              <w:ind w:right="60"/>
              <w:spacing w:after="0"/>
              <w:rPr>
                <w:sz w:val="20"/>
                <w:szCs w:val="20"/>
                <w:color w:val="auto"/>
              </w:rPr>
            </w:pPr>
            <w:r>
              <w:rPr>
                <w:rFonts w:ascii="Arial" w:cs="Arial" w:eastAsia="Arial" w:hAnsi="Arial"/>
                <w:sz w:val="18"/>
                <w:szCs w:val="18"/>
                <w:color w:val="auto"/>
              </w:rPr>
              <w:t>4,000</w:t>
            </w:r>
          </w:p>
        </w:tc>
      </w:tr>
      <w:tr>
        <w:trPr>
          <w:trHeight w:val="350"/>
        </w:trPr>
        <w:tc>
          <w:tcPr>
            <w:tcW w:w="5300" w:type="dxa"/>
            <w:vAlign w:val="bottom"/>
          </w:tcPr>
          <w:p>
            <w:pPr>
              <w:spacing w:after="0"/>
              <w:rPr>
                <w:sz w:val="24"/>
                <w:szCs w:val="24"/>
                <w:color w:val="auto"/>
              </w:rPr>
            </w:pPr>
          </w:p>
        </w:tc>
        <w:tc>
          <w:tcPr>
            <w:tcW w:w="5080" w:type="dxa"/>
            <w:vAlign w:val="bottom"/>
          </w:tcPr>
          <w:p>
            <w:pPr>
              <w:jc w:val="right"/>
              <w:ind w:right="4530"/>
              <w:spacing w:after="0"/>
              <w:rPr>
                <w:sz w:val="20"/>
                <w:szCs w:val="20"/>
                <w:color w:val="auto"/>
              </w:rPr>
            </w:pPr>
            <w:r>
              <w:rPr>
                <w:rFonts w:ascii="Arial" w:cs="Arial" w:eastAsia="Arial" w:hAnsi="Arial"/>
                <w:sz w:val="18"/>
                <w:szCs w:val="18"/>
                <w:color w:val="auto"/>
              </w:rPr>
              <w:t>157</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 addition to cash compensation, each non-employee director will be eligible to receive options under the 2020 Plan. Each option granted under the policy will be a nonstatutory stock option and will have an exercise price per share equal to the fair market value of a common share on the date of grant. Any options granted under this policy will have a term of ten years from the date of grant, subject to earlier termination in connection with a termination of the eligible director’s continuous service with us. Vesting schedules for equity awards will be subject to the non-employee director’s continuous service on each applicable vesting date.</w:t>
      </w:r>
    </w:p>
    <w:p>
      <w:pPr>
        <w:spacing w:after="0" w:line="188"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Upon the termination of the membership of the non-employee director on the board for any reason, his or her options granted under this policy shall remain exercisable for three months following his or her date of termination (or such longer period as the board may determine in its discretion on or after the date of grant of such options).</w:t>
      </w:r>
    </w:p>
    <w:p>
      <w:pPr>
        <w:spacing w:after="0" w:line="184" w:lineRule="exact"/>
        <w:rPr>
          <w:sz w:val="20"/>
          <w:szCs w:val="20"/>
          <w:color w:val="auto"/>
        </w:rPr>
      </w:pPr>
    </w:p>
    <w:p>
      <w:pPr>
        <w:ind w:right="260" w:firstLine="449"/>
        <w:spacing w:after="0" w:line="286" w:lineRule="auto"/>
        <w:rPr>
          <w:sz w:val="20"/>
          <w:szCs w:val="20"/>
          <w:color w:val="auto"/>
        </w:rPr>
      </w:pPr>
      <w:r>
        <w:rPr>
          <w:rFonts w:ascii="Arial" w:cs="Arial" w:eastAsia="Arial" w:hAnsi="Arial"/>
          <w:sz w:val="17"/>
          <w:szCs w:val="17"/>
          <w:color w:val="auto"/>
        </w:rPr>
        <w:t>Notwithstanding any vesting schedule, for each non-employee director who remains in continuous service with us until immediately prior to the closing of a change in control (as such term is defined in our 2020 Plan), the shares subject to his or her then-outstanding initial or annual equity awards that were granted pursuant to this policy will become fully vested immediately prior to the closing of such change in control.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Award</w:t>
      </w:r>
    </w:p>
    <w:p>
      <w:pPr>
        <w:spacing w:after="0" w:line="117" w:lineRule="exact"/>
        <w:rPr>
          <w:sz w:val="20"/>
          <w:szCs w:val="20"/>
          <w:color w:val="auto"/>
        </w:rPr>
      </w:pPr>
    </w:p>
    <w:p>
      <w:pPr>
        <w:jc w:val="both"/>
        <w:ind w:right="160" w:firstLine="449"/>
        <w:spacing w:after="0" w:line="279" w:lineRule="auto"/>
        <w:rPr>
          <w:sz w:val="20"/>
          <w:szCs w:val="20"/>
          <w:color w:val="auto"/>
        </w:rPr>
      </w:pPr>
      <w:r>
        <w:rPr>
          <w:rFonts w:ascii="Arial" w:cs="Arial" w:eastAsia="Arial" w:hAnsi="Arial"/>
          <w:sz w:val="17"/>
          <w:szCs w:val="17"/>
          <w:color w:val="auto"/>
        </w:rPr>
        <w:t>Each new non-employee director who first joins our board of directors after the date of the execution of the underwriting agreement related to this offering will automatically, upon the date of his or her initial election or appointment to be a non-employee director, be granted an initial, one-time equity award of options to purchase 38,907 common shares, referred to as the initial grant. One-third of each initial grant will vest on the first anniversary of the date of grant, with the remainder vesting in equal monthly installments thereafter until the third anniversary of the date of grant.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Awards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On the date of each annual meeting of our shareholders following the closing of this offering, each non-employee director that continues to serve will automatically be granted either an option to purchase 14,120 common shares, each of which will vest in equal monthly installments over the 12 months following the date of grant, subject to (i) the non-employee director’s continuous service through each applicable vesting date and (ii) that no annual award will be granted to a non-employee director in the same calendar year that such director received his or her initial grant.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320" w:top="459" w:right="3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by our non-employee directors and for their service as a consultant to us, if applicable, during the year ended December 31, 2019. Mr. Segal is also member of our board of directors, but did not receive any additional compensation for his service as a director and therefore is not included in the table below. The compensation for Mr. Segal is set forth under “Executive Compensation—Summary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560" w:type="dxa"/>
            <w:vAlign w:val="bottom"/>
            <w:gridSpan w:val="3"/>
          </w:tcPr>
          <w:p>
            <w:pPr>
              <w:jc w:val="center"/>
              <w:ind w:left="3355"/>
              <w:spacing w:after="0"/>
              <w:rPr>
                <w:sz w:val="20"/>
                <w:szCs w:val="20"/>
                <w:color w:val="auto"/>
              </w:rPr>
            </w:pPr>
            <w:r>
              <w:rPr>
                <w:rFonts w:ascii="Arial" w:cs="Arial" w:eastAsia="Arial" w:hAnsi="Arial"/>
                <w:sz w:val="14"/>
                <w:szCs w:val="14"/>
                <w:b w:val="1"/>
                <w:bCs w:val="1"/>
                <w:color w:val="auto"/>
                <w:w w:val="91"/>
              </w:rPr>
              <w:t>Fees Earned</w:t>
            </w:r>
          </w:p>
        </w:tc>
        <w:tc>
          <w:tcPr>
            <w:tcW w:w="20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or Paid in</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Cash</w:t>
            </w:r>
          </w:p>
        </w:tc>
        <w:tc>
          <w:tcPr>
            <w:tcW w:w="9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3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60" w:type="dxa"/>
            <w:vAlign w:val="bottom"/>
            <w:gridSpan w:val="2"/>
          </w:tcPr>
          <w:p>
            <w:pPr>
              <w:ind w:left="20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(1)(2)</w:t>
            </w: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Bonita</w:t>
            </w:r>
          </w:p>
        </w:tc>
        <w:tc>
          <w:tcPr>
            <w:tcW w:w="3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Jerel Davis</w:t>
            </w:r>
          </w:p>
        </w:tc>
        <w:tc>
          <w:tcPr>
            <w:tcW w:w="36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3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Samarth Kulkarni</w:t>
            </w:r>
          </w:p>
        </w:tc>
        <w:tc>
          <w:tcPr>
            <w:tcW w:w="4560" w:type="dxa"/>
            <w:vAlign w:val="bottom"/>
            <w:gridSpan w:val="3"/>
          </w:tcPr>
          <w:p>
            <w:pPr>
              <w:jc w:val="right"/>
              <w:ind w:right="180"/>
              <w:spacing w:after="0"/>
              <w:rPr>
                <w:sz w:val="20"/>
                <w:szCs w:val="20"/>
                <w:color w:val="auto"/>
              </w:rPr>
            </w:pPr>
            <w:r>
              <w:rPr>
                <w:rFonts w:ascii="Arial" w:cs="Arial" w:eastAsia="Arial" w:hAnsi="Arial"/>
                <w:sz w:val="18"/>
                <w:szCs w:val="18"/>
                <w:color w:val="auto"/>
              </w:rPr>
              <w:t>7,500</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111,800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119,300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w:t>
            </w:r>
          </w:p>
        </w:tc>
        <w:tc>
          <w:tcPr>
            <w:tcW w:w="4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71,200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121,200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Kevin J. Raidy</w:t>
            </w:r>
          </w:p>
        </w:tc>
        <w:tc>
          <w:tcPr>
            <w:tcW w:w="36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4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88,800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80" w:hanging="452"/>
        <w:spacing w:after="0" w:line="286"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accordance with SEC rules, this column reflects the aggregate grant date fair value of the option awards granted during fiscal year 2019 computed in accordance with ASC 718. Assumptions used in the calculation of these amounts are included in the notes to our audited consolidated financial statements included elsewhere in this prospectus. These amounts do not reflect the actual economic value that will be realized by our non-employee directors upon the vesting of the share options, the exercise of the share options or the sale of the common shares underlying such share options.</w:t>
      </w:r>
    </w:p>
    <w:p>
      <w:pPr>
        <w:spacing w:after="0" w:line="1" w:lineRule="exact"/>
        <w:rPr>
          <w:rFonts w:ascii="Arial" w:cs="Arial" w:eastAsia="Arial" w:hAnsi="Arial"/>
          <w:sz w:val="16"/>
          <w:szCs w:val="16"/>
          <w:color w:val="auto"/>
        </w:rPr>
      </w:pPr>
    </w:p>
    <w:p>
      <w:pPr>
        <w:ind w:left="460" w:right="220" w:hanging="452"/>
        <w:spacing w:after="0" w:line="260"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following table provides information regarding the number of common shares underlying share options granted to our non-employee directors that were outstanding as of December 31, 2019:</w:t>
      </w:r>
    </w:p>
    <w:p>
      <w:pPr>
        <w:spacing w:after="0" w:line="19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Option Awards</w:t>
            </w:r>
          </w:p>
        </w:tc>
      </w:tr>
      <w:tr>
        <w:trPr>
          <w:trHeight w:val="149"/>
        </w:trPr>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Outstanding at</w:t>
            </w:r>
          </w:p>
        </w:tc>
      </w:t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Name</w:t>
            </w:r>
          </w:p>
        </w:tc>
        <w:tc>
          <w:tcPr>
            <w:tcW w:w="70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Year-End</w:t>
            </w:r>
          </w:p>
        </w:tc>
        <w:tc>
          <w:tcPr>
            <w:tcW w:w="60" w:type="dxa"/>
            <w:vAlign w:val="bottom"/>
          </w:tcPr>
          <w:p>
            <w:pPr>
              <w:spacing w:after="0"/>
              <w:rPr>
                <w:sz w:val="14"/>
                <w:szCs w:val="14"/>
                <w:color w:val="auto"/>
              </w:rPr>
            </w:pPr>
          </w:p>
        </w:tc>
      </w:tr>
      <w:tr>
        <w:trPr>
          <w:trHeight w:val="210"/>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Bonita</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Jerel Davis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Samarth Kulkarni</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70,933</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90,728</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Kevin J. Raidy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70,933</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 to A Director Upon the Completion of this Offering</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On June 10, 2020, our board of directors approved a grant of 38,907 options to Ms. Rhoads in connection with her appointment to our board of directors. The award was granted upon the execution of the underwriting agreement for this offering, with an exercise price of $20.00 per share, and under the 2020 Plan. One-third of the options will vest on the first anniversary of the date of grant, with the remainder vesting in equal monthly installments thereafter until the third anniversary of the date of grant.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Overview</w:t>
      </w:r>
    </w:p>
    <w:p>
      <w:pPr>
        <w:spacing w:after="0" w:line="12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following table shows the total compensation awarded to, earned by, or paid to during the year ended December 31, 2019 to (1) our principal executive officer, (2) our two next most highly compensated executive officers who earned more than $100,000 during the fiscal year ended December 31, 2019 and were serving as executive officers as of such date, and (3) any individual who would otherwise be included in (2) above but for the fact that such individual was not serving as an executive officer of ours as of December 31, 2019. We refer to these individuals in this prospectus as our named executive officers.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2019 who appear in the Summary Compensation Table are:</w:t>
      </w:r>
    </w:p>
    <w:p>
      <w:pPr>
        <w:spacing w:after="0" w:line="131" w:lineRule="exact"/>
        <w:rPr>
          <w:sz w:val="20"/>
          <w:szCs w:val="20"/>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Lloyd M. Segal, our President and Chief Executive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Michael Zinda, Ph.D., our Executive Vice President, Chief Scientific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Maria Koehler, M.D., Ph.D., our Executive Vice President, Chief Medical Officer;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Katina Dorton, our former Executive Vice President, 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400" w:type="dxa"/>
            <w:vAlign w:val="bottom"/>
            <w:gridSpan w:val="2"/>
            <w:vMerge w:val="restart"/>
          </w:tcPr>
          <w:p>
            <w:pPr>
              <w:jc w:val="center"/>
              <w:ind w:right="424"/>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06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340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0" w:type="dxa"/>
            <w:vAlign w:val="bottom"/>
            <w:gridSpan w:val="2"/>
          </w:tcPr>
          <w:p>
            <w:pPr>
              <w:jc w:val="center"/>
              <w:ind w:right="444"/>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jc w:val="right"/>
              <w:ind w:right="76"/>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2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780" w:type="dxa"/>
            <w:vAlign w:val="bottom"/>
          </w:tcPr>
          <w:p>
            <w:pPr>
              <w:jc w:val="right"/>
              <w:ind w:right="21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Lloyd M. Segal </w:t>
            </w:r>
            <w:r>
              <w:rPr>
                <w:rFonts w:ascii="Arial" w:cs="Arial" w:eastAsia="Arial" w:hAnsi="Arial"/>
                <w:sz w:val="15"/>
                <w:szCs w:val="15"/>
                <w:color w:val="auto"/>
              </w:rPr>
              <w:t>(4)</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430,000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1,031,000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122,550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1,362</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(5)</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1,584,912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Zinda, Ph.D. </w:t>
            </w:r>
            <w:r>
              <w:rPr>
                <w:rFonts w:ascii="Arial" w:cs="Arial" w:eastAsia="Arial" w:hAnsi="Arial"/>
                <w:sz w:val="15"/>
                <w:szCs w:val="15"/>
                <w:color w:val="auto"/>
              </w:rPr>
              <w:t>(6)</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324,077</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403,200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w:t>
            </w:r>
          </w:p>
        </w:tc>
        <w:tc>
          <w:tcPr>
            <w:tcW w:w="14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34,355</w:t>
            </w:r>
            <w:r>
              <w:rPr>
                <w:rFonts w:ascii="Arial" w:cs="Arial" w:eastAsia="Arial" w:hAnsi="Arial"/>
                <w:sz w:val="15"/>
                <w:szCs w:val="15"/>
                <w:color w:val="auto"/>
              </w:rPr>
              <w:t>(7)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831,632</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Vice President, Chief Scientific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Maria Koehler, M.D., Ph.D. </w:t>
            </w:r>
            <w:r>
              <w:rPr>
                <w:rFonts w:ascii="Arial" w:cs="Arial" w:eastAsia="Arial" w:hAnsi="Arial"/>
                <w:sz w:val="15"/>
                <w:szCs w:val="15"/>
                <w:color w:val="auto"/>
              </w:rPr>
              <w:t>(8)</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272,596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363,500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76,146</w:t>
            </w:r>
          </w:p>
        </w:tc>
        <w:tc>
          <w:tcPr>
            <w:tcW w:w="14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15,466</w:t>
            </w:r>
            <w:r>
              <w:rPr>
                <w:rFonts w:ascii="Arial" w:cs="Arial" w:eastAsia="Arial" w:hAnsi="Arial"/>
                <w:sz w:val="15"/>
                <w:szCs w:val="15"/>
                <w:color w:val="auto"/>
              </w:rPr>
              <w:t>(9)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727,708</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Vice President, Chief Medical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(10)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175,000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388,452</w:t>
            </w:r>
            <w:r>
              <w:rPr>
                <w:rFonts w:ascii="Arial" w:cs="Arial" w:eastAsia="Arial" w:hAnsi="Arial"/>
                <w:sz w:val="15"/>
                <w:szCs w:val="15"/>
                <w:color w:val="auto"/>
              </w:rPr>
              <w:t>(11)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779,452</w:t>
            </w:r>
          </w:p>
        </w:tc>
        <w:tc>
          <w:tcPr>
            <w:tcW w:w="0" w:type="dxa"/>
            <w:vAlign w:val="bottom"/>
          </w:tcPr>
          <w:p>
            <w:pPr>
              <w:spacing w:after="0"/>
              <w:rPr>
                <w:sz w:val="1"/>
                <w:szCs w:val="1"/>
                <w:color w:val="auto"/>
              </w:rPr>
            </w:pPr>
          </w:p>
        </w:tc>
      </w:tr>
      <w:tr>
        <w:trPr>
          <w:trHeight w:val="230"/>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Former Executive Vice President, Chief Financial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78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Salary amounts represent actual amounts paid during 2019. See “—Narrative to the Summary Compensation Table—Annual Base Salary” below.</w:t>
      </w:r>
    </w:p>
    <w:p>
      <w:pPr>
        <w:spacing w:after="0" w:line="153" w:lineRule="exact"/>
        <w:rPr>
          <w:rFonts w:ascii="Arial" w:cs="Arial" w:eastAsia="Arial" w:hAnsi="Arial"/>
          <w:sz w:val="16"/>
          <w:szCs w:val="16"/>
          <w:color w:val="auto"/>
        </w:rPr>
      </w:pPr>
    </w:p>
    <w:p>
      <w:pPr>
        <w:ind w:left="460" w:right="80" w:hanging="452"/>
        <w:spacing w:after="0" w:line="25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accordance with SEC rules, this column reflects the aggregate grant date fair value of the option awards granted during fiscal year 2019 computed in accordance with ASC 718 for share-based compensation transactions. Assumptions used in the calculation of these amounts are included in Note 11 to our audited consolidated financial statements included elsewhere in this prospectus. These amounts do not reflect the actual economic value that will be realized by the named executive officer upon the vesting of the share options, the exercise of the share options or the sale of the common shares underlying such share options.</w:t>
      </w:r>
    </w:p>
    <w:p>
      <w:pPr>
        <w:spacing w:after="0" w:line="93"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Reflects performance-based cash bonuses awarded to our named executive officers. See “—Non-Equity Incentive Plan Compensation” below for a description of the material terms of the program pursuant to which this compensation was awarded.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Mr. Segal also serves as a member of our board of directors but does not receive any additional compensation for his service as a director.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life insurance premiums in the amount of $51 paid by us on behalf of Mr. Segal.</w:t>
      </w:r>
    </w:p>
    <w:p>
      <w:pPr>
        <w:spacing w:after="0" w:line="130"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Dr. Zinda was appointed as our Executive Vice President, Chief Scientific Officer in May 2019. His salary was increased from $285,000 to $325,000 in connection with his promotion.</w:t>
      </w:r>
    </w:p>
    <w:p>
      <w:pPr>
        <w:spacing w:after="0" w:line="75" w:lineRule="exact"/>
        <w:rPr>
          <w:rFonts w:ascii="Arial" w:cs="Arial" w:eastAsia="Arial" w:hAnsi="Arial"/>
          <w:sz w:val="18"/>
          <w:szCs w:val="18"/>
          <w:color w:val="auto"/>
        </w:rPr>
      </w:pPr>
    </w:p>
    <w:p>
      <w:pPr>
        <w:ind w:left="460" w:right="660" w:hanging="452"/>
        <w:spacing w:after="0" w:line="27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(i) contributions to a retirement account in the amount of $24,375 and (ii) reimbursements paid with respect to medical insurance premiums for Dr. Zinda in the aggregate amount of $9,980.</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Dr. Koehler commenced employment with us on May 1, 2019.</w:t>
      </w:r>
    </w:p>
    <w:p>
      <w:pPr>
        <w:spacing w:after="0" w:line="130"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(i) a travel allowance in the amount of $12,800 and (ii) the employee portion of Dr. Koehler’s medical and dental insurance premiums that we pay on her behalf in the amount of $2,666.</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Ms. Dorton commenced employment with us on April 15, 2019. Ms. Dorton’s employment was terminated effective October 10, 2019.</w:t>
      </w:r>
    </w:p>
    <w:p>
      <w:pPr>
        <w:spacing w:after="0" w:line="130" w:lineRule="exact"/>
        <w:rPr>
          <w:rFonts w:ascii="Arial" w:cs="Arial" w:eastAsia="Arial" w:hAnsi="Arial"/>
          <w:sz w:val="18"/>
          <w:szCs w:val="18"/>
          <w:color w:val="auto"/>
        </w:rPr>
      </w:pPr>
    </w:p>
    <w:p>
      <w:pPr>
        <w:ind w:left="460" w:right="560" w:hanging="452"/>
        <w:spacing w:after="0" w:line="259"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(i) a housing allowance in the amount of $26,000, (ii) severance payments totaling $345,375 (of which $86,344 was paid as of December 31, 2019 and the remainder will be paid in equal monthly payments through June 2020, pursuant to the terms of her separation agreement), (iii) consulting fees in the amount of $9,000 pursuant to the terms of her severance agreement and (iv) a cash payment for unused accrued vacation through her separation date in the amount of $8,077.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121"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board of directors reviews compensation annually for all employees, including our named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shareholders and a long-term commitment to our company.</w:t>
      </w:r>
    </w:p>
    <w:p>
      <w:pPr>
        <w:spacing w:after="0" w:line="17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board of directors has historically determined the compensation of our executives, upon recommendation of the compensation committee. The compensation committee has reviewed and recommended to the board for approval the compensation and other terms of employment of our chief executive officer, and evaluates the chief executive officer’s performance in light of relevant corporate goals and objectives. Our chief executive officer has typically discussed his recommendations for all other executives (other than himself) with the compensation committee and the board. Based on those discussions and its discretion, the compensation committee has recommended the compensation of each executive officer to the board, and the board of directors has then approved.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17"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The annual base salaries of our named executive officers are generally determined, approved and reviewed periodically by our compensation committee in order to compensate our named executive officers for the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annual base salaries for each of our named executive officers for 2019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Arial" w:cs="Arial" w:eastAsia="Arial" w:hAnsi="Arial"/>
                <w:sz w:val="16"/>
                <w:szCs w:val="16"/>
                <w:b w:val="1"/>
                <w:bCs w:val="1"/>
                <w:color w:val="auto"/>
                <w:w w:val="91"/>
              </w:rPr>
              <w:t>Name</w:t>
            </w:r>
          </w:p>
        </w:tc>
        <w:tc>
          <w:tcPr>
            <w:tcW w:w="8620" w:type="dxa"/>
            <w:vAlign w:val="bottom"/>
            <w:vMerge w:val="restart"/>
          </w:tcPr>
          <w:p>
            <w:pPr>
              <w:spacing w:after="0"/>
              <w:rPr>
                <w:sz w:val="17"/>
                <w:szCs w:val="17"/>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88"/>
              </w:rPr>
              <w:t>Base Salary</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8"/>
              </w:rPr>
              <w:t>Base Salary</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vMerge w:val="continue"/>
          </w:tcPr>
          <w:p>
            <w:pPr>
              <w:spacing w:after="0"/>
              <w:rPr>
                <w:sz w:val="19"/>
                <w:szCs w:val="19"/>
                <w:color w:val="auto"/>
              </w:rPr>
            </w:pPr>
          </w:p>
        </w:tc>
        <w:tc>
          <w:tcPr>
            <w:tcW w:w="8620" w:type="dxa"/>
            <w:vAlign w:val="bottom"/>
            <w:vMerge w:val="continue"/>
          </w:tcPr>
          <w:p>
            <w:pPr>
              <w:spacing w:after="0"/>
              <w:rPr>
                <w:sz w:val="19"/>
                <w:szCs w:val="19"/>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Lloyd M. Segal</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430,000</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Michael Zinda, Ph.D</w:t>
            </w:r>
            <w:r>
              <w:rPr>
                <w:rFonts w:ascii="Arial" w:cs="Arial" w:eastAsia="Arial" w:hAnsi="Arial"/>
                <w:sz w:val="15"/>
                <w:szCs w:val="15"/>
                <w:color w:val="auto"/>
              </w:rPr>
              <w:t>(1)</w:t>
            </w: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325,000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Maria Koehler, M.D. Ph.D.</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405,000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410,960</w:t>
            </w: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(2)</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350,000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9" w:lineRule="exact"/>
        <w:rPr>
          <w:sz w:val="20"/>
          <w:szCs w:val="20"/>
          <w:color w:val="auto"/>
        </w:rPr>
      </w:pPr>
    </w:p>
    <w:p>
      <w:pPr>
        <w:ind w:left="460" w:right="60" w:hanging="452"/>
        <w:spacing w:after="0" w:line="277"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Dr. Zinda was appointed as our Executive Vice President, Chief Scientific Officer in May 2019. His salary was increased from $285,000 to $325,000 in connection with his promotion.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Ms. Dorton’s employment was terminated effective October 10,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In accordance with the terms of their respective employment agreements, our named executive officers are eligible to receive discretionary annual bonuses of up to a percentage of each executive’s gross base salary based on individual performance, company performance or as otherwise determined appropriate, as determined by the compensation committee of our board of directors.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9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93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Bonus</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8"/>
              </w:rPr>
              <w:t>Bonus</w:t>
            </w: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Arial" w:cs="Arial" w:eastAsia="Arial" w:hAnsi="Arial"/>
                <w:sz w:val="16"/>
                <w:szCs w:val="16"/>
                <w:b w:val="1"/>
                <w:bCs w:val="1"/>
                <w:color w:val="auto"/>
                <w:w w:val="91"/>
              </w:rPr>
              <w:t>Name</w:t>
            </w:r>
          </w:p>
        </w:tc>
        <w:tc>
          <w:tcPr>
            <w:tcW w:w="9340" w:type="dxa"/>
            <w:vAlign w:val="bottom"/>
            <w:vMerge w:val="restart"/>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Target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Target</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vMerge w:val="continue"/>
          </w:tcPr>
          <w:p>
            <w:pPr>
              <w:spacing w:after="0"/>
              <w:rPr>
                <w:sz w:val="19"/>
                <w:szCs w:val="19"/>
                <w:color w:val="auto"/>
              </w:rPr>
            </w:pPr>
          </w:p>
        </w:tc>
        <w:tc>
          <w:tcPr>
            <w:tcW w:w="934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Lloyd M. Segal</w:t>
            </w:r>
          </w:p>
        </w:tc>
        <w:tc>
          <w:tcPr>
            <w:tcW w:w="4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79"/>
              </w:rPr>
              <w:t>30</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Michael Zinda, Ph.D.</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20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Maria Koehler, M.D., Ph.D.</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9760" w:type="dxa"/>
            <w:vAlign w:val="bottom"/>
            <w:gridSpan w:val="2"/>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(1)</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35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1"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Ms. Dorton’s employment was terminated effective October 10, 2019.</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During fiscal year 2019, Mr. Segal and Drs. Zinda and Koehler earned bonuses as set forth in the 2019 Summary Compensation Table above based on specified company and individual performance metrics which were approved by the board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Our equity-based incentive awards granted to our named executive officers are designed to align our interests and those of our shareholders with those of our employees and consultants, including our executive officers. As of the date of this prospectus, share option awards were the only form of equity awards we have granted to any of our executive officers.</w:t>
      </w:r>
    </w:p>
    <w:p>
      <w:pPr>
        <w:spacing w:after="0" w:line="184" w:lineRule="exact"/>
        <w:rPr>
          <w:sz w:val="20"/>
          <w:szCs w:val="20"/>
          <w:color w:val="auto"/>
        </w:rPr>
      </w:pPr>
    </w:p>
    <w:p>
      <w:pPr>
        <w:ind w:right="360" w:firstLine="449"/>
        <w:spacing w:after="0" w:line="272" w:lineRule="auto"/>
        <w:rPr>
          <w:sz w:val="20"/>
          <w:szCs w:val="20"/>
          <w:color w:val="auto"/>
        </w:rPr>
      </w:pPr>
      <w:r>
        <w:rPr>
          <w:rFonts w:ascii="Arial" w:cs="Arial" w:eastAsia="Arial" w:hAnsi="Arial"/>
          <w:sz w:val="17"/>
          <w:szCs w:val="17"/>
          <w:color w:val="auto"/>
        </w:rPr>
        <w:t>We have historically used share options as an incentive for long-term compensation to our executive officers because the share options allow our executive officers to profit from this form of equity compensation only if our share price increases relative to the share option’s exercise price, which exercise price is set at the fair market value of our common shares on the date of grant. Vesting of equity awards is generally tied to each officer’s continuous service with us and serves as an additional retention measure. We may grant equity awards at such times as our board of directors or compensation committee determines appropriate. Our executives generally are awarded an initial grant in the form of a share option in connection with their commencement of employment with us. Additional grants may occur periodically in order to specifically incentivize executives with respect to achieving certain corporate goals or to reward executives for exceptional performance.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459"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Prior to this offering, we have granted all share options pursuant to our Repare Therapeutics Inc. Amended and Restated Option Plan, or the Existing Plan. Following this offering, we will grant equity incentive awards under the terms of the 2020 Equity Incentive Plan, or the 2020 Plan. The terms of our equity plans are described below under “— Equity Incentive Plans.”</w:t>
      </w:r>
    </w:p>
    <w:p>
      <w:pPr>
        <w:spacing w:after="0" w:line="18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All options are granted with an exercise price per share that is no less than the fair market value of our common shares on the date of grant of such award. Our share option awards generally vest over a four-year period and may be subject to acceleration of vesting and exercisability under certain termination and change in control events. See “— Outstanding Equity Awards at Fiscal Year-End.”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The following table provides certain information regarding the outstanding equity awards granted to our named executive officers that remain outstanding as of December 31, 2019. All awards were granted pursuant to the Existing Plan. See “—Equity Incentive Plans– Existing Plan”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3"/>
                <w:szCs w:val="13"/>
                <w:b w:val="1"/>
                <w:bCs w:val="1"/>
                <w:color w:val="auto"/>
              </w:rPr>
              <w:t xml:space="preserve">Option Awards </w:t>
            </w:r>
            <w:r>
              <w:rPr>
                <w:rFonts w:ascii="Arial" w:cs="Arial" w:eastAsia="Arial" w:hAnsi="Arial"/>
                <w:sz w:val="10"/>
                <w:szCs w:val="10"/>
                <w:b w:val="1"/>
                <w:bCs w:val="1"/>
                <w:color w:val="auto"/>
              </w:rPr>
              <w:t>(1)</w:t>
            </w:r>
          </w:p>
        </w:tc>
        <w:tc>
          <w:tcPr>
            <w:tcW w:w="7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Number of</w:t>
            </w:r>
          </w:p>
        </w:tc>
        <w:tc>
          <w:tcPr>
            <w:tcW w:w="120" w:type="dxa"/>
            <w:vAlign w:val="bottom"/>
          </w:tcPr>
          <w:p>
            <w:pPr>
              <w:spacing w:after="0"/>
              <w:rPr>
                <w:sz w:val="9"/>
                <w:szCs w:val="9"/>
                <w:color w:val="auto"/>
              </w:rPr>
            </w:pPr>
          </w:p>
        </w:tc>
        <w:tc>
          <w:tcPr>
            <w:tcW w:w="1260" w:type="dxa"/>
            <w:vAlign w:val="bottom"/>
            <w:gridSpan w:val="2"/>
          </w:tcPr>
          <w:p>
            <w:pPr>
              <w:jc w:val="center"/>
              <w:ind w:right="331"/>
              <w:spacing w:after="0" w:line="110" w:lineRule="exact"/>
              <w:rPr>
                <w:sz w:val="20"/>
                <w:szCs w:val="20"/>
                <w:color w:val="auto"/>
              </w:rPr>
            </w:pPr>
            <w:r>
              <w:rPr>
                <w:rFonts w:ascii="Arial" w:cs="Arial" w:eastAsia="Arial" w:hAnsi="Arial"/>
                <w:sz w:val="12"/>
                <w:szCs w:val="12"/>
                <w:b w:val="1"/>
                <w:bCs w:val="1"/>
                <w:color w:val="auto"/>
                <w:w w:val="96"/>
              </w:rPr>
              <w:t>Number of</w:t>
            </w: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Securities</w:t>
            </w:r>
          </w:p>
        </w:tc>
        <w:tc>
          <w:tcPr>
            <w:tcW w:w="120" w:type="dxa"/>
            <w:vAlign w:val="bottom"/>
          </w:tcPr>
          <w:p>
            <w:pPr>
              <w:spacing w:after="0"/>
              <w:rPr>
                <w:sz w:val="11"/>
                <w:szCs w:val="11"/>
                <w:color w:val="auto"/>
              </w:rPr>
            </w:pPr>
          </w:p>
        </w:tc>
        <w:tc>
          <w:tcPr>
            <w:tcW w:w="1260" w:type="dxa"/>
            <w:vAlign w:val="bottom"/>
            <w:gridSpan w:val="2"/>
          </w:tcPr>
          <w:p>
            <w:pPr>
              <w:jc w:val="center"/>
              <w:ind w:right="351"/>
              <w:spacing w:after="0" w:line="135" w:lineRule="exact"/>
              <w:rPr>
                <w:sz w:val="20"/>
                <w:szCs w:val="20"/>
                <w:color w:val="auto"/>
              </w:rPr>
            </w:pPr>
            <w:r>
              <w:rPr>
                <w:rFonts w:ascii="Arial" w:cs="Arial" w:eastAsia="Arial" w:hAnsi="Arial"/>
                <w:sz w:val="13"/>
                <w:szCs w:val="13"/>
                <w:b w:val="1"/>
                <w:bCs w:val="1"/>
                <w:color w:val="auto"/>
                <w:w w:val="83"/>
              </w:rPr>
              <w:t>Securities</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20" w:type="dxa"/>
            <w:vAlign w:val="bottom"/>
          </w:tcPr>
          <w:p>
            <w:pPr>
              <w:spacing w:after="0"/>
              <w:rPr>
                <w:sz w:val="11"/>
                <w:szCs w:val="11"/>
                <w:color w:val="auto"/>
              </w:rPr>
            </w:pPr>
          </w:p>
        </w:tc>
        <w:tc>
          <w:tcPr>
            <w:tcW w:w="1260" w:type="dxa"/>
            <w:vAlign w:val="bottom"/>
            <w:gridSpan w:val="2"/>
          </w:tcPr>
          <w:p>
            <w:pPr>
              <w:jc w:val="center"/>
              <w:ind w:right="351"/>
              <w:spacing w:after="0" w:line="135" w:lineRule="exact"/>
              <w:rPr>
                <w:sz w:val="20"/>
                <w:szCs w:val="20"/>
                <w:color w:val="auto"/>
              </w:rPr>
            </w:pPr>
            <w:r>
              <w:rPr>
                <w:rFonts w:ascii="Arial" w:cs="Arial" w:eastAsia="Arial" w:hAnsi="Arial"/>
                <w:sz w:val="13"/>
                <w:szCs w:val="13"/>
                <w:b w:val="1"/>
                <w:bCs w:val="1"/>
                <w:color w:val="auto"/>
                <w:w w:val="88"/>
              </w:rPr>
              <w:t>Underlying</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5"/>
              </w:rPr>
              <w:t>Option</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Vesting</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20" w:type="dxa"/>
            <w:vAlign w:val="bottom"/>
          </w:tcPr>
          <w:p>
            <w:pPr>
              <w:spacing w:after="0"/>
              <w:rPr>
                <w:sz w:val="11"/>
                <w:szCs w:val="11"/>
                <w:color w:val="auto"/>
              </w:rPr>
            </w:pPr>
          </w:p>
        </w:tc>
        <w:tc>
          <w:tcPr>
            <w:tcW w:w="1260" w:type="dxa"/>
            <w:vAlign w:val="bottom"/>
            <w:gridSpan w:val="2"/>
          </w:tcPr>
          <w:p>
            <w:pPr>
              <w:jc w:val="center"/>
              <w:ind w:right="331"/>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2"/>
              </w:rPr>
              <w:t>Exercise</w:t>
            </w:r>
          </w:p>
        </w:tc>
        <w:tc>
          <w:tcPr>
            <w:tcW w:w="8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26"/>
        </w:trPr>
        <w:tc>
          <w:tcPr>
            <w:tcW w:w="5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86"/>
              </w:rPr>
              <w:t>Commencement</w:t>
            </w:r>
          </w:p>
        </w:tc>
        <w:tc>
          <w:tcPr>
            <w:tcW w:w="8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90"/>
              </w:rPr>
              <w:t>Options (#)</w:t>
            </w:r>
          </w:p>
        </w:tc>
        <w:tc>
          <w:tcPr>
            <w:tcW w:w="120" w:type="dxa"/>
            <w:vAlign w:val="bottom"/>
          </w:tcPr>
          <w:p>
            <w:pPr>
              <w:spacing w:after="0"/>
              <w:rPr>
                <w:sz w:val="10"/>
                <w:szCs w:val="10"/>
                <w:color w:val="auto"/>
              </w:rPr>
            </w:pPr>
          </w:p>
        </w:tc>
        <w:tc>
          <w:tcPr>
            <w:tcW w:w="1260" w:type="dxa"/>
            <w:vAlign w:val="bottom"/>
            <w:gridSpan w:val="2"/>
          </w:tcPr>
          <w:p>
            <w:pPr>
              <w:jc w:val="center"/>
              <w:ind w:right="351"/>
              <w:spacing w:after="0" w:line="126" w:lineRule="exact"/>
              <w:rPr>
                <w:sz w:val="20"/>
                <w:szCs w:val="20"/>
                <w:color w:val="auto"/>
              </w:rPr>
            </w:pPr>
            <w:r>
              <w:rPr>
                <w:rFonts w:ascii="Arial" w:cs="Arial" w:eastAsia="Arial" w:hAnsi="Arial"/>
                <w:sz w:val="13"/>
                <w:szCs w:val="13"/>
                <w:b w:val="1"/>
                <w:bCs w:val="1"/>
                <w:color w:val="auto"/>
                <w:w w:val="87"/>
              </w:rPr>
              <w:t>Options (#)</w:t>
            </w:r>
          </w:p>
        </w:tc>
        <w:tc>
          <w:tcPr>
            <w:tcW w:w="720" w:type="dxa"/>
            <w:vAlign w:val="bottom"/>
            <w:gridSpan w:val="2"/>
          </w:tcPr>
          <w:p>
            <w:pPr>
              <w:jc w:val="right"/>
              <w:ind w:right="340"/>
              <w:spacing w:after="0" w:line="126" w:lineRule="exact"/>
              <w:rPr>
                <w:sz w:val="20"/>
                <w:szCs w:val="20"/>
                <w:color w:val="auto"/>
              </w:rPr>
            </w:pPr>
            <w:r>
              <w:rPr>
                <w:rFonts w:ascii="Arial" w:cs="Arial" w:eastAsia="Arial" w:hAnsi="Arial"/>
                <w:sz w:val="13"/>
                <w:szCs w:val="13"/>
                <w:b w:val="1"/>
                <w:bCs w:val="1"/>
                <w:color w:val="auto"/>
              </w:rPr>
              <w:t>Price</w:t>
            </w:r>
          </w:p>
        </w:tc>
        <w:tc>
          <w:tcPr>
            <w:tcW w:w="82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91"/>
              </w:rPr>
              <w:t>Expiration</w:t>
            </w:r>
          </w:p>
        </w:tc>
        <w:tc>
          <w:tcPr>
            <w:tcW w:w="0" w:type="dxa"/>
            <w:vAlign w:val="bottom"/>
          </w:tcPr>
          <w:p>
            <w:pPr>
              <w:spacing w:after="0"/>
              <w:rPr>
                <w:sz w:val="1"/>
                <w:szCs w:val="1"/>
                <w:color w:val="auto"/>
              </w:rPr>
            </w:pPr>
          </w:p>
        </w:tc>
      </w:tr>
      <w:tr>
        <w:trPr>
          <w:trHeight w:val="168"/>
        </w:trPr>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5"/>
              </w:rPr>
              <w:t>Position</w:t>
            </w:r>
          </w:p>
        </w:tc>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Grant Date</w:t>
            </w: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Date</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(Exercisable)</w:t>
            </w:r>
          </w:p>
        </w:tc>
        <w:tc>
          <w:tcPr>
            <w:tcW w:w="1380" w:type="dxa"/>
            <w:vAlign w:val="bottom"/>
            <w:gridSpan w:val="3"/>
          </w:tcPr>
          <w:p>
            <w:pPr>
              <w:jc w:val="center"/>
              <w:ind w:right="231"/>
              <w:spacing w:after="0"/>
              <w:rPr>
                <w:sz w:val="20"/>
                <w:szCs w:val="20"/>
                <w:color w:val="auto"/>
              </w:rPr>
            </w:pPr>
            <w:r>
              <w:rPr>
                <w:rFonts w:ascii="Arial" w:cs="Arial" w:eastAsia="Arial" w:hAnsi="Arial"/>
                <w:sz w:val="13"/>
                <w:szCs w:val="13"/>
                <w:b w:val="1"/>
                <w:bCs w:val="1"/>
                <w:color w:val="auto"/>
                <w:w w:val="86"/>
              </w:rPr>
              <w:t>(Unexercisable)</w:t>
            </w:r>
          </w:p>
        </w:tc>
        <w:tc>
          <w:tcPr>
            <w:tcW w:w="460" w:type="dxa"/>
            <w:vAlign w:val="bottom"/>
          </w:tcPr>
          <w:p>
            <w:pPr>
              <w:jc w:val="right"/>
              <w:ind w:right="2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(2)</w:t>
            </w:r>
          </w:p>
        </w:tc>
        <w:tc>
          <w:tcPr>
            <w:tcW w:w="26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89"/>
        </w:trPr>
        <w:tc>
          <w:tcPr>
            <w:tcW w:w="5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Lloyd M. Segal</w:t>
            </w: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12/1/2017</w:t>
            </w:r>
          </w:p>
        </w:tc>
        <w:tc>
          <w:tcPr>
            <w:tcW w:w="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6/22/2017</w:t>
            </w: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180,427</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108,256</w:t>
            </w:r>
          </w:p>
        </w:tc>
        <w:tc>
          <w:tcPr>
            <w:tcW w:w="420" w:type="dxa"/>
            <w:vAlign w:val="bottom"/>
            <w:tcBorders>
              <w:top w:val="single" w:sz="8" w:color="CCEEFF"/>
            </w:tcBorders>
            <w:shd w:val="clear" w:color="auto" w:fill="CCEEFF"/>
          </w:tcPr>
          <w:p>
            <w:pPr>
              <w:jc w:val="right"/>
              <w:ind w:right="191"/>
              <w:spacing w:after="0" w:line="155" w:lineRule="exact"/>
              <w:rPr>
                <w:sz w:val="20"/>
                <w:szCs w:val="20"/>
                <w:color w:val="auto"/>
              </w:rPr>
            </w:pPr>
            <w:r>
              <w:rPr>
                <w:rFonts w:ascii="Arial" w:cs="Arial" w:eastAsia="Arial" w:hAnsi="Arial"/>
                <w:sz w:val="14"/>
                <w:szCs w:val="14"/>
                <w:color w:val="auto"/>
                <w:w w:val="81"/>
              </w:rPr>
              <w:t>(3)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6/22/2027</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ind w:left="340"/>
              <w:spacing w:after="0"/>
              <w:rPr>
                <w:sz w:val="20"/>
                <w:szCs w:val="20"/>
                <w:color w:val="auto"/>
              </w:rPr>
            </w:pPr>
            <w:r>
              <w:rPr>
                <w:rFonts w:ascii="Arial" w:cs="Arial" w:eastAsia="Arial" w:hAnsi="Arial"/>
                <w:sz w:val="16"/>
                <w:szCs w:val="16"/>
                <w:i w:val="1"/>
                <w:iCs w:val="1"/>
                <w:color w:val="auto"/>
              </w:rPr>
              <w:t>President and Chief Executive Officer</w:t>
            </w: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3/29/2019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3/29/2019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91"/>
              <w:spacing w:after="0" w:line="202" w:lineRule="exact"/>
              <w:rPr>
                <w:sz w:val="20"/>
                <w:szCs w:val="20"/>
                <w:color w:val="auto"/>
              </w:rPr>
            </w:pPr>
            <w:r>
              <w:rPr>
                <w:rFonts w:ascii="Arial" w:cs="Arial" w:eastAsia="Arial" w:hAnsi="Arial"/>
                <w:sz w:val="14"/>
                <w:szCs w:val="14"/>
                <w:color w:val="auto"/>
              </w:rPr>
              <w:t>272,187</w:t>
            </w:r>
            <w:r>
              <w:rPr>
                <w:rFonts w:ascii="Arial" w:cs="Arial" w:eastAsia="Arial" w:hAnsi="Arial"/>
                <w:sz w:val="23"/>
                <w:szCs w:val="23"/>
                <w:color w:val="auto"/>
                <w:vertAlign w:val="superscript"/>
              </w:rPr>
              <w:t>(3)</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3/29/2029</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91"/>
              <w:spacing w:after="0" w:line="202" w:lineRule="exact"/>
              <w:rPr>
                <w:sz w:val="20"/>
                <w:szCs w:val="20"/>
                <w:color w:val="auto"/>
              </w:rPr>
            </w:pPr>
            <w:r>
              <w:rPr>
                <w:rFonts w:ascii="Arial" w:cs="Arial" w:eastAsia="Arial" w:hAnsi="Arial"/>
                <w:sz w:val="14"/>
                <w:szCs w:val="14"/>
                <w:color w:val="auto"/>
              </w:rPr>
              <w:t>486,638</w:t>
            </w:r>
            <w:r>
              <w:rPr>
                <w:rFonts w:ascii="Arial" w:cs="Arial" w:eastAsia="Arial" w:hAnsi="Arial"/>
                <w:sz w:val="23"/>
                <w:szCs w:val="23"/>
                <w:color w:val="auto"/>
                <w:vertAlign w:val="superscript"/>
              </w:rPr>
              <w:t>(4)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12/16/2029</w:t>
            </w:r>
          </w:p>
        </w:tc>
        <w:tc>
          <w:tcPr>
            <w:tcW w:w="0" w:type="dxa"/>
            <w:vAlign w:val="bottom"/>
          </w:tcPr>
          <w:p>
            <w:pPr>
              <w:spacing w:after="0"/>
              <w:rPr>
                <w:sz w:val="1"/>
                <w:szCs w:val="1"/>
                <w:color w:val="auto"/>
              </w:rPr>
            </w:pPr>
          </w:p>
        </w:tc>
      </w:tr>
      <w:tr>
        <w:trPr>
          <w:trHeight w:val="311"/>
        </w:trPr>
        <w:tc>
          <w:tcPr>
            <w:tcW w:w="5080" w:type="dxa"/>
            <w:vAlign w:val="bottom"/>
            <w:gridSpan w:val="2"/>
          </w:tcPr>
          <w:p>
            <w:pPr>
              <w:spacing w:after="0"/>
              <w:rPr>
                <w:sz w:val="20"/>
                <w:szCs w:val="20"/>
                <w:color w:val="auto"/>
              </w:rPr>
            </w:pPr>
            <w:r>
              <w:rPr>
                <w:rFonts w:ascii="Arial" w:cs="Arial" w:eastAsia="Arial" w:hAnsi="Arial"/>
                <w:sz w:val="16"/>
                <w:szCs w:val="16"/>
                <w:color w:val="auto"/>
              </w:rPr>
              <w:t>Michael Zinda, Ph.D.</w:t>
            </w: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12/1/2017</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6/14/2017</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20,620</w:t>
            </w:r>
          </w:p>
        </w:tc>
        <w:tc>
          <w:tcPr>
            <w:tcW w:w="1380" w:type="dxa"/>
            <w:vAlign w:val="bottom"/>
            <w:gridSpan w:val="3"/>
          </w:tcPr>
          <w:p>
            <w:pPr>
              <w:jc w:val="right"/>
              <w:ind w:right="191"/>
              <w:spacing w:after="0"/>
              <w:rPr>
                <w:sz w:val="20"/>
                <w:szCs w:val="20"/>
                <w:color w:val="auto"/>
              </w:rPr>
            </w:pPr>
            <w:r>
              <w:rPr>
                <w:rFonts w:ascii="Arial" w:cs="Arial" w:eastAsia="Arial" w:hAnsi="Arial"/>
                <w:sz w:val="16"/>
                <w:szCs w:val="16"/>
                <w:color w:val="auto"/>
              </w:rPr>
              <w:t>12,372</w:t>
            </w:r>
            <w:r>
              <w:rPr>
                <w:rFonts w:ascii="Arial" w:cs="Arial" w:eastAsia="Arial" w:hAnsi="Arial"/>
                <w:sz w:val="27"/>
                <w:szCs w:val="27"/>
                <w:color w:val="auto"/>
                <w:vertAlign w:val="superscript"/>
              </w:rPr>
              <w:t>(3)</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1.64</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6/14/2027</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Executive Vice President, Chief Scientific Officer</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12/1/2017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6/22/2017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59,283</w:t>
            </w:r>
          </w:p>
        </w:tc>
        <w:tc>
          <w:tcPr>
            <w:tcW w:w="1380" w:type="dxa"/>
            <w:vAlign w:val="bottom"/>
            <w:gridSpan w:val="3"/>
            <w:shd w:val="clear" w:color="auto" w:fill="CCEEFF"/>
          </w:tcPr>
          <w:p>
            <w:pPr>
              <w:jc w:val="right"/>
              <w:ind w:right="191"/>
              <w:spacing w:after="0" w:line="202" w:lineRule="exact"/>
              <w:rPr>
                <w:sz w:val="20"/>
                <w:szCs w:val="20"/>
                <w:color w:val="auto"/>
              </w:rPr>
            </w:pPr>
            <w:r>
              <w:rPr>
                <w:rFonts w:ascii="Arial" w:cs="Arial" w:eastAsia="Arial" w:hAnsi="Arial"/>
                <w:sz w:val="14"/>
                <w:szCs w:val="14"/>
                <w:color w:val="auto"/>
              </w:rPr>
              <w:t>35,570</w:t>
            </w:r>
            <w:r>
              <w:rPr>
                <w:rFonts w:ascii="Arial" w:cs="Arial" w:eastAsia="Arial" w:hAnsi="Arial"/>
                <w:sz w:val="23"/>
                <w:szCs w:val="23"/>
                <w:color w:val="auto"/>
                <w:vertAlign w:val="superscript"/>
              </w:rPr>
              <w:t>(3)</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6/22/2027</w:t>
            </w:r>
          </w:p>
        </w:tc>
        <w:tc>
          <w:tcPr>
            <w:tcW w:w="0" w:type="dxa"/>
            <w:vAlign w:val="bottom"/>
          </w:tcPr>
          <w:p>
            <w:pPr>
              <w:spacing w:after="0"/>
              <w:rPr>
                <w:sz w:val="1"/>
                <w:szCs w:val="1"/>
                <w:color w:val="auto"/>
              </w:rPr>
            </w:pPr>
          </w:p>
        </w:tc>
      </w:tr>
      <w:tr>
        <w:trPr>
          <w:trHeight w:val="203"/>
        </w:trPr>
        <w:tc>
          <w:tcPr>
            <w:tcW w:w="46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3/29/2019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3/29/2019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91"/>
              <w:spacing w:after="0" w:line="202" w:lineRule="exact"/>
              <w:rPr>
                <w:sz w:val="20"/>
                <w:szCs w:val="20"/>
                <w:color w:val="auto"/>
              </w:rPr>
            </w:pPr>
            <w:r>
              <w:rPr>
                <w:rFonts w:ascii="Arial" w:cs="Arial" w:eastAsia="Arial" w:hAnsi="Arial"/>
                <w:sz w:val="14"/>
                <w:szCs w:val="14"/>
                <w:color w:val="auto"/>
              </w:rPr>
              <w:t>94,028</w:t>
            </w:r>
            <w:r>
              <w:rPr>
                <w:rFonts w:ascii="Arial" w:cs="Arial" w:eastAsia="Arial" w:hAnsi="Arial"/>
                <w:sz w:val="23"/>
                <w:szCs w:val="23"/>
                <w:color w:val="auto"/>
                <w:vertAlign w:val="superscript"/>
              </w:rPr>
              <w:t>(3)</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3/29/2029</w:t>
            </w: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91"/>
              <w:spacing w:after="0" w:line="202" w:lineRule="exact"/>
              <w:rPr>
                <w:sz w:val="20"/>
                <w:szCs w:val="20"/>
                <w:color w:val="auto"/>
              </w:rPr>
            </w:pPr>
            <w:r>
              <w:rPr>
                <w:rFonts w:ascii="Arial" w:cs="Arial" w:eastAsia="Arial" w:hAnsi="Arial"/>
                <w:sz w:val="14"/>
                <w:szCs w:val="14"/>
                <w:color w:val="auto"/>
              </w:rPr>
              <w:t>197,954</w:t>
            </w:r>
            <w:r>
              <w:rPr>
                <w:rFonts w:ascii="Arial" w:cs="Arial" w:eastAsia="Arial" w:hAnsi="Arial"/>
                <w:sz w:val="23"/>
                <w:szCs w:val="23"/>
                <w:color w:val="auto"/>
                <w:vertAlign w:val="superscript"/>
              </w:rPr>
              <w:t>(4)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12/16/2029</w:t>
            </w:r>
          </w:p>
        </w:tc>
        <w:tc>
          <w:tcPr>
            <w:tcW w:w="0" w:type="dxa"/>
            <w:vAlign w:val="bottom"/>
          </w:tcPr>
          <w:p>
            <w:pPr>
              <w:spacing w:after="0"/>
              <w:rPr>
                <w:sz w:val="1"/>
                <w:szCs w:val="1"/>
                <w:color w:val="auto"/>
              </w:rPr>
            </w:pPr>
          </w:p>
        </w:tc>
      </w:tr>
      <w:tr>
        <w:trPr>
          <w:trHeight w:val="311"/>
        </w:trPr>
        <w:tc>
          <w:tcPr>
            <w:tcW w:w="5080" w:type="dxa"/>
            <w:vAlign w:val="bottom"/>
            <w:gridSpan w:val="2"/>
          </w:tcPr>
          <w:p>
            <w:pPr>
              <w:spacing w:after="0"/>
              <w:rPr>
                <w:sz w:val="20"/>
                <w:szCs w:val="20"/>
                <w:color w:val="auto"/>
              </w:rPr>
            </w:pPr>
            <w:r>
              <w:rPr>
                <w:rFonts w:ascii="Arial" w:cs="Arial" w:eastAsia="Arial" w:hAnsi="Arial"/>
                <w:sz w:val="16"/>
                <w:szCs w:val="16"/>
                <w:color w:val="auto"/>
              </w:rPr>
              <w:t>Maria Koehler, M.D., Ph.D.</w:t>
            </w: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3/29/2019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5/1/2019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91"/>
              <w:spacing w:after="0"/>
              <w:rPr>
                <w:sz w:val="20"/>
                <w:szCs w:val="20"/>
                <w:color w:val="auto"/>
              </w:rPr>
            </w:pPr>
            <w:r>
              <w:rPr>
                <w:rFonts w:ascii="Arial" w:cs="Arial" w:eastAsia="Arial" w:hAnsi="Arial"/>
                <w:sz w:val="16"/>
                <w:szCs w:val="16"/>
                <w:color w:val="auto"/>
              </w:rPr>
              <w:t>193,830</w:t>
            </w:r>
            <w:r>
              <w:rPr>
                <w:rFonts w:ascii="Arial" w:cs="Arial" w:eastAsia="Arial" w:hAnsi="Arial"/>
                <w:sz w:val="27"/>
                <w:szCs w:val="27"/>
                <w:color w:val="auto"/>
                <w:vertAlign w:val="superscript"/>
              </w:rPr>
              <w:t>(3)</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5/1/2029</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Executive Vice President, Chief Medical Officer</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91"/>
              <w:spacing w:after="0" w:line="202" w:lineRule="exact"/>
              <w:rPr>
                <w:sz w:val="20"/>
                <w:szCs w:val="20"/>
                <w:color w:val="auto"/>
              </w:rPr>
            </w:pPr>
            <w:r>
              <w:rPr>
                <w:rFonts w:ascii="Arial" w:cs="Arial" w:eastAsia="Arial" w:hAnsi="Arial"/>
                <w:sz w:val="14"/>
                <w:szCs w:val="14"/>
                <w:color w:val="auto"/>
              </w:rPr>
              <w:t>111,349</w:t>
            </w:r>
            <w:r>
              <w:rPr>
                <w:rFonts w:ascii="Arial" w:cs="Arial" w:eastAsia="Arial" w:hAnsi="Arial"/>
                <w:sz w:val="23"/>
                <w:szCs w:val="23"/>
                <w:color w:val="auto"/>
                <w:vertAlign w:val="superscript"/>
              </w:rPr>
              <w:t>(4)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12/16/2029</w:t>
            </w:r>
          </w:p>
        </w:tc>
        <w:tc>
          <w:tcPr>
            <w:tcW w:w="0" w:type="dxa"/>
            <w:vAlign w:val="bottom"/>
          </w:tcPr>
          <w:p>
            <w:pPr>
              <w:spacing w:after="0"/>
              <w:rPr>
                <w:sz w:val="1"/>
                <w:szCs w:val="1"/>
                <w:color w:val="auto"/>
              </w:rPr>
            </w:pPr>
          </w:p>
        </w:tc>
      </w:tr>
      <w:tr>
        <w:trPr>
          <w:trHeight w:val="307"/>
        </w:trPr>
        <w:tc>
          <w:tcPr>
            <w:tcW w:w="5080" w:type="dxa"/>
            <w:vAlign w:val="bottom"/>
            <w:gridSpan w:val="2"/>
          </w:tcPr>
          <w:p>
            <w:pPr>
              <w:spacing w:after="0"/>
              <w:rPr>
                <w:sz w:val="20"/>
                <w:szCs w:val="20"/>
                <w:color w:val="auto"/>
              </w:rPr>
            </w:pPr>
            <w:r>
              <w:rPr>
                <w:rFonts w:ascii="Arial" w:cs="Arial" w:eastAsia="Arial" w:hAnsi="Arial"/>
                <w:sz w:val="16"/>
                <w:szCs w:val="16"/>
                <w:color w:val="auto"/>
              </w:rPr>
              <w:t>Katina Dorton</w:t>
            </w: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3/29/2019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4/15/2019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64,953</w:t>
            </w:r>
          </w:p>
        </w:tc>
        <w:tc>
          <w:tcPr>
            <w:tcW w:w="120" w:type="dxa"/>
            <w:vAlign w:val="bottom"/>
          </w:tcPr>
          <w:p>
            <w:pPr>
              <w:spacing w:after="0"/>
              <w:rPr>
                <w:sz w:val="24"/>
                <w:szCs w:val="24"/>
                <w:color w:val="auto"/>
              </w:rPr>
            </w:pPr>
          </w:p>
        </w:tc>
        <w:tc>
          <w:tcPr>
            <w:tcW w:w="1260" w:type="dxa"/>
            <w:vAlign w:val="bottom"/>
            <w:gridSpan w:val="2"/>
          </w:tcPr>
          <w:p>
            <w:pPr>
              <w:jc w:val="right"/>
              <w:ind w:right="351"/>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4/10/2020</w:t>
            </w: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Former Executive Vice President, Chief Financial Officer</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All of the awards in this table were granted under the Existing Plan, the terms of which are described below under “—Equity Incentive Plans – Existing Plan.”</w:t>
      </w:r>
    </w:p>
    <w:p>
      <w:pPr>
        <w:spacing w:after="0" w:line="33" w:lineRule="exact"/>
        <w:rPr>
          <w:rFonts w:ascii="Arial" w:cs="Arial" w:eastAsia="Arial" w:hAnsi="Arial"/>
          <w:sz w:val="15"/>
          <w:szCs w:val="15"/>
          <w:color w:val="auto"/>
        </w:rPr>
      </w:pPr>
    </w:p>
    <w:p>
      <w:pPr>
        <w:ind w:left="460" w:right="60" w:hanging="452"/>
        <w:spacing w:after="0" w:line="264"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of the option awards listed in the table were granted with an exercise price per share that is no less than the fair market value of our common shares on the date of grant of such award, as determined in good faith by our board of directors.</w:t>
      </w:r>
    </w:p>
    <w:p>
      <w:pPr>
        <w:ind w:left="460" w:right="20" w:hanging="452"/>
        <w:spacing w:after="0" w:line="264"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Twenty-five percent of the common shares subject to this award vested on the first anniversary of the vesting commencement date, and the remaining shares vested in 36 equal monthly installments thereafter, subject to the officer’s continued service through each vesting date.</w:t>
      </w:r>
    </w:p>
    <w:p>
      <w:pPr>
        <w:ind w:left="460" w:right="20" w:hanging="452"/>
        <w:spacing w:after="0" w:line="264"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Twenty-five percent of the common shares subject to this award vested on the first anniversary of the vesting commencement date, and the remaining shares vested in 39 equal monthly installments thereafter, subject to the officer’s continued service through each vesting date.</w:t>
      </w:r>
    </w:p>
    <w:p>
      <w:pPr>
        <w:ind w:left="460" w:right="520" w:hanging="452"/>
        <w:spacing w:after="0" w:line="288"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vesting of Ms. Dorton’s option award accelerated upon her termination of employment effective October 10, 2019, pursuant to the terms of her separation agreement with us.</w:t>
      </w:r>
    </w:p>
    <w:p>
      <w:pPr>
        <w:spacing w:after="0" w:line="171" w:lineRule="exact"/>
        <w:rPr>
          <w:sz w:val="20"/>
          <w:szCs w:val="20"/>
          <w:color w:val="auto"/>
        </w:rPr>
      </w:pPr>
    </w:p>
    <w:p>
      <w:pPr>
        <w:ind w:right="360" w:firstLine="449"/>
        <w:spacing w:after="0" w:line="308" w:lineRule="auto"/>
        <w:rPr>
          <w:sz w:val="20"/>
          <w:szCs w:val="20"/>
          <w:color w:val="auto"/>
        </w:rPr>
      </w:pPr>
      <w:r>
        <w:rPr>
          <w:rFonts w:ascii="Arial" w:cs="Arial" w:eastAsia="Arial" w:hAnsi="Arial"/>
          <w:sz w:val="17"/>
          <w:szCs w:val="17"/>
          <w:color w:val="auto"/>
        </w:rPr>
        <w:t>On and after this offering, we may, on an annual basis or otherwise, grant additional equity awards to our executive officers pursuant to our 2020 Equity Incentive Plan, or the 2020 Plan, the terms of which are described below under “—Equity Incentive Plans—2020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 Relating to the Completion of this Offering</w:t>
      </w:r>
    </w:p>
    <w:p>
      <w:pPr>
        <w:spacing w:after="0" w:line="121"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On June 10, 2020, our board of directors approved grants of an aggregate of 590,702 options under our 2020 Plan, of which 551,795 options were granted to our named executive officers and certain of our other employees, upon the execution of the underwriting agreement for this offering, with an exercise price of $20.00 per share. Of these option grants, an aggregate of 437,148 options will be granted to our named executive officers, including 354,668 options to Mr. Segal, 41,240 options to Dr. Zinda and 41,240 options to Dr. Koehler. The options to be awarded to our named executive officers will vest over a four-year period, with 25% of the shares subject to the option vesting on the first anniversary of the vesting commencement date, with the remainder vesting monthly in equal installments over the following 36 months such that the options will vest in full on the fourth anniversary of the vesting commencement date, subject to the executive’s continuous service with us as of each such vesting date.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have entered into employment agreements with each of our named executive officers which became effective upon the execution of the underwriting agreement for this offering. The agreements set forth the terms and conditions of each executive’s employment with us, including base salary, bonus opportunity, eligibility for employee benefits and severance benefits upon a qualifying termination of employment, and certain non-solicitation and non-competition provisions. Any potential payments and benefits due upon a qualifying termination of employment or a change in control are further described below under “— Potential Payments and Benefits upon Termination or Change in Control.”</w:t>
      </w:r>
    </w:p>
    <w:p>
      <w:pPr>
        <w:spacing w:after="0" w:line="176"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employment of each of our named executive officers may be terminated at any time in accordance with the terms of the respective agreements. In addition, each of our named executive officers has executed a form of our standard proprietary information and inventions agreement. The material terms of each agreement are described below.</w:t>
      </w:r>
    </w:p>
    <w:p>
      <w:pPr>
        <w:spacing w:after="0" w:line="184"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b w:val="1"/>
          <w:bCs w:val="1"/>
          <w:i w:val="1"/>
          <w:iCs w:val="1"/>
          <w:color w:val="auto"/>
        </w:rPr>
        <w:t xml:space="preserve">Lloyd M. Segal. </w:t>
      </w:r>
      <w:r>
        <w:rPr>
          <w:rFonts w:ascii="Arial" w:cs="Arial" w:eastAsia="Arial" w:hAnsi="Arial"/>
          <w:sz w:val="17"/>
          <w:szCs w:val="17"/>
          <w:color w:val="auto"/>
        </w:rPr>
        <w:t>We entered into an employment agreement with Mr. Segal in January 2018, effective July 1, 2017 in connection with 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appointment as our President and Chief Executive Officer. In June 2020, we entered into a new employment agreement with Mr. Segal which became effective upon the execution of the underwriting agreement for this offering. Pursuant to his June 2020 employment agreement, Mr. Segal will be entitled to an annual base salary of $550,000, an annual target bonus with a target amount equal to 50% of his annual base salary and certain severance benefits, as described below under “—Potential Payments and Benefits upon Termination or Change of Control.” To qualify for the annual target bonus set at a percentage of his adjusted base salary, in respect of any calendar year, Mr. Segal must remain continuously employed with us through the 15th day of February of the following year. Under the June 2020 employment agreement, we granted Mr. Segal an option to acquire 354,668 common shares pursuant to the 2020 Plan upon the execution of the underwriting agreement for this offering, with an exercise price of $20.00. The options will vest over a four-year period, with 25% of the shares vesting on the one-year anniversary of the grant date, with the remainder vesting monthly in equal installments over the following 36 months such that the options will vest in full on the four-year anniversary of the grant date, subject to Mr. Segal’s continuous employment through such vesting dates. Mr. Segal is also eligible for additional equity awards under our equity compensation plans, as may be granted from time to time.</w:t>
      </w:r>
    </w:p>
    <w:p>
      <w:pPr>
        <w:spacing w:after="0" w:line="179" w:lineRule="exact"/>
        <w:rPr>
          <w:sz w:val="20"/>
          <w:szCs w:val="20"/>
          <w:color w:val="auto"/>
        </w:rPr>
      </w:pPr>
    </w:p>
    <w:p>
      <w:pPr>
        <w:ind w:right="240" w:firstLine="449"/>
        <w:spacing w:after="0" w:line="273" w:lineRule="auto"/>
        <w:rPr>
          <w:sz w:val="20"/>
          <w:szCs w:val="20"/>
          <w:color w:val="auto"/>
        </w:rPr>
      </w:pPr>
      <w:r>
        <w:rPr>
          <w:rFonts w:ascii="Arial" w:cs="Arial" w:eastAsia="Arial" w:hAnsi="Arial"/>
          <w:sz w:val="17"/>
          <w:szCs w:val="17"/>
          <w:b w:val="1"/>
          <w:bCs w:val="1"/>
          <w:i w:val="1"/>
          <w:iCs w:val="1"/>
          <w:color w:val="auto"/>
        </w:rPr>
        <w:t xml:space="preserve">Michael Zinda, Ph.D. </w:t>
      </w:r>
      <w:r>
        <w:rPr>
          <w:rFonts w:ascii="Arial" w:cs="Arial" w:eastAsia="Arial" w:hAnsi="Arial"/>
          <w:sz w:val="17"/>
          <w:szCs w:val="17"/>
          <w:color w:val="auto"/>
        </w:rPr>
        <w:t>We entered into an employment agreement with Dr. Zinda in August 2017, effective June 14, 2017, connection with 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appointment as our Executive Vice President, Head of Research and Development from June 2017 to December 2018. He subsequently was promoted to the role of our Executive Vice President, Chief Scientific Officer effective January 1, 2019. In June 2020, we entered into a new employment agreement with Dr. Zinda which became effective upon the execution of the underwriting agreement for this offering. Pursuant to his June 2020 employment agreement, Dr. Zinda will be entitled to an annual base salary of $415,000, an annual target bonus with a target amount equal to 40% of his annual base salary and certain severance benefits, as described below under “—Potential Payments and Benefits upon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459"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Termination or Change of Control.” To qualify for the annual target bonus set at a percentage of his adjusted base salary in respect of any calendar year, Dr. Zinda must remain continuously employed with us through the 15th day of February of the following year. Under the June 2020 employment agreement, we granted Dr. Zinda an initial option to acquire 41,240 common shares pursuant to the 2020 Plan upon the execution of the underwriting agreement for this offering, with an exercise price of $20.00 per share. The options will vest over a four-year period, with 25% of the shares vesting on the one-year anniversary of the grant date, with the remainder vesting monthly in equal installments over the following 36 months such that options will vest in full on the four-year anniversary of the grant date, subject to Dr. Zinda’s continuous employment through such vesting dates. Dr. Zinda is also eligible for additional equity awards under our equity compensation plans, as may be granted from time to time.</w:t>
      </w:r>
    </w:p>
    <w:p>
      <w:pPr>
        <w:spacing w:after="0" w:line="17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b w:val="1"/>
          <w:bCs w:val="1"/>
          <w:i w:val="1"/>
          <w:iCs w:val="1"/>
          <w:color w:val="auto"/>
        </w:rPr>
        <w:t xml:space="preserve">Maria Koehler, M.D., Ph.D. </w:t>
      </w:r>
      <w:r>
        <w:rPr>
          <w:rFonts w:ascii="Arial" w:cs="Arial" w:eastAsia="Arial" w:hAnsi="Arial"/>
          <w:sz w:val="17"/>
          <w:szCs w:val="17"/>
          <w:color w:val="auto"/>
        </w:rPr>
        <w:t>We entered into an employment agreement with Dr. Koehler in April 2019, effective May 1, 2019 in connection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 appointment as our Executive Vice President, Chief Medical Officer. In June 2020, we entered into a new employment agreement with Dr. Koehler which became effective upon the execution of the underwriting agreement for this offering. Pursuant to her June 2020 employment agreement, Dr. Koehler will be entitled to an annual base salary of $415,000, an annual target bonus with a target amount equal to 40% of her annual base salary and certain severance benefits, as described below under “—Potential Payments and Benefits upon Termination or Change of Control.” To qualify for the annual target bonus set at a percentage of his adjusted base salary in respect of any calendar year, Dr. Koehler must remain continuously employed with us through the 15th day of February of the following year. Under the June 2020 employment agreement, we granted Dr. Koehler an option to acquire 41,240 common shares pursuant to the 2020 Plan upon the execution of the underwriting agreement for this offering, with an exercise price of $20.00 per share. The options will vest over a four-year period, with 25% of the shares vesting on the one-year anniversary of the grant date, with the remainder vesting monthly in equal installments over the following 36 months such that it will vest in full on the four-year anniversary of the grant date, subject to Dr. Koehler’s continuous employment through such vesting dates.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 with Katina Dorton</w:t>
      </w:r>
    </w:p>
    <w:p>
      <w:pPr>
        <w:spacing w:after="0" w:line="229"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Ms. Dorton’s employment as our Executive Vice President, Chief Financial Officer was terminated effective October 10, 2019. In connection with her termination, we entered into a separation agreement with Ms. Dorton and an independent contractor agreement with Ms. Dorton, pursuant to which Ms. Dorton agreed to provide us with certain consulting services following her termination and through December 31, 2019. In connection with the separation agreement, she entered into a full and final release of any claims relating to her employment with us or termination therefrom. Pursuant to her separation agreement, Ms. Dorton received the following severance benefits: (i) her fully earned but unpaid base salary through the date of termination at the rate then in effect, plus accrued vacation and any other reimbursements or expenses to which she was entitled; (ii) a cash payment, payable in nine equal monthly installments, in the amount of $354,375, reduced dollar-for-dollar by the $9,000 in consulting fees paid to Ms. Dorton pursuant to her independent contractor agreement; (iii) continuation of health benefits for a period of nine months following her termination date; and (iv) the automatic acceleration of the vesting and exercisability of 64,953 outstanding but unvested options. The remaining 157,745 options then held by Ms. Dorton were immediately forfeited on her termination date. Ms. Dorton may exercise her vested options within six months following her termination. She subsequently exercised all of her vested options on January 8, 2020.</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459" w:right="3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Benefits upon Termination or Change in Control</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Regardless of the manner in which the executive’s service with us terminates, each of Mr. Segal, Dr. Zinda and Dr. Koehler is entitled to receive amounts earned during his or her term of service, including unpaid salary, accrued unused vacation and any vested entitlements under any employee benefit plan. Pursuant to the employment agreements we entered into with each of Mr. Segal, Dr. Zinda and Dr. Koehler in June 2020, which became effective upon the execution of the underwriting agreement for this offering, each executive will be entitled to the following payments and benefits upon a qualifying termination of employment or a change in control. The terms of “cause,” “disability” and “good reason” are each defined in the respective amended and restated employment agreements.</w:t>
      </w:r>
    </w:p>
    <w:p>
      <w:pPr>
        <w:spacing w:after="0" w:line="192"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If the executive is terminated by us involuntarily without “cause” and not due to death or “disability” or the executive resigns for “good reason,” in each case, not in connection with a “change in control” (as defined in the 2020 Plan), then:</w:t>
      </w:r>
    </w:p>
    <w:p>
      <w:pPr>
        <w:spacing w:after="0" w:line="76" w:lineRule="exact"/>
        <w:rPr>
          <w:sz w:val="20"/>
          <w:szCs w:val="20"/>
          <w:color w:val="auto"/>
        </w:rPr>
      </w:pPr>
    </w:p>
    <w:p>
      <w:pPr>
        <w:ind w:left="1000" w:hanging="547"/>
        <w:spacing w:after="0"/>
        <w:tabs>
          <w:tab w:leader="none" w:pos="10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With respect to Mr. Segal, he shall be entitled to (1) cash severance equal to 12 months of base salary, paid in 12 equal monthly installments;</w:t>
      </w:r>
    </w:p>
    <w:p>
      <w:pPr>
        <w:spacing w:after="0" w:line="46" w:lineRule="exact"/>
        <w:rPr>
          <w:rFonts w:ascii="Arial" w:cs="Arial" w:eastAsia="Arial" w:hAnsi="Arial"/>
          <w:sz w:val="16"/>
          <w:szCs w:val="16"/>
          <w:color w:val="auto"/>
        </w:rPr>
      </w:pPr>
    </w:p>
    <w:p>
      <w:pPr>
        <w:ind w:left="1000" w:right="60"/>
        <w:spacing w:after="0" w:line="253" w:lineRule="auto"/>
        <w:rPr>
          <w:rFonts w:ascii="Arial" w:cs="Arial" w:eastAsia="Arial" w:hAnsi="Arial"/>
          <w:sz w:val="16"/>
          <w:szCs w:val="16"/>
          <w:color w:val="auto"/>
        </w:rPr>
      </w:pPr>
      <w:r>
        <w:rPr>
          <w:rFonts w:ascii="Arial" w:cs="Arial" w:eastAsia="Arial" w:hAnsi="Arial"/>
          <w:sz w:val="18"/>
          <w:szCs w:val="18"/>
          <w:color w:val="auto"/>
        </w:rPr>
        <w:t>(2) continued participation in our group insurance plans and employee benefits for 12 months; (3) accelerated vesting of his options that are subject to time-based vesting schedule that were scheduled to vest in the 12 months following the date of termination, and Mr. Segal’s vested options shall remain exercisable for up to 12 months following such termination; and (4) a lump sum payment equal to his target bonus pro-rated for the year of termination.</w:t>
      </w:r>
    </w:p>
    <w:p>
      <w:pPr>
        <w:spacing w:after="0" w:line="98" w:lineRule="exact"/>
        <w:rPr>
          <w:rFonts w:ascii="Arial" w:cs="Arial" w:eastAsia="Arial" w:hAnsi="Arial"/>
          <w:sz w:val="16"/>
          <w:szCs w:val="16"/>
          <w:color w:val="auto"/>
        </w:rPr>
      </w:pPr>
    </w:p>
    <w:p>
      <w:pPr>
        <w:ind w:left="1000" w:right="160" w:hanging="547"/>
        <w:spacing w:after="0" w:line="257"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 respect to Dr. Zinda and Dr. Koehler, the executive shall be entitled to (1) cash severance equal to seven months of base salary, paid in seven equal monthly installments; (2) payment of COBRA premiums for up to seven months; and (3) accelerated vesting of the executive’s options that are subject to time-based vesting schedule that were scheduled to vest in the six months following the date of termination, and the executives’ vested options (other than options qualifying as incentive stock options) shall remain exercisable for up to nine months following the date of such termination.</w:t>
      </w:r>
    </w:p>
    <w:p>
      <w:pPr>
        <w:spacing w:after="0" w:line="18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If within 90 days before or within 12 months following a change in control, either of Mr. Segal, Dr. Zinda and Dr. Koehler is terminated by us (or a successor) involuntarily without “cause” and not due to death or “disability” or the executive resigns for “good reason,” then:</w:t>
      </w:r>
    </w:p>
    <w:p>
      <w:pPr>
        <w:spacing w:after="0" w:line="76" w:lineRule="exact"/>
        <w:rPr>
          <w:sz w:val="20"/>
          <w:szCs w:val="20"/>
          <w:color w:val="auto"/>
        </w:rPr>
      </w:pPr>
    </w:p>
    <w:p>
      <w:pPr>
        <w:ind w:left="1000" w:hanging="547"/>
        <w:spacing w:after="0" w:line="257"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 respect to Mr. Segal, he shall be entitled to (1) a lump sum cash severance equal to 1.5 times the sum of base salary and the higher of his target bonus for the year in which the termination occurs or the annual bonus received for the prior year; (2) continued participation in our group insurance plans and employee benefits for 18 months; (3) full accelerated vesting of his options that are subject to time-based vesting schedule, and Mr. Segal’s vested options shall remain exercisable for up to 12 months following such termination; and (4) a lump sum payment equal to his target bonus pro-rated for the year of termination.</w:t>
      </w:r>
    </w:p>
    <w:p>
      <w:pPr>
        <w:spacing w:after="0" w:line="93" w:lineRule="exact"/>
        <w:rPr>
          <w:rFonts w:ascii="Arial" w:cs="Arial" w:eastAsia="Arial" w:hAnsi="Arial"/>
          <w:sz w:val="18"/>
          <w:szCs w:val="18"/>
          <w:color w:val="auto"/>
        </w:rPr>
      </w:pPr>
    </w:p>
    <w:p>
      <w:pPr>
        <w:ind w:left="1000" w:right="20" w:hanging="547"/>
        <w:spacing w:after="0" w:line="291" w:lineRule="auto"/>
        <w:tabs>
          <w:tab w:leader="none" w:pos="10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With respect to Dr. Zinda and Dr. Koehler, the executive will be entitled to (1) a lump sum cash severance equal to the sum of base salary and the higher of the executive’s target bonus for the year in which the termination occurs or the annual bonus received for the prior year;</w:t>
      </w:r>
    </w:p>
    <w:p>
      <w:pPr>
        <w:ind w:left="1000" w:right="80"/>
        <w:spacing w:after="0" w:line="255" w:lineRule="auto"/>
        <w:rPr>
          <w:rFonts w:ascii="Arial" w:cs="Arial" w:eastAsia="Arial" w:hAnsi="Arial"/>
          <w:sz w:val="16"/>
          <w:szCs w:val="16"/>
          <w:color w:val="auto"/>
        </w:rPr>
      </w:pPr>
      <w:r>
        <w:rPr>
          <w:rFonts w:ascii="Arial" w:cs="Arial" w:eastAsia="Arial" w:hAnsi="Arial"/>
          <w:sz w:val="18"/>
          <w:szCs w:val="18"/>
          <w:color w:val="auto"/>
        </w:rPr>
        <w:t>(2) payment of COBRA premiums for up to 12 months; and (3) full accelerated vesting of the executive’s options that are subject to time-based vesting schedule, and the executives’ vested options (other than options qualifying as incentive stock options) shall remain exercisable for up to nine months following such termination.</w:t>
      </w:r>
    </w:p>
    <w:p>
      <w:pPr>
        <w:spacing w:after="0" w:line="190" w:lineRule="exact"/>
        <w:rPr>
          <w:sz w:val="20"/>
          <w:szCs w:val="20"/>
          <w:color w:val="auto"/>
        </w:rPr>
      </w:pPr>
    </w:p>
    <w:p>
      <w:pPr>
        <w:ind w:right="340" w:firstLine="449"/>
        <w:spacing w:after="0" w:line="279" w:lineRule="auto"/>
        <w:rPr>
          <w:sz w:val="20"/>
          <w:szCs w:val="20"/>
          <w:color w:val="auto"/>
        </w:rPr>
      </w:pPr>
      <w:r>
        <w:rPr>
          <w:rFonts w:ascii="Arial" w:cs="Arial" w:eastAsia="Arial" w:hAnsi="Arial"/>
          <w:sz w:val="17"/>
          <w:szCs w:val="17"/>
          <w:color w:val="auto"/>
        </w:rPr>
        <w:t>Mr. Segal’s, Dr. Zinda’s and Dr. Koehler’s severance payments and benefits under the employment agreements which became effective upon the execution of the underwriting agreement for this offering are, in all events, conditioned on the executive, among other things, giving notice following a cure period (as applicable), complying with post-resignation or post termination obligations under the applicable agreement, including any non-disparagement and confidentiality obligations contained therein, and signing a general release of claims against 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320" w:top="459" w:right="3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 the event that executive’s employment terminates due to death or “disability”, then:</w:t>
      </w:r>
    </w:p>
    <w:p>
      <w:pPr>
        <w:spacing w:after="0" w:line="131" w:lineRule="exact"/>
        <w:rPr>
          <w:sz w:val="20"/>
          <w:szCs w:val="20"/>
          <w:color w:val="auto"/>
        </w:rPr>
      </w:pPr>
    </w:p>
    <w:p>
      <w:pPr>
        <w:ind w:left="1000" w:hanging="547"/>
        <w:spacing w:after="0" w:line="311" w:lineRule="auto"/>
        <w:tabs>
          <w:tab w:leader="none" w:pos="10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With respect to Mr. Segal, he shall be entitled to (1) continued participation in our group insurance plans and employee benefits for 12 months; and (2) accelerated vesting of his options that are subject to time-based vesting schedule that were scheduled to vest in the 12 months following the date of termination, and Mr. Segal’s vested options shall remain exercisable for up to 12 months following such termination.</w:t>
      </w:r>
    </w:p>
    <w:p>
      <w:pPr>
        <w:spacing w:after="0" w:line="54" w:lineRule="exact"/>
        <w:rPr>
          <w:rFonts w:ascii="Arial" w:cs="Arial" w:eastAsia="Arial" w:hAnsi="Arial"/>
          <w:sz w:val="16"/>
          <w:szCs w:val="16"/>
          <w:color w:val="auto"/>
        </w:rPr>
      </w:pPr>
    </w:p>
    <w:p>
      <w:pPr>
        <w:ind w:left="1000" w:hanging="547"/>
        <w:spacing w:after="0" w:line="259"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 respect to Dr. Zinda and Dr. Koehler, the executive shall be entitled to (1) payment of COBRA premiums for up to seven months and (2) accelerated vesting of the executive’s options that are subject to time-based vesting schedule that were scheduled to vest in the 12 months following the date of termination, and the executives’ vested options (other than options qualifying as incentive stock options) shall remain exercisable for up to 12 months following the date of such termination.</w:t>
      </w:r>
    </w:p>
    <w:p>
      <w:pPr>
        <w:spacing w:after="0" w:line="187"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If we elect to enforce the non-competition provisions set forth in Dr. Zinda or Dr. Koehler’s employment agreement following an involuntary termination by us for “just cause” (as such term is defined in the respective agreement) or such executive’s resignation, then we have agreed to provide the executive with consideration in the form of the greater of (x) continuing salary payments for one year following the date of the executive’s termination at a rate equal to no less than 50% of the highest annualized base salary paid to the executive by us within the two years prior to the executive’s termination date and (y) accelerated vesting of all of the executive’s options that are subject to a time-based vesting schedule which would have vested if the executive had remained employed for an additional 12 months following the termination date.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and Retirement Benefits; Perquisites</w:t>
      </w:r>
    </w:p>
    <w:p>
      <w:pPr>
        <w:spacing w:after="0" w:line="121"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These payments and benefits discussed above are in addition to eligibility to participate in benefits available generally to salaried employees, including accrued benefits under our health and welfare plans and arrangements and vacation pay or other accrued benefits under our medical and dental insurance plans, that are not generally described. Since 2017, we have offered medical, dental, vision, life and accidental death and dismemberment insurance to our Canadian employees. Since July 1, 2019, we have offered medical, dental, vision, life and accidental death and dismemberment insurance to our U.S. employees. We only provide limited perquisites or personal benefits to our named executive officers. Our board of directors may elect to adopt qualified or nonqualified benefit plans in the future, if it determines that doing so is in our best interests.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Plan</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June 2020, our board of directors adopted and our shareholders approved our 2020 Plan, which is a successor to and continuation of our Existing Plan. The 2020 Plan became effective upon, and no share awards were granted prior to, the date of the underwriting agreement related to this offering. Once the 2020 Plan became effective, no further grants will be made under the Existing Plan. In June 2020, our board of directors approved an aggregate of 590,702 options under the 2020 Plan, which were granted upon the execution of the underwriting agreement for this offering; no common shares have been issued under our 2020 Plan.</w:t>
      </w:r>
    </w:p>
    <w:p>
      <w:pPr>
        <w:spacing w:after="0" w:line="188"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Our 2020 Plan provides for the grant of incentive share options, or ISOs, within the meaning of Section 422 of the Code,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employees of any parent or subsidiary, and for the grant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459" w:right="3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nonstatutory share options, or NSOs, share appreciation rights, restricted share awards, restricted share unit awards, performance share awards, performance cash awards and other forms of share awards to employees, directors and consultants, including employees and consultants of our affiliates.</w:t>
      </w:r>
    </w:p>
    <w:p>
      <w:pPr>
        <w:spacing w:after="0" w:line="124"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Initially, the maximum number of our common shares that may be issued under our 2020 Plan is the sum of (1) 3,600,000 new</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plus (2) the number of shares (not to exceed 3,807,448 shares) (i) that remain available for the issuance of awards under our Existing Plan at the time our 2020 Plan became effective, and (ii) any shares subject to outstanding options or other share awards that were granted under our Existing Plan that terminate or expire prior to exercise or settlement; are forfeited because of the failure to vest; or are reacquired or withheld (or not issued) to satisfy a tax withholding obligation or the purchase or exercise price. In addition, the number of our common shares reserved for issuance under our 2020 Plan will automatically increase on January 1 of each calendar year, starting on January 1, 2021 through January 1, 2030, in an amount equal to 5.0% of the total number of our capital shares outstanding on the last day of the calendar month before the date of each automatic increase, or a lesser number of shares determined by our board of directors. The maximum number of our common shares that may be issued on the exercise of ISOs under our 2020 Plan is 13,000,000 shares.</w:t>
      </w:r>
    </w:p>
    <w:p>
      <w:pPr>
        <w:spacing w:after="0" w:line="196"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Shares subject to share awards granted under our 2020 Plan that expire or terminate without being exercised in full or that are paid out in cash rather than in shares do not reduce the number of shares available for issuance under our 2020 Plan. If any common shares issued pursuant to a share award are forfeited back to or repurchased or reacquired by us for any reason, the shares that are forfeited or repurchased or reacquired will revert to and again become available for issuance under the 2020 Plan. Any shares reacquired in satisfaction of tax withholding obligations or as consideration for the exercise or purchase price of a share award will again become available for issuance under the 2020 Plan.</w:t>
      </w:r>
    </w:p>
    <w:p>
      <w:pPr>
        <w:spacing w:after="0" w:line="17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maximum number of common shares subject to share awards granted under the 2020 Plan or otherwise during any one calendar year to any non-employee director, taken together with any cash fees paid by us to such non-employee director during such calendar year for service on the board of directors, will not exceed $1.0 million in total value (calculating the value of any such share awards based on the grant date fair value of such share awards for financial reporting purposes), or, with respect to the calendar year in which a non-employee director is first appointed or elected to our board of directors, $1.0 million.</w:t>
      </w:r>
    </w:p>
    <w:p>
      <w:pPr>
        <w:spacing w:after="0" w:line="188"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board of directors, or a duly authorized committee of our board of directors, will administer our 2020 Plan and is 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to as the “plan administrator” herein. Our board of directors may also delegate to one or more of our officers the authority to (1) designate employees (other than officers) to receive specified share awards and (2) determine the number of shares subject to such share awards. Under our 2020 Plan, our board of directors has the authority to determine award recipients, grant dates, the numbers and types of share awards to be granted, the applicable fair market value, and the provisions of each share award, including the period of exercisability and the vesting schedule applicable to a share award.</w:t>
      </w:r>
    </w:p>
    <w:p>
      <w:pPr>
        <w:spacing w:after="0" w:line="16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Under the 2020 Plan, the board of directors also generally has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49"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ISOs and NSOs are granted under option agreements adopted by the plan administrator. The plan administrator determines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for options, within the terms and conditions of the 2020 Plan, provided that the exercise price of an option generally cannot be less than 100% of the fair market value of our common shares on the date of grant. Options granted under the 2020 Plan vest at the rate specified in the option agreement as determined by the plan administrator.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459"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plan administrator determines the term of options granted under the 2020 Plan, up to a maximum of 10 years. Unless the terms of an optionholder’s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or our insider trading policy.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81"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Acceptable consideration for the purchase of common shares issued upon the exercise of an option will be determined by the plan administrator and may include (1) cash, check, bank draft or money order, (2) a broker-assisted cashless exercise, (3) the tender of our common shares previously owned by the optionholder, (4) a net exercise of the option if it is an NSO, or (5) other legal consideration approved by the plan administrator.</w:t>
      </w:r>
    </w:p>
    <w:p>
      <w:pPr>
        <w:spacing w:after="0" w:line="14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8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i w:val="1"/>
          <w:iCs w:val="1"/>
          <w:color w:val="auto"/>
        </w:rPr>
        <w:t xml:space="preserve">Tax Limitations on ISOs. </w:t>
      </w:r>
      <w:r>
        <w:rPr>
          <w:rFonts w:ascii="Arial" w:cs="Arial" w:eastAsia="Arial" w:hAnsi="Arial"/>
          <w:sz w:val="18"/>
          <w:szCs w:val="18"/>
          <w:color w:val="auto"/>
        </w:rPr>
        <w:t>The aggregate fair market value, determined at the time of grant, of our common shares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award holder during any calendar year under all of our equity benefit plans may not exceed $100,000. Options or portions thereof that exceed such limit will generally be treated as NSOs. No ISO may be granted to any person who, at the time of the grant, owns or is deemed to own shares possessing more than 10% of our total combined voting power or that of any of our affiliates unless (1) the option exercise price is at least 110% of the fair market value of the shares subject to the option on the date of grant, and (2) the term of the ISO does not exceed five years from the date of grant.</w:t>
      </w:r>
    </w:p>
    <w:p>
      <w:pPr>
        <w:spacing w:after="0" w:line="192"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i w:val="1"/>
          <w:iCs w:val="1"/>
          <w:color w:val="auto"/>
        </w:rPr>
        <w:t xml:space="preserve">Restricted Share Unit Awards. </w:t>
      </w:r>
      <w:r>
        <w:rPr>
          <w:rFonts w:ascii="Arial" w:cs="Arial" w:eastAsia="Arial" w:hAnsi="Arial"/>
          <w:sz w:val="16"/>
          <w:szCs w:val="16"/>
          <w:color w:val="auto"/>
        </w:rPr>
        <w:t>Restricted share unit awards are granted under restricted share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share unit awards may be granted in consideration for any form of legal consideration that may be acceptable to our board of directors and permissible under applicable law. A restricted share unit award may be settled by cash, delivery of shares, a combination of cash and shares as deemed appropriate by the plan administrator, or in any other form of consideration set forth in the restricted share unit award agreement. Additionally, dividend equivalents may be credited in respect of shares covered by a restricted share unit award. Except as otherwise provided in the applicable award agreement, restricted share unit awards that have not vested will be forfeited once the participant’s continuous service ends for any reason.</w:t>
      </w:r>
    </w:p>
    <w:p>
      <w:pPr>
        <w:spacing w:after="0" w:line="164"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i w:val="1"/>
          <w:iCs w:val="1"/>
          <w:color w:val="auto"/>
        </w:rPr>
        <w:t xml:space="preserve">Restricted Share Awards. </w:t>
      </w:r>
      <w:r>
        <w:rPr>
          <w:rFonts w:ascii="Arial" w:cs="Arial" w:eastAsia="Arial" w:hAnsi="Arial"/>
          <w:sz w:val="18"/>
          <w:szCs w:val="18"/>
          <w:color w:val="auto"/>
        </w:rPr>
        <w:t>Restricted share awards are granted under restricted share award agreements adopted by the plan administrator.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 may be awarded in consideration for cash, check, bank draft or money order, past or future services to us, or any other form of legal consideration that may be acceptable to our board of directors and permissible under applicable law. The plan administrator determines the terms and conditions of restricted share awards, including vesting and forfeiture terms. If a participant’s service relationship with us ends for any reason, we may receive any or all of the common shares held by the participant that have not vested as of the date the participant terminates service with us through a forfeiture condition or a repurchase right.</w:t>
      </w:r>
    </w:p>
    <w:p>
      <w:pPr>
        <w:spacing w:after="0" w:line="192"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i w:val="1"/>
          <w:iCs w:val="1"/>
          <w:color w:val="auto"/>
        </w:rPr>
        <w:t xml:space="preserve">Share Appreciation Rights. </w:t>
      </w:r>
      <w:r>
        <w:rPr>
          <w:rFonts w:ascii="Arial" w:cs="Arial" w:eastAsia="Arial" w:hAnsi="Arial"/>
          <w:sz w:val="18"/>
          <w:szCs w:val="18"/>
          <w:color w:val="auto"/>
        </w:rPr>
        <w:t>Share appreciation rights are granted under share appreciation right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share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appreciation right, which generally cannot be less than 100% of the fair market value of our common shares on the date of grant. A share appreciation right granted under the 2020 Plan vests at the rate specified in the share appreciation right agreement as determined by the plan administrator.</w:t>
      </w:r>
    </w:p>
    <w:p>
      <w:pPr>
        <w:spacing w:after="0" w:line="124" w:lineRule="exact"/>
        <w:rPr>
          <w:sz w:val="20"/>
          <w:szCs w:val="20"/>
          <w:color w:val="auto"/>
        </w:rPr>
      </w:pPr>
    </w:p>
    <w:p>
      <w:pPr>
        <w:ind w:right="100" w:firstLine="449"/>
        <w:spacing w:after="0" w:line="253" w:lineRule="auto"/>
        <w:rPr>
          <w:sz w:val="20"/>
          <w:szCs w:val="20"/>
          <w:color w:val="auto"/>
        </w:rPr>
      </w:pPr>
      <w:r>
        <w:rPr>
          <w:rFonts w:ascii="Arial" w:cs="Arial" w:eastAsia="Arial" w:hAnsi="Arial"/>
          <w:sz w:val="18"/>
          <w:szCs w:val="18"/>
          <w:color w:val="auto"/>
        </w:rPr>
        <w:t>The plan administrator determines the term of share appreciation rights granted under the 2020 Plan, up to a maximum of 10 years. If a participant’s service relationship with us or any of our affiliates ceases for any reason other than cause, disability, or death, the participant may generally exercise any vested share appreciation right for a period of three months following the cessation of service. This period may be further extended in the event that exercise of the share appreciation right following such a termination of service is prohibited by applicable securities laws or our insider trading policy. If a participant’s service relationship with us, or any of our affiliates, ceases due to disability or death, or a participant dies within a certain period following cessation of service, the participant or a beneficiary may generally exercise any vested share appreciation right for a period of 12 months in the event of disability and 18 months in the event of death. In the event of a termination for cause, share appreciation rights generally terminate immediately upon the occurrence of the event giving rise to the termination of the individual for cause. In no event may a share appreciation right be exercised beyond the expiration of its term.</w:t>
      </w:r>
    </w:p>
    <w:p>
      <w:pPr>
        <w:spacing w:after="0" w:line="196"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2020 Plan permits the grant of performance-based share and cash awards. Our compensation committee may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so that the share or cash will be issued or paid only following the achievement of certain pre-established performance goals during a designated performance period.</w:t>
      </w:r>
    </w:p>
    <w:p>
      <w:pPr>
        <w:spacing w:after="0" w:line="184" w:lineRule="exact"/>
        <w:rPr>
          <w:sz w:val="20"/>
          <w:szCs w:val="20"/>
          <w:color w:val="auto"/>
        </w:rPr>
      </w:pPr>
    </w:p>
    <w:p>
      <w:pPr>
        <w:jc w:val="both"/>
        <w:ind w:right="520" w:firstLine="449"/>
        <w:spacing w:after="0" w:line="287" w:lineRule="auto"/>
        <w:rPr>
          <w:sz w:val="20"/>
          <w:szCs w:val="20"/>
          <w:color w:val="auto"/>
        </w:rPr>
      </w:pPr>
      <w:r>
        <w:rPr>
          <w:rFonts w:ascii="Arial" w:cs="Arial" w:eastAsia="Arial" w:hAnsi="Arial"/>
          <w:sz w:val="16"/>
          <w:szCs w:val="16"/>
          <w:color w:val="auto"/>
        </w:rPr>
        <w:t>The performance goals that may be selected include one or more of the following: (i) sales; (ii) revenues; (iii) assets; (iv) expenses; (v) market penetration or expansion; (vi) earnings from operations; (vii) earnings before or after deduction for all or any portion of interest, taxes, depreciation, amortization, incentives, service fees or extraordinary or special items, whether or not on a continuing operations or an aggregate or per share basis;</w:t>
      </w:r>
    </w:p>
    <w:p>
      <w:pPr>
        <w:spacing w:after="0" w:line="2" w:lineRule="exact"/>
        <w:rPr>
          <w:sz w:val="20"/>
          <w:szCs w:val="20"/>
          <w:color w:val="auto"/>
        </w:rPr>
      </w:pPr>
    </w:p>
    <w:p>
      <w:pPr>
        <w:ind w:left="420" w:hanging="412"/>
        <w:spacing w:after="0"/>
        <w:tabs>
          <w:tab w:leader="none" w:pos="4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net income or net income per common share (basic or diluted); (ix) return on equity, investment, capital or assets; (x) one or more operating ratios;</w:t>
      </w:r>
    </w:p>
    <w:p>
      <w:pPr>
        <w:spacing w:after="0" w:line="32" w:lineRule="exact"/>
        <w:rPr>
          <w:rFonts w:ascii="Arial" w:cs="Arial" w:eastAsia="Arial" w:hAnsi="Arial"/>
          <w:sz w:val="16"/>
          <w:szCs w:val="16"/>
          <w:color w:val="auto"/>
        </w:rPr>
      </w:pPr>
    </w:p>
    <w:p>
      <w:pPr>
        <w:ind w:right="100" w:firstLine="8"/>
        <w:spacing w:after="0" w:line="281" w:lineRule="auto"/>
        <w:tabs>
          <w:tab w:leader="none" w:pos="3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borrowing levels, leverage ratios or credit rating; (xii) market share; (xiii) capital expenditures; (xiv) cash flow, free cash flow, cash flow return on investment, or net cash provided by operations; (xv) share price, dividends or total shareholder return; (xvi) development of new technologies or products;</w:t>
      </w:r>
    </w:p>
    <w:p>
      <w:pPr>
        <w:spacing w:after="0" w:line="1" w:lineRule="exact"/>
        <w:rPr>
          <w:rFonts w:ascii="Arial" w:cs="Arial" w:eastAsia="Arial" w:hAnsi="Arial"/>
          <w:sz w:val="16"/>
          <w:szCs w:val="16"/>
          <w:color w:val="auto"/>
        </w:rPr>
      </w:pPr>
    </w:p>
    <w:p>
      <w:pPr>
        <w:ind w:firstLine="8"/>
        <w:spacing w:after="0" w:line="267" w:lineRule="auto"/>
        <w:tabs>
          <w:tab w:leader="none" w:pos="44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sales of particular products or services; (xviii) economic value created or added; (xix) operating margin or profit margin; (xx) customer acquisition or retention; (xxi) raising or refinancing of capital; (xxii) successful hiring of key individuals; (xxiii) resolution of significant litigation; (xxiv) acquisitions and divestitures (in whole or in part); (xxv) joint ventures and strategic alliances; (xxvi) spin-offs, split-ups and the like; (xxvii) reorganizations; (xxviii) recapitalizations, restructurings, financings (issuance of debt or equity) or refinancings; (xxix) or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the board of directors.</w:t>
      </w:r>
    </w:p>
    <w:p>
      <w:pPr>
        <w:spacing w:after="0" w:line="183"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Our board of directors is authorized at any time in its sole discretion, to adjust or modify the calculation of a</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459" w:right="3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us, or our financial statements in response to, or in anticipation of, changes in applicable laws, regulations, accounting principles, or business conditions; or (c) in view of the board of director’s assessment of our business strategy, performance of comparable organizations, economic and business conditions, and any other circumstances deemed relevant. Specifically, the board of directors is authorized to make adjustment in the method of calculating attainment of performance goals and objectives for a performance period as follows: (i) to exclude the dilutive effects of acquisitions or joint ventures; (ii) to assume that any business divested by us achieved performance objectives at targeted levels during the balance of a performance period following such divestiture; and (iii) to exclude the effect of any change in our outstanding common share by reason of any share dividend or split, share repurchase, reorganization, recapitalization, merger, consolidation, spin-off, combination or exchange of shares or other similar corporate change, or any distributions to common shareholders other than regular cash dividends. In addition, the board of directors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selected by the board of directors.</w:t>
      </w:r>
    </w:p>
    <w:p>
      <w:pPr>
        <w:spacing w:after="0" w:line="167" w:lineRule="exact"/>
        <w:rPr>
          <w:sz w:val="20"/>
          <w:szCs w:val="20"/>
          <w:color w:val="auto"/>
        </w:rPr>
      </w:pPr>
    </w:p>
    <w:p>
      <w:pPr>
        <w:ind w:right="700" w:firstLine="449"/>
        <w:spacing w:after="0" w:line="308" w:lineRule="auto"/>
        <w:rPr>
          <w:sz w:val="20"/>
          <w:szCs w:val="20"/>
          <w:color w:val="auto"/>
        </w:rPr>
      </w:pPr>
      <w:r>
        <w:rPr>
          <w:rFonts w:ascii="Arial" w:cs="Arial" w:eastAsia="Arial" w:hAnsi="Arial"/>
          <w:sz w:val="17"/>
          <w:szCs w:val="17"/>
          <w:i w:val="1"/>
          <w:iCs w:val="1"/>
          <w:color w:val="auto"/>
        </w:rPr>
        <w:t>Other Share Awards</w:t>
      </w:r>
      <w:r>
        <w:rPr>
          <w:rFonts w:ascii="Arial" w:cs="Arial" w:eastAsia="Arial" w:hAnsi="Arial"/>
          <w:sz w:val="17"/>
          <w:szCs w:val="17"/>
          <w:color w:val="auto"/>
        </w:rPr>
        <w:t>. The plan administrator may grant other awards based in whole or in part by reference to our common shares.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share award and all other terms and conditions of such awards.</w:t>
      </w:r>
    </w:p>
    <w:p>
      <w:pPr>
        <w:spacing w:after="0" w:line="146"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share split, reverse share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2020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share awards.</w:t>
      </w:r>
    </w:p>
    <w:p>
      <w:pPr>
        <w:spacing w:after="0" w:line="188"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Our 2020 Plan provides that in the event of certain specified significant corporate transactions (or a change in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below), unless otherwise provided in an award agreement or other written agreement between us and the award holder, the plan administrator may take one or more of the following actions with respect to such share awards:</w:t>
      </w:r>
    </w:p>
    <w:p>
      <w:pPr>
        <w:spacing w:after="0" w:line="89" w:lineRule="exact"/>
        <w:rPr>
          <w:sz w:val="20"/>
          <w:szCs w:val="20"/>
          <w:color w:val="auto"/>
        </w:rPr>
      </w:pPr>
    </w:p>
    <w:p>
      <w:pPr>
        <w:ind w:left="1000" w:hanging="54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share award by a successor corporation;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share award and provide for its termination if not exercised (if applicable) at or before the effective time of the transaction;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cancel or arrange for the cancellation of the share award, to the extent not vested or not exercised before the effective time of the transaction, in exchange for a cash payment, if any; or</w:t>
      </w:r>
    </w:p>
    <w:p>
      <w:pPr>
        <w:spacing w:after="0" w:line="75" w:lineRule="exact"/>
        <w:rPr>
          <w:rFonts w:ascii="Arial" w:cs="Arial" w:eastAsia="Arial" w:hAnsi="Arial"/>
          <w:sz w:val="18"/>
          <w:szCs w:val="18"/>
          <w:color w:val="auto"/>
        </w:rPr>
      </w:pPr>
    </w:p>
    <w:p>
      <w:pPr>
        <w:ind w:left="1000" w:right="380" w:hanging="547"/>
        <w:spacing w:after="0" w:line="263"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320" w:top="459" w:right="3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plan administrator is not obligated to treat all share awards or portions of share awards in the same manner and is not obligated to take the same actions with respect to all participants.</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Under the 2020 Plan, a corporate transaction is generally the consummation of: (1) a sale of all or substantially all of our assets, (2) the sale or disposition of more than 50% of our outstanding securities, (3) a merger or consolidation where we do not survive the transaction, or (4) a merger or consolidation where we do survive the transaction but our common shares outstanding immediately before such transaction are converted or exchanged into other property by virtue of the transaction.</w:t>
      </w:r>
    </w:p>
    <w:p>
      <w:pPr>
        <w:spacing w:after="0" w:line="18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the plan administrator may take any of the above-mentioned actions. Awards granted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Plan may be subject to additional acceleration of vesting and exercisability upon or after a change in control as may be provided in the applicable share award agreement or in any other written agreement between us or any affiliate and the participant, but in the absence of such provision, no such acceleration will automatically occur. Under the 2020 Plan, a change in control is generally (1) the acquisition by any person or company of more than 50% of the combined voting power of our then outstanding shares, (2) a merger, consolidation or similar transaction in which our shareholders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sale, lease, exclusive license or other disposition of all or substantially all of our assets other than to an entity more than 50% of the combined voting power of which is owned by our shareholders in substantially the same proportions as their ownership of our outstanding voting securities immediately prior to such transaction, (4) a complete dissolution or liquidation of the company or (5) 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7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 terminate our 2020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Certain material amendments also require the approval of our shareholders. No ISOs may be granted after the tenth anniversary of the date our board of directors adopts our 2020 Plan. No share awards may be granted under our 2020 Plan while it is suspended or after it is terminated.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Plan</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Genera</w:t>
      </w:r>
      <w:r>
        <w:rPr>
          <w:rFonts w:ascii="Arial" w:cs="Arial" w:eastAsia="Arial" w:hAnsi="Arial"/>
          <w:sz w:val="18"/>
          <w:szCs w:val="18"/>
          <w:color w:val="auto"/>
        </w:rPr>
        <w:t>l. Our board of directors originally adopted and our shareholders initially approved our Existing Plan in December 2016.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amended and restated our Existing Plan, most recently in September 2019, the purpose of which was to increase the number of shares available for issuance under our Existing Plan. Our shareholders approved this recent amendment and restatement in August 2019. Following the closing of this offering and upon the adoption of our 2020 Plan, no further awards will be granted under the Existing Plan; however, awards outstanding under our Existing Plan will continue in full effect in accordance with their existing terms. Our Existing Plan provides for the grant of incentive share options and nonstatutory share options to purchase common shares of our share capital to employees, members of our board of directors and consultants. Incentive share options may be granted only to employees.</w:t>
      </w:r>
    </w:p>
    <w:p>
      <w:pPr>
        <w:spacing w:after="0" w:line="195"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No common shares are available for future issuance under the Existing Plan following the effectiveness of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this prospectus forms a part. The maximum number of common shares reserved for issuance under our Existing Plan is 4,074,135. As of December 31, 2019, options to purchase 3,505,119 common shares, at exercise prices ranging from $1.64 to $2.42 per share, or a weighted-average exercise price of $2.07 per share, were outstanding under our Existing Plan.</w:t>
      </w:r>
    </w:p>
    <w:p>
      <w:pPr>
        <w:spacing w:after="0" w:line="18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administers our Existing Plan. Our board of directors has full authority and discretion to take any actions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necessary or advisable for the administration of our Existing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9" w:right="3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Plan. Our board of directors may generally cancel, amend, adjust or otherwise change any outstanding options under such circumstances as it may consider appropriate in accordance with the provisions of the Existing Plan, unless the optionholder would be adversely affected.</w:t>
      </w:r>
    </w:p>
    <w:p>
      <w:pPr>
        <w:spacing w:after="0" w:line="170"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our Existing Plan will be equal to or exceed the fair market value of a common share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 on the grant date. Options expire at the time determined by the administrator, but in no event more than ten years after they are granted, and generally expire earlier if the optionholder’s service terminates.</w:t>
      </w:r>
    </w:p>
    <w:p>
      <w:pPr>
        <w:spacing w:after="0" w:line="184" w:lineRule="exact"/>
        <w:rPr>
          <w:sz w:val="20"/>
          <w:szCs w:val="20"/>
          <w:color w:val="auto"/>
        </w:rPr>
      </w:pPr>
    </w:p>
    <w:p>
      <w:pPr>
        <w:jc w:val="both"/>
        <w:ind w:right="40" w:firstLine="449"/>
        <w:spacing w:after="0" w:line="286" w:lineRule="auto"/>
        <w:rPr>
          <w:sz w:val="20"/>
          <w:szCs w:val="20"/>
          <w:color w:val="auto"/>
        </w:rPr>
      </w:pPr>
      <w:r>
        <w:rPr>
          <w:rFonts w:ascii="Arial" w:cs="Arial" w:eastAsia="Arial" w:hAnsi="Arial"/>
          <w:sz w:val="17"/>
          <w:szCs w:val="17"/>
          <w:i w:val="1"/>
          <w:iCs w:val="1"/>
          <w:color w:val="auto"/>
        </w:rPr>
        <w:t>Capital Reorganization</w:t>
      </w:r>
      <w:r>
        <w:rPr>
          <w:rFonts w:ascii="Arial" w:cs="Arial" w:eastAsia="Arial" w:hAnsi="Arial"/>
          <w:sz w:val="17"/>
          <w:szCs w:val="17"/>
          <w:color w:val="auto"/>
        </w:rPr>
        <w:t>. If we effect a subdivision, consolidation, or similar reorganization, or any other change in capitalization that, in the option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warrants the replacement or amendment of any existing options, the administrator may adjust: (i) the number of common shares that may be acquired on the exercise of any options; and/or (ii) the exercise price of any outstanding options, as necessary.</w:t>
      </w:r>
    </w:p>
    <w:p>
      <w:pPr>
        <w:spacing w:after="0" w:line="16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i w:val="1"/>
          <w:iCs w:val="1"/>
          <w:color w:val="auto"/>
        </w:rPr>
        <w:t>Liquidity Event</w:t>
      </w:r>
      <w:r>
        <w:rPr>
          <w:rFonts w:ascii="Arial" w:cs="Arial" w:eastAsia="Arial" w:hAnsi="Arial"/>
          <w:sz w:val="18"/>
          <w:szCs w:val="18"/>
          <w:color w:val="auto"/>
        </w:rPr>
        <w:t>. Upon a liquidity event, our board of directors shall have the power to accelerate the vesting of any unvested options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liquidity event in its sole discretion and/or to make such changes to the terms of the options as it considers fair and appropriate in the circumstances, acting reasonably.</w:t>
      </w:r>
    </w:p>
    <w:p>
      <w:pPr>
        <w:spacing w:after="0" w:line="18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In general, a “liquidity event” means the acquisition of the company by another entity by means of any transaction or series of related transactions, which results in one person, together with any related entities of such person, acquiring beneficial ownership, or exercising direction or control, over more than 50% of the combined voting power attached to all of our outstanding securities; a sale, lease, transfer, exclusive license or disposition of all or substantially all of our assets; our adoption of a plan of liquidation providing for the distribution of all or substantially all of our assets; or any other event so specified by our board of directors, subject to certain exceptions.</w:t>
      </w:r>
    </w:p>
    <w:p>
      <w:pPr>
        <w:spacing w:after="0" w:line="188" w:lineRule="exact"/>
        <w:rPr>
          <w:sz w:val="20"/>
          <w:szCs w:val="20"/>
          <w:color w:val="auto"/>
        </w:rPr>
      </w:pPr>
    </w:p>
    <w:p>
      <w:pPr>
        <w:ind w:right="740" w:firstLine="449"/>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options under our Existing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Existing Plan.</w:t>
      </w:r>
    </w:p>
    <w:p>
      <w:pPr>
        <w:spacing w:after="0" w:line="170" w:lineRule="exact"/>
        <w:rPr>
          <w:sz w:val="20"/>
          <w:szCs w:val="20"/>
          <w:color w:val="auto"/>
        </w:rPr>
      </w:pPr>
    </w:p>
    <w:p>
      <w:pPr>
        <w:jc w:val="both"/>
        <w:ind w:right="80" w:firstLine="449"/>
        <w:spacing w:after="0" w:line="311"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Subject to any shareholders agreement, our board of directors may terminate the Existing Plan at any time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 Our board of directors has the authority to amend our Existing Plan, provided that such action is approved by our shareholders to the extent shareholder approval is necessary. As described above, our Existing Plan will terminate upon the effective date of our 2020 Plan.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Share Purchase Plan</w:t>
      </w:r>
    </w:p>
    <w:p>
      <w:pPr>
        <w:spacing w:after="0" w:line="117"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color w:val="auto"/>
        </w:rPr>
        <w:t>In June 2020, our board of directors adopted and our shareholders approved the 2020 Employee Share Purchase Plan, or the ESPP. The ESPP became effective upon the date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w:t>
      </w:r>
    </w:p>
    <w:p>
      <w:pPr>
        <w:spacing w:after="0" w:line="2"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The ESPP is intended to qualify as an “employee stock purchase plan” within the meaning of Section 423 of the Code for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of directors may adopt rules that are beyond the scope of Section 423 of the Code.</w:t>
      </w:r>
    </w:p>
    <w:p>
      <w:pPr>
        <w:spacing w:after="0" w:line="193"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ESPP authorizes the issuance of 327,000 common shares of our share capital under purchase rights granted to our employees or</w:t>
      </w:r>
      <w:r>
        <w:rPr>
          <w:rFonts w:ascii="Arial" w:cs="Arial" w:eastAsia="Arial" w:hAnsi="Arial"/>
          <w:sz w:val="16"/>
          <w:szCs w:val="16"/>
          <w:i w:val="1"/>
          <w:iCs w:val="1"/>
          <w:color w:val="auto"/>
        </w:rPr>
        <w:t xml:space="preserve"> </w:t>
      </w:r>
      <w:r>
        <w:rPr>
          <w:rFonts w:ascii="Arial" w:cs="Arial" w:eastAsia="Arial" w:hAnsi="Arial"/>
          <w:sz w:val="16"/>
          <w:szCs w:val="16"/>
          <w:color w:val="auto"/>
        </w:rPr>
        <w:t>to employees of any of our designated affiliates. The number of shares of our share capital reserved for issuance will automatically increase on January 1 of each calendar year, beginning on January 1, 2021 through January 1, 2030, by the lesser of (1) 1.0% of the total number of shares of</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459"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share capital outstanding on the last day of the calendar month before the date of the automatic increase and (2) 3,300,000 shares; provided that before the date of any such increase, our board of directors may determine that such increase will be less than the amount set forth in clauses (1) and (2). As of the date hereof, no shares of our share capital have been purchased under the ESPP.</w:t>
      </w:r>
    </w:p>
    <w:p>
      <w:pPr>
        <w:spacing w:after="0" w:line="184"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administers the ESPP and may delegate its authority to administer the ESPP to our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is implemented through a series of offerings under which eligible employees are granted purchase rights to purchase shares of our share capital on specified dates during such offerings. Under the ESPP, we may specify offerings with durations of not more than 27 months, and may specify shorter purchase periods within each offering. Each offering will have one or more purchase dates on which shares of our share capital will be purchased for employees participating in the offering. An offering under the ESPP may be terminated under certain circumstances.</w:t>
      </w:r>
    </w:p>
    <w:p>
      <w:pPr>
        <w:spacing w:after="0" w:line="176"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may</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ESPP and may contribute, normally through payroll deductions, up to 15% of their earnings (as defined in the ESPP) for the purchase of our share capital under the ESPP. Unless otherwise determined by our board of directors, common shares will be purchased for the accounts of employees participating in the ESPP at a price per share that is at least the lesser of (1) 85% of the fair market value of a share of our share capital on the first date of an offering or (2) 85% of the fair market value of a share of our share capital on the date of purchase.</w:t>
      </w:r>
    </w:p>
    <w:p>
      <w:pPr>
        <w:spacing w:after="0" w:line="1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ESPP, as determined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shares based on the fair market value per share of our common shares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shares measured by vote or value under Section 424(d) of the Code.</w:t>
      </w:r>
    </w:p>
    <w:p>
      <w:pPr>
        <w:spacing w:after="0" w:line="177"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that there occurs a change in our capital structure through such actions as a share split,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reorganization, recapitalization, reincorporation, share dividend, dividend in property other than cash, large nonrecurring cash dividend, liquidating dividend, combination of shares, exchange of shares, change in corporate structure, or similar transaction, the board of directors will make 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class(es) and number of shares that are subject to purchase limits under ongoing offerings.</w:t>
      </w:r>
    </w:p>
    <w:p>
      <w:pPr>
        <w:spacing w:after="0" w:line="16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significant corporate transactions, any then-outstanding rights to purchase our shares under the ESPP</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share capital within 10 business days before such corporate transaction, and such purchase rights will terminate immediately.</w:t>
      </w:r>
    </w:p>
    <w:p>
      <w:pPr>
        <w:spacing w:after="0" w:line="15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459" w:right="3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transaction but the shares of our share capital outstanding immediately before such transaction are converted or exchanged into other property by virtue of the transaction.</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has the authority to amend or terminate our ESPP, provided that except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or termination may not materially impair any outstanding purchase rights without the holder’s consent. We will obtain shareholder approval of any amendment to our ESPP as required by applicable law or listing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QBCA and our amended and restated bylaws to be in effect upon the completion of this offering, we must indemnify our current or former directors and officers, agents or any other individuals who act or has acted at our request as a director or officer of another group, against all costs, charges and expenses reasonably incurred in the exercise of such individual’s functions, including an amount paid to settle an action or satisfy a judgment, or arising from any investigative or other proceeding in which such individual is involved. The QBCA also provides that we must advance moneys to such individual for costs, charges and expenses incurred in connection with such a proceeding; provided that such individual shall repay such payment if he or she does not fulfill the conditions described below.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is prohibited under the QBCA unless the individual:</w:t>
      </w:r>
    </w:p>
    <w:p>
      <w:pPr>
        <w:spacing w:after="0" w:line="131" w:lineRule="exact"/>
        <w:rPr>
          <w:sz w:val="20"/>
          <w:szCs w:val="20"/>
          <w:color w:val="auto"/>
        </w:rPr>
      </w:pPr>
    </w:p>
    <w:p>
      <w:pPr>
        <w:ind w:left="1000" w:right="60" w:hanging="547"/>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acted with honesty and loyalty in our interests, or in the interest of the other group for which the individual acted as director or officer or in a similar capacity at our request; and</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case of a proceeding that is enforced by a monetary penalty, the individual had reasonable grounds for believing that his or her conduct was lawful.</w:t>
      </w:r>
    </w:p>
    <w:p>
      <w:pPr>
        <w:spacing w:after="0" w:line="170"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The QBCA and our bylaws authorize us to purchase and maintain insurance for the benefit of each of our current or former directors or officers and each person who acts or acted at our request as a director, officer or an individual acting in a similar capacity, of another entity.</w:t>
      </w:r>
    </w:p>
    <w:p>
      <w:pPr>
        <w:spacing w:after="0" w:line="14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addition, we have entered, and intend to continue to enter, into separate indemnity agreements with each of our directors and officers. These indemnity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that these provisions in our articles of continuance and amended and restated bylaws and these indemnity agreements are necessary to attract and retain qualified persons as directors and officers.</w:t>
      </w:r>
    </w:p>
    <w:p>
      <w:pPr>
        <w:spacing w:after="0" w:line="184"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or control persons,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320" w:top="459" w:right="3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following includes a summary of transactions since January 1, 2017 and any currently proposed transactions, to which we were or are to be a participant, in which:</w:t>
      </w:r>
    </w:p>
    <w:p>
      <w:pPr>
        <w:spacing w:after="0" w:line="76" w:lineRule="exact"/>
        <w:rPr>
          <w:sz w:val="20"/>
          <w:szCs w:val="20"/>
          <w:color w:val="auto"/>
        </w:rPr>
      </w:pPr>
    </w:p>
    <w:p>
      <w:pPr>
        <w:ind w:left="1000" w:right="300" w:hanging="54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amount involved exceeds the lesser of $120,000 or one percent of the average of our total assets at year end for the last two completed fiscal years, and</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share capital, or any affiliate or member of the immediate family of the foregoing persons, had or will have a direct or indirect material interest.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 Financings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Preferred Share Financing</w:t>
      </w:r>
    </w:p>
    <w:p>
      <w:pPr>
        <w:spacing w:after="0" w:line="11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In June 2017 and January 2019, we sold an aggregate of 10,182,844 of our Series A preferred shares in multiple closings at a purchase price of $4.91 per share for an aggregate amount of $50.0 million. The following table summarizes purchases of our Series A preferred shares by related parties. Each Series A preferred share in the table below will be converted into one common share immediately prior to the completion of this offering.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200" w:type="dxa"/>
            <w:vAlign w:val="bottom"/>
            <w:gridSpan w:val="3"/>
          </w:tcPr>
          <w:p>
            <w:pPr>
              <w:ind w:left="2320"/>
              <w:spacing w:after="0"/>
              <w:rPr>
                <w:sz w:val="20"/>
                <w:szCs w:val="20"/>
                <w:color w:val="auto"/>
              </w:rPr>
            </w:pPr>
            <w:r>
              <w:rPr>
                <w:rFonts w:ascii="Arial" w:cs="Arial" w:eastAsia="Arial" w:hAnsi="Arial"/>
                <w:sz w:val="14"/>
                <w:szCs w:val="14"/>
                <w:b w:val="1"/>
                <w:bCs w:val="1"/>
                <w:color w:val="auto"/>
              </w:rPr>
              <w:t>Series A</w:t>
            </w: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Aggregate Cash</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200" w:type="dxa"/>
            <w:vAlign w:val="bottom"/>
            <w:gridSpan w:val="3"/>
          </w:tcPr>
          <w:p>
            <w:pPr>
              <w:jc w:val="center"/>
              <w:ind w:left="1858"/>
              <w:spacing w:after="0" w:line="149" w:lineRule="exact"/>
              <w:rPr>
                <w:sz w:val="20"/>
                <w:szCs w:val="20"/>
                <w:color w:val="auto"/>
              </w:rPr>
            </w:pPr>
            <w:r>
              <w:rPr>
                <w:rFonts w:ascii="Arial" w:cs="Arial" w:eastAsia="Arial" w:hAnsi="Arial"/>
                <w:sz w:val="14"/>
                <w:szCs w:val="14"/>
                <w:b w:val="1"/>
                <w:bCs w:val="1"/>
                <w:color w:val="auto"/>
                <w:w w:val="93"/>
              </w:rPr>
              <w:t>Preferred</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60" w:type="dxa"/>
            <w:vAlign w:val="bottom"/>
            <w:vMerge w:val="restart"/>
          </w:tcPr>
          <w:p>
            <w:pPr>
              <w:spacing w:after="0"/>
              <w:rPr>
                <w:sz w:val="12"/>
                <w:szCs w:val="12"/>
                <w:color w:val="auto"/>
              </w:rPr>
            </w:pPr>
          </w:p>
        </w:tc>
        <w:tc>
          <w:tcPr>
            <w:tcW w:w="3200" w:type="dxa"/>
            <w:vAlign w:val="bottom"/>
            <w:gridSpan w:val="3"/>
          </w:tcPr>
          <w:p>
            <w:pPr>
              <w:jc w:val="center"/>
              <w:ind w:left="1858"/>
              <w:spacing w:after="0" w:line="149" w:lineRule="exact"/>
              <w:rPr>
                <w:sz w:val="20"/>
                <w:szCs w:val="20"/>
                <w:color w:val="auto"/>
              </w:rPr>
            </w:pPr>
            <w:r>
              <w:rPr>
                <w:rFonts w:ascii="Arial" w:cs="Arial" w:eastAsia="Arial" w:hAnsi="Arial"/>
                <w:sz w:val="14"/>
                <w:szCs w:val="14"/>
                <w:b w:val="1"/>
                <w:bCs w:val="1"/>
                <w:color w:val="auto"/>
                <w:w w:val="89"/>
              </w:rPr>
              <w:t>Shares</w:t>
            </w: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6360" w:type="dxa"/>
            <w:vAlign w:val="bottom"/>
            <w:vMerge w:val="continue"/>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740" w:type="dxa"/>
            <w:vAlign w:val="bottom"/>
            <w:gridSpan w:val="2"/>
          </w:tcPr>
          <w:p>
            <w:pPr>
              <w:jc w:val="center"/>
              <w:ind w:left="498"/>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(1)</w:t>
            </w:r>
          </w:p>
        </w:tc>
        <w:tc>
          <w:tcPr>
            <w:tcW w:w="320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rPr>
              <w:t>3,877,314</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19,038,462</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(2)</w:t>
            </w:r>
          </w:p>
        </w:tc>
        <w:tc>
          <w:tcPr>
            <w:tcW w:w="3200" w:type="dxa"/>
            <w:vAlign w:val="bottom"/>
            <w:gridSpan w:val="3"/>
          </w:tcPr>
          <w:p>
            <w:pPr>
              <w:ind w:left="2300"/>
              <w:spacing w:after="0"/>
              <w:rPr>
                <w:sz w:val="20"/>
                <w:szCs w:val="20"/>
                <w:color w:val="auto"/>
              </w:rPr>
            </w:pPr>
            <w:r>
              <w:rPr>
                <w:rFonts w:ascii="Arial" w:cs="Arial" w:eastAsia="Arial" w:hAnsi="Arial"/>
                <w:sz w:val="18"/>
                <w:szCs w:val="18"/>
                <w:color w:val="auto"/>
              </w:rPr>
              <w:t>1,801,581</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8,846,154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(3)</w:t>
            </w:r>
          </w:p>
        </w:tc>
        <w:tc>
          <w:tcPr>
            <w:tcW w:w="320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rPr>
              <w:t>1,801,580</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8,846,154</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Fonds de solidarité des travailleurs et travailleuses du Québec</w:t>
            </w:r>
          </w:p>
        </w:tc>
        <w:tc>
          <w:tcPr>
            <w:tcW w:w="3200" w:type="dxa"/>
            <w:vAlign w:val="bottom"/>
            <w:gridSpan w:val="3"/>
          </w:tcPr>
          <w:p>
            <w:pPr>
              <w:ind w:left="2300"/>
              <w:spacing w:after="0"/>
              <w:rPr>
                <w:sz w:val="20"/>
                <w:szCs w:val="20"/>
                <w:color w:val="auto"/>
              </w:rPr>
            </w:pPr>
            <w:r>
              <w:rPr>
                <w:rFonts w:ascii="Arial" w:cs="Arial" w:eastAsia="Arial" w:hAnsi="Arial"/>
                <w:sz w:val="18"/>
                <w:szCs w:val="18"/>
                <w:color w:val="auto"/>
              </w:rPr>
              <w:t>1,370,767</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6,730,769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0" w:lineRule="exact"/>
        <w:rPr>
          <w:sz w:val="20"/>
          <w:szCs w:val="20"/>
          <w:color w:val="auto"/>
        </w:rPr>
      </w:pPr>
    </w:p>
    <w:p>
      <w:pPr>
        <w:ind w:left="460" w:right="100" w:hanging="452"/>
        <w:spacing w:after="0" w:line="283" w:lineRule="auto"/>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Represents (i) 1,257,967 Series A preferred shares purchased by Versant Venture Capital V, L.P., or Versant V, (ii) 95,738 Series A preferred shares purchased by Versant Venture Capital V (Canada) LP, or Versant V Canada, (iii) 41,886 Series A preferred shares purchased by Versant Ophthalmic Affiliates Fund I, L.P., or Versant Ophthalmic, (iv) 37,840 Series A preferred shares purchased by Versant Affiliates Fund V, L.P., or Versant Affiliates V, and (v) 2,443,883 Series A preferred shares purchased by Versant Venture Capital VI, L.P., or Versant VI. Versant V, Versant V Canada, Versant Ophthalmic, Versant Affiliates V, Versant VI and Versant Vantage (as defined below) are collectively referred to as the Versant Entities. Versant Ventures V LLC is the general partner of each of Versant V, Versant Ophthalmic and Versant Affiliates V and has voting and dispositive control over the shares held by such Entities. Jerel Davis, Ph.D., a member of our board of directors, is a managing director of Versant Ventures V, and, as a result, may be deemed to share voting and investment power with respect to the shares held by each of Versant V, Versant Ophthalmic and Versant Affiliates V. Versant Ventures V (Canada), L.P. is the general partner of Versant V Canada and Versant Ventures V GP-GP (Canada), Inc. is the sole general partner of Versant Ventures V (Canada), L.P. and has voting and dispositive control over the shares held by Versant V Canada.</w:t>
      </w:r>
    </w:p>
    <w:p>
      <w:pPr>
        <w:spacing w:after="0" w:line="4" w:lineRule="exact"/>
        <w:rPr>
          <w:rFonts w:ascii="Arial" w:cs="Arial" w:eastAsia="Arial" w:hAnsi="Arial"/>
          <w:sz w:val="16"/>
          <w:szCs w:val="16"/>
          <w:color w:val="auto"/>
        </w:rPr>
      </w:pPr>
    </w:p>
    <w:p>
      <w:pPr>
        <w:ind w:left="460" w:right="40"/>
        <w:spacing w:after="0" w:line="281" w:lineRule="auto"/>
        <w:rPr>
          <w:rFonts w:ascii="Arial" w:cs="Arial" w:eastAsia="Arial" w:hAnsi="Arial"/>
          <w:sz w:val="16"/>
          <w:szCs w:val="16"/>
          <w:color w:val="auto"/>
        </w:rPr>
      </w:pPr>
      <w:r>
        <w:rPr>
          <w:rFonts w:ascii="Arial" w:cs="Arial" w:eastAsia="Arial" w:hAnsi="Arial"/>
          <w:sz w:val="16"/>
          <w:szCs w:val="16"/>
          <w:color w:val="auto"/>
        </w:rPr>
        <w:t>Dr. Davis is a director of Versant Ventures V GP-GP (Canada), Inc. and, as a result, may be deemed to share voting and investment power with respect to the shares held by Versant Ventures Canada. Versant Ventures VI GP, L.P. is the sole general partner of Versant VI and Versant Ventures VI GP-GP, LLC is the sole general partner of Versant Ventures VI GP, L.P. and has voting and dispositive control over the shares held by Versant VI. Dr. Davis is a managing director of Versant Ventures VI GP-GP, LLC, and, as a result, may be deemed to share voting and investment power with respect to the shares held by Versant VI. The Versant Entities collectively hold more than 5% of our share capital.</w:t>
      </w:r>
    </w:p>
    <w:p>
      <w:pPr>
        <w:spacing w:after="0" w:line="2" w:lineRule="exact"/>
        <w:rPr>
          <w:rFonts w:ascii="Arial" w:cs="Arial" w:eastAsia="Arial" w:hAnsi="Arial"/>
          <w:sz w:val="16"/>
          <w:szCs w:val="16"/>
          <w:color w:val="auto"/>
        </w:rPr>
      </w:pPr>
    </w:p>
    <w:p>
      <w:pPr>
        <w:ind w:left="460" w:right="100" w:hanging="452"/>
        <w:spacing w:after="0" w:line="277"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Represents (i) 1,636,136 Series A preferred shares purchased by MPM Bioventures 2014, L.P., or MPM 2014, (ii) 109,128 Series A preferred shares purchased by MPM Bioventures 2014 (B), L.P., or MPM B 2014 and (iii) 56,317 Series A preferred shares purchased by MPM Asset Management Investors BV2014 LLC, or MPM LLC. MPM 2014, MPM B 2014 and MPM LLC are collectively referred to as the MPM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459" w:right="3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60"/>
        <w:spacing w:after="0" w:line="269" w:lineRule="auto"/>
        <w:rPr>
          <w:sz w:val="20"/>
          <w:szCs w:val="20"/>
          <w:color w:val="auto"/>
        </w:rPr>
      </w:pPr>
      <w:r>
        <w:rPr>
          <w:rFonts w:ascii="Arial" w:cs="Arial" w:eastAsia="Arial" w:hAnsi="Arial"/>
          <w:sz w:val="17"/>
          <w:szCs w:val="17"/>
          <w:color w:val="auto"/>
        </w:rPr>
        <w:t>Entities. Todd Foley, a member of our board of directors, is a Managing Director of MPM BioVentures 2014 LLC, or BV2014 LLC. BV2014 LLC is the Managing Member of MPM BioVentures 2014 GP LLC, which is the General Partner of MPM 2014 and MPM B 2014. MPM LLC invests alongside MPM 2014 and MPM B 2014. As a result, Todd Foley may be deemed to share voting and investment power with respect to the shares held by each of the MPM Entities. The MPM Entities collectively hold more than 5% of our share capital.</w:t>
      </w:r>
    </w:p>
    <w:p>
      <w:pPr>
        <w:spacing w:after="0" w:line="2"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UBS Oncology Impact Fund L.P. is a holder of more than 5% of our share capital.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and as partial consideration for the Series A preferred share financing described above, an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$2.75 million of convertible promissory notes held by certain of the Versant Entities were redeemed and converted into 907,291 Series A preferred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a price of $3.03 per share. Following the issuance of the 907,291 Series A preferred shares and the payment of accrued interest of $45,589,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convertible promissory notes were cancelled and are of no further force or effect.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B Preferred Share Financing</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September 2019, we sold an aggregate of 10,468,258 of our Series B preferred shares at a purchase price of $7.88 per share for an aggregate amount of $82.5 million. The following table summarizes purchases of our Series B preferred shares by related parties. Each Series B preferred share in the table below will be converted into one common share immediately prior to the completion of this offering.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200" w:type="dxa"/>
            <w:vAlign w:val="bottom"/>
            <w:gridSpan w:val="3"/>
          </w:tcPr>
          <w:p>
            <w:pPr>
              <w:jc w:val="center"/>
              <w:ind w:left="1855"/>
              <w:spacing w:after="0"/>
              <w:rPr>
                <w:sz w:val="20"/>
                <w:szCs w:val="20"/>
                <w:color w:val="auto"/>
              </w:rPr>
            </w:pPr>
            <w:r>
              <w:rPr>
                <w:rFonts w:ascii="Arial" w:cs="Arial" w:eastAsia="Arial" w:hAnsi="Arial"/>
                <w:sz w:val="14"/>
                <w:szCs w:val="14"/>
                <w:b w:val="1"/>
                <w:bCs w:val="1"/>
                <w:color w:val="auto"/>
                <w:w w:val="89"/>
              </w:rPr>
              <w:t>Series B</w:t>
            </w: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Aggregate Cash</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200" w:type="dxa"/>
            <w:vAlign w:val="bottom"/>
            <w:gridSpan w:val="3"/>
          </w:tcPr>
          <w:p>
            <w:pPr>
              <w:jc w:val="center"/>
              <w:ind w:left="1855"/>
              <w:spacing w:after="0" w:line="149" w:lineRule="exact"/>
              <w:rPr>
                <w:sz w:val="20"/>
                <w:szCs w:val="20"/>
                <w:color w:val="auto"/>
              </w:rPr>
            </w:pPr>
            <w:r>
              <w:rPr>
                <w:rFonts w:ascii="Arial" w:cs="Arial" w:eastAsia="Arial" w:hAnsi="Arial"/>
                <w:sz w:val="14"/>
                <w:szCs w:val="14"/>
                <w:b w:val="1"/>
                <w:bCs w:val="1"/>
                <w:color w:val="auto"/>
                <w:w w:val="93"/>
              </w:rPr>
              <w:t>Preferred</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60" w:type="dxa"/>
            <w:vAlign w:val="bottom"/>
            <w:vMerge w:val="restart"/>
          </w:tcPr>
          <w:p>
            <w:pPr>
              <w:spacing w:after="0"/>
              <w:rPr>
                <w:sz w:val="12"/>
                <w:szCs w:val="12"/>
                <w:color w:val="auto"/>
              </w:rPr>
            </w:pPr>
          </w:p>
        </w:tc>
        <w:tc>
          <w:tcPr>
            <w:tcW w:w="3200" w:type="dxa"/>
            <w:vAlign w:val="bottom"/>
            <w:gridSpan w:val="3"/>
          </w:tcPr>
          <w:p>
            <w:pPr>
              <w:jc w:val="center"/>
              <w:ind w:left="1855"/>
              <w:spacing w:after="0" w:line="149" w:lineRule="exact"/>
              <w:rPr>
                <w:sz w:val="20"/>
                <w:szCs w:val="20"/>
                <w:color w:val="auto"/>
              </w:rPr>
            </w:pPr>
            <w:r>
              <w:rPr>
                <w:rFonts w:ascii="Arial" w:cs="Arial" w:eastAsia="Arial" w:hAnsi="Arial"/>
                <w:sz w:val="14"/>
                <w:szCs w:val="14"/>
                <w:b w:val="1"/>
                <w:bCs w:val="1"/>
                <w:color w:val="auto"/>
                <w:w w:val="89"/>
              </w:rPr>
              <w:t>Shares</w:t>
            </w: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6360" w:type="dxa"/>
            <w:vAlign w:val="bottom"/>
            <w:vMerge w:val="continue"/>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740" w:type="dxa"/>
            <w:vAlign w:val="bottom"/>
            <w:gridSpan w:val="2"/>
          </w:tcPr>
          <w:p>
            <w:pPr>
              <w:jc w:val="center"/>
              <w:ind w:left="495"/>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r>
              <w:rPr>
                <w:rFonts w:ascii="Arial" w:cs="Arial" w:eastAsia="Arial" w:hAnsi="Arial"/>
                <w:sz w:val="15"/>
                <w:szCs w:val="15"/>
                <w:color w:val="auto"/>
              </w:rPr>
              <w:t>(1)</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2,601,325</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20,500,000</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Entities affiliated with Cowen Healthcare Investments</w:t>
            </w:r>
            <w:r>
              <w:rPr>
                <w:rFonts w:ascii="Arial" w:cs="Arial" w:eastAsia="Arial" w:hAnsi="Arial"/>
                <w:sz w:val="15"/>
                <w:szCs w:val="15"/>
                <w:color w:val="auto"/>
              </w:rPr>
              <w:t>(2)</w:t>
            </w:r>
          </w:p>
        </w:tc>
        <w:tc>
          <w:tcPr>
            <w:tcW w:w="3200" w:type="dxa"/>
            <w:vAlign w:val="bottom"/>
            <w:gridSpan w:val="3"/>
          </w:tcPr>
          <w:p>
            <w:pPr>
              <w:jc w:val="right"/>
              <w:ind w:right="180"/>
              <w:spacing w:after="0"/>
              <w:rPr>
                <w:sz w:val="20"/>
                <w:szCs w:val="20"/>
                <w:color w:val="auto"/>
              </w:rPr>
            </w:pPr>
            <w:r>
              <w:rPr>
                <w:rFonts w:ascii="Arial" w:cs="Arial" w:eastAsia="Arial" w:hAnsi="Arial"/>
                <w:sz w:val="18"/>
                <w:szCs w:val="18"/>
                <w:color w:val="auto"/>
              </w:rPr>
              <w:t>1,903,408</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Redmile Biopharma Investments II, L.P.</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1,586,174</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(3)</w:t>
            </w:r>
          </w:p>
        </w:tc>
        <w:tc>
          <w:tcPr>
            <w:tcW w:w="3200" w:type="dxa"/>
            <w:vAlign w:val="bottom"/>
            <w:gridSpan w:val="3"/>
          </w:tcPr>
          <w:p>
            <w:pPr>
              <w:jc w:val="right"/>
              <w:ind w:right="180"/>
              <w:spacing w:after="0"/>
              <w:rPr>
                <w:sz w:val="20"/>
                <w:szCs w:val="20"/>
                <w:color w:val="auto"/>
              </w:rPr>
            </w:pPr>
            <w:r>
              <w:rPr>
                <w:rFonts w:ascii="Arial" w:cs="Arial" w:eastAsia="Arial" w:hAnsi="Arial"/>
                <w:sz w:val="18"/>
                <w:szCs w:val="18"/>
                <w:color w:val="auto"/>
              </w:rPr>
              <w:t>1,460,744</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11,511,538</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(4)</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952,191</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7,503,846</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Fonds de solidarité des travailleurs et travailleuses du Québec</w:t>
            </w:r>
          </w:p>
        </w:tc>
        <w:tc>
          <w:tcPr>
            <w:tcW w:w="3200" w:type="dxa"/>
            <w:vAlign w:val="bottom"/>
            <w:gridSpan w:val="3"/>
          </w:tcPr>
          <w:p>
            <w:pPr>
              <w:jc w:val="right"/>
              <w:ind w:right="180"/>
              <w:spacing w:after="0"/>
              <w:rPr>
                <w:sz w:val="20"/>
                <w:szCs w:val="20"/>
                <w:color w:val="auto"/>
              </w:rPr>
            </w:pPr>
            <w:r>
              <w:rPr>
                <w:rFonts w:ascii="Arial" w:cs="Arial" w:eastAsia="Arial" w:hAnsi="Arial"/>
                <w:sz w:val="18"/>
                <w:szCs w:val="18"/>
                <w:color w:val="auto"/>
              </w:rPr>
              <w:t>383,122</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3,019,232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(5)</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336,757</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2,653,846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4"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Represents shares purchase by OrbiMed Private Investments VII, L.P., or OrbiMed. OrbiMed Advisors LLC, or OrbiMed Advisors, is the managing member of OrbiMed Capital GP VII LLC, or OrbiMed GP VII. OrbiMed GP VII is the general partner of OrbiMed. David Bonita, M.D., a member of our board of directors, is a member of OrbiMed Advisors, and, as a result, may be deemed to share voting and investment power with respect to the shares held by OrbiMed. OrbiMed is a holder of more than 5% of our share capital.</w:t>
      </w:r>
    </w:p>
    <w:p>
      <w:pPr>
        <w:spacing w:after="0" w:line="2" w:lineRule="exact"/>
        <w:rPr>
          <w:rFonts w:ascii="Arial" w:cs="Arial" w:eastAsia="Arial" w:hAnsi="Arial"/>
          <w:sz w:val="18"/>
          <w:szCs w:val="18"/>
          <w:color w:val="auto"/>
        </w:rPr>
      </w:pPr>
    </w:p>
    <w:p>
      <w:pPr>
        <w:ind w:left="460" w:right="60" w:hanging="452"/>
        <w:spacing w:after="0" w:line="265" w:lineRule="auto"/>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Represents (i) 1,773,210 Series B preferred shares purchased by Cowen Healthcare Investments II LP, or CHI II, and (ii) 130,198 Series B preferred shares purchased by CHI EF II LP, or CHI EF. CHI II and CHI EF are collectively referred to as the Cowen Entities. CHI Advisors LLC is the investment adviser to the Cowen Entities and, in such capacity, exercises voting and investment power over the shares held by the Cowen Entities and may be deemed to be the beneficial owner of the shares held by the Cowen Entities. As managing partner of CHI Advisors LLC, Kevin J. Raidy, a member of our board of directors, may be deemed to share voting and investment power with respect to the shares held by the Cowen Entities. The Cowen Entities collectively hold more than 5% of our share capital.</w:t>
      </w:r>
    </w:p>
    <w:p>
      <w:pPr>
        <w:ind w:left="460" w:right="20" w:hanging="452"/>
        <w:spacing w:after="0" w:line="270" w:lineRule="auto"/>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Represents (i) 111,361 Series B preferred shares purchased by Versant V, (ii) 8,475 Series B preferred shares purchased by Versant V Canada, (iii) 3,708 Series B preferred shares purchased by Versant Ophthalmic, (iv) 3,350 Series B preferred shares purchased by Versant Affiliates V, (v) 875,568 Series B preferred shares purchased by Versant VI and (vi) 458,282 Series B preferred shares purchased by Versant Vantage I, L.P., or Versant Vantage. As described above, Dr. Davis may be deemed to share voting and investment power with respect to the shares held by each of Versant V, Versant V Canada, Versant Ophthalmic, Versant Affiliates V and Versant VI. Versant Vantage I GP, L.P. is the sole general partner of Versant Vantage and Versant Vantage I GP-GP, LLC is the sole general partner of Versant Vantage I GP,</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459"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L.P. and has voting and dispositive control over the shares held by Versant Vantage. Dr. Davis is a managing director of Versant Vantage I GP-GP, LLC, and, as a result, may be deemed to share voting and investment power with respect to the shares held by Versant Vantage. The Versant Entities collectively hold more than 5% of our share capital.</w:t>
      </w:r>
    </w:p>
    <w:p>
      <w:pPr>
        <w:spacing w:after="0" w:line="3" w:lineRule="exact"/>
        <w:rPr>
          <w:sz w:val="20"/>
          <w:szCs w:val="20"/>
          <w:color w:val="auto"/>
        </w:rPr>
      </w:pPr>
    </w:p>
    <w:p>
      <w:pPr>
        <w:ind w:left="460" w:right="40" w:hanging="452"/>
        <w:spacing w:after="0" w:line="250"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Represents (i) 864,749 Series B preferred shares purchased by MPM 2014, (ii) 57,677 Series B preferred shares purchased by MPM B 2014 and (iii) 29,765 Series B preferred shares purchased by MPM LLC. Mr. Foley, a member of our board of directors, is a Managing Director of MPM BioVentures 2014 LLC, or BV2014 LLC. BV2014 LLC is the Managing Member of MPM BioVentures 2014 GP LLC, which is the General Partner of MPM 2014 and MPM B 2014. MPM LLC invests alongside MPM 2014 and MPM B 2014. As a result, Todd Foley may be deemed to share voting and investment power with respect to the shares held by each of the MPM Funds. The MPM Entities collectively hold more than 5% of our share capital.</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UBS Oncology Impact Fund L.P. is a holder of more than 5% of our share capital.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 with Bristol-Myers Squibb Company</w:t>
      </w:r>
    </w:p>
    <w:p>
      <w:pPr>
        <w:spacing w:after="0" w:line="121"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May 2020, we entered into a collaboration and license agreement, or the agreement, with Bristol-Myers Squibb Company, or Bristol Myers Squibb, pursuant to which we and Bristol Myers Squibb have agreed to collaborate in the research and development of potential new product candidates. Under the terms of the agreement, Bristol Myers Squibb paid us an initial upfront fee payment of $50.0 million. In connection with entering into the agreement, we entered into a warrant agreement with an affiliate of Bristol Myers Squibb, pursuant to which we issued a warrant which will be automatically exercised into our common shares at the subscription price of $15.0 million divided by the initial public offering price of our common shares in this offering. Based on the initial public offering price of $20.00 per share, Bristol Myers Squibb will acquire 750,000 of our common shares upon the automatic exercise of the warrant in connection with the consummation of this offering. See “Business—Collaborations and License Agreements— Collaboration and License Agreement with Bristol-Myers Squibb Company” for more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Services</w:t>
      </w:r>
    </w:p>
    <w:p>
      <w:pPr>
        <w:spacing w:after="0" w:line="121" w:lineRule="exact"/>
        <w:rPr>
          <w:sz w:val="20"/>
          <w:szCs w:val="20"/>
          <w:color w:val="auto"/>
        </w:rPr>
      </w:pPr>
    </w:p>
    <w:p>
      <w:pPr>
        <w:jc w:val="both"/>
        <w:ind w:right="60" w:firstLine="449"/>
        <w:spacing w:after="0" w:line="286" w:lineRule="auto"/>
        <w:rPr>
          <w:sz w:val="20"/>
          <w:szCs w:val="20"/>
          <w:color w:val="auto"/>
        </w:rPr>
      </w:pPr>
      <w:r>
        <w:rPr>
          <w:rFonts w:ascii="Arial" w:cs="Arial" w:eastAsia="Arial" w:hAnsi="Arial"/>
          <w:sz w:val="17"/>
          <w:szCs w:val="17"/>
          <w:color w:val="auto"/>
        </w:rPr>
        <w:t>From September 2018 to February 2020, we engaged Inception Sciences Canada, Inc., an affiliate of Versant, a holder of more than 5% of our share capital, for certain research services. For the years ended December 31, 2018 and 2019 and the three months ended March 31, 2020, we recorded expenses to Inception Sciences Canada of $321,989, $1,180,284 and $11,023 for such research services,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are party to an amended and restated registration rights agreement, or the registration rights agreement, dated September 3, 2019, with all holders of our preferred shares. The registration rights agreement provides that these holders are entitled to certain registration rights, including the right to demand that we file a registration statement or request that their shares be covered by a registration statement that we otherwise file. The registration rights will terminate upon the earliest of (i) the occurrence of certain mergers, amalgamations, consolidations, reorganizations, arrangements, business combinations or similar transactions that result in a change of control of our company, or a sale of all or substantially all of our assets, or a dissolution, liquidation or winding up of our company, (ii) three years after the completion of this offering or (iii) with respect to any particular holder, at such time that such holder can sell its preferred shares under Rule 144 of the Securities Act during any three-month period. For a description of the registration rights granted under the registration rights agreement, see the section titled “Description of Share Capital—Registration Rights.”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are party to a second amended and restated unanimous shareholders’ agreement, or the shareholders’ agreement, dated September 3, 2019, with all of our shareholders. The shareholders’ agreement provides, among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320" w:top="459" w:right="3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other things, that these holders will vote in accordance with the terms of the agreement, including in matters related to the composition of our board of directors, as well as for certain transfer restrictions, information rights and preemptive rights in favor of certain holders of our preferred shares with regard to certain issuances of our share capital. The shareholders’ agreement will terminate upon the completion of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We have entered into employment agreements with certain of our executive officers. For more information regarding these agreements with our named executive officers, see the sections titled “Executive Compensation—Agreements with our Named Executive Officers” and “Management.”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Arrangements</w:t>
      </w:r>
    </w:p>
    <w:p>
      <w:pPr>
        <w:spacing w:after="0" w:line="121"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employment agreements and offer letter agreements we have entered into with certain of our executive officers provide for certain severance arrangements. For more information regarding these arrangements with our named executive officers, see “Executive Compensation—Potential Payments upon Termination or Change of Control.”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21"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have granted options to certain of our executive officers and directors. See the sections titled “Non-Employee Director Compensation” and “Executive Compensation” for a description of these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have entered, and intend to continue to enter, into separate indemnity agreements with each of our directors and officers, in addition to the indemnification provided for in our bylaws. These indemnity agreements provide our directors and executive officers with contractual rights to indemnification and, in some cases, expense advancement in any action or proceeding arising out of their services as one of our directors or executive officers or as a director or executive officer of any other company or enterprise to which the person provides services at our request. For more information regarding these indemnity agreements, see “—Limitation on Liability and Indemnification Matters.”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connection with this offering, we have adopted a written related party transaction policy that sets forth our procedures for the identification, review, consideration and approval or ratification of related party transactions. This policy became effective upon the effectiveness of the registration statement of which this prospectus is a part. For purposes of this policy only, a “related person transaction” is a transaction, arrangement or relationship (or any series of similar transactions, arrangements or relationships) in which we and any related person are participants involving an amount that exceeds $120,000. Transactions involving compensation for services provided to us as an employee, consultant or director are not considered related-person transactions under this policy. A “related person” is any executive officer, director, nominee to become a director or a holder of more than 5% of our share capital, or any affiliate or member of the immediate family of the foregoing.</w:t>
      </w:r>
    </w:p>
    <w:p>
      <w:pPr>
        <w:spacing w:after="0" w:line="17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policy, where a transaction has been identified as a related-person transaction, management will be required to present information regarding the proposed related-person transaction to our audit committee or, where review by our audit committee would be inappropriate due to a conflict of interest, to another independent body of our board of directors, for review. The presentation will need to include a description of, among other things, all of the parties,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and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80"/>
          </w:cols>
          <w:pgMar w:left="320" w:top="459" w:right="3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management’s recommendation. To identify related-person transactions in advance, we will rely on information supplied by our executive officers, directors and certain significant shareholders. In considering related-person transactions, our audit committee or another independent body of our board of directors will take into account the relevant available facts and circumstances including, but not limited to:</w:t>
      </w:r>
    </w:p>
    <w:p>
      <w:pPr>
        <w:spacing w:after="0" w:line="89" w:lineRule="exact"/>
        <w:rPr>
          <w:sz w:val="20"/>
          <w:szCs w:val="20"/>
          <w:color w:val="auto"/>
        </w:rPr>
      </w:pPr>
    </w:p>
    <w:p>
      <w:pPr>
        <w:ind w:left="1000" w:hanging="547"/>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under the same or similar circumstances.</w:t>
      </w:r>
    </w:p>
    <w:p>
      <w:pPr>
        <w:spacing w:after="0" w:line="225"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shareholders.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320" w:top="459" w:right="3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beneficial ownership of our share capital as of March 31, 2020 by:</w:t>
      </w:r>
    </w:p>
    <w:p>
      <w:pPr>
        <w:spacing w:after="0" w:line="131" w:lineRule="exact"/>
        <w:rPr>
          <w:sz w:val="20"/>
          <w:szCs w:val="20"/>
          <w:color w:val="auto"/>
        </w:rPr>
      </w:pPr>
    </w:p>
    <w:p>
      <w:pPr>
        <w:ind w:left="1000" w:hanging="547"/>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shares;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The percentage ownership information under the column titled “Before Offering” is based on 23,268,085 common shares outstanding as of March 31, 2020, assuming the conversion of all outstanding preferred shares into an aggregate of 21,558,393 common shares immediately prior to the completion of this offering. The percentage ownership information under the column titled “After Offering” is based on (i) the sale of 11,000,000 common shares in this offering and (ii) the automatic exercise of the warrant held by an affiliate of Bristol Myers Squibb into an aggregate of 750,000 common shares. The percentage ownership information assumes no exercise of the underwriters’ option to purchase additional shares and no purchases of any common shares in this offering by the beneficial owners identified in the table below.</w:t>
      </w:r>
    </w:p>
    <w:p>
      <w:pPr>
        <w:spacing w:after="0" w:line="178"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Information with respect to beneficial ownership has been furnished by each director, officer or beneficial owner of more than 5% of our common shares.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common shares issuable pursuant to the exercise of options that are either immediately exercisable or exercisable within 60 days of March 31, 2020.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7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Except as otherwise noted below, the address for each person or entity listed in the table is c/o Repare Therapeutics Inc., 7210 Frederick-Banting, Suite 100, St-Laurent, Québec, Canada H4S 2A1.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rPr>
              <w:t>PERCENTAGE OF</w:t>
            </w:r>
          </w:p>
        </w:tc>
      </w:tr>
      <w:tr>
        <w:trPr>
          <w:trHeight w:val="158"/>
        </w:trPr>
        <w:tc>
          <w:tcPr>
            <w:tcW w:w="5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2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3"/>
                <w:szCs w:val="13"/>
                <w:color w:val="auto"/>
              </w:rPr>
            </w:pPr>
          </w:p>
        </w:tc>
        <w:tc>
          <w:tcPr>
            <w:tcW w:w="2260" w:type="dxa"/>
            <w:vAlign w:val="bottom"/>
            <w:gridSpan w:val="6"/>
          </w:tcPr>
          <w:p>
            <w:pPr>
              <w:jc w:val="center"/>
              <w:ind w:right="560"/>
              <w:spacing w:after="0" w:line="158" w:lineRule="exact"/>
              <w:rPr>
                <w:sz w:val="20"/>
                <w:szCs w:val="20"/>
                <w:color w:val="auto"/>
              </w:rPr>
            </w:pPr>
            <w:r>
              <w:rPr>
                <w:rFonts w:ascii="Arial" w:cs="Arial" w:eastAsia="Arial" w:hAnsi="Arial"/>
                <w:sz w:val="14"/>
                <w:szCs w:val="14"/>
                <w:b w:val="1"/>
                <w:bCs w:val="1"/>
                <w:color w:val="auto"/>
              </w:rPr>
              <w:t>SHARES BENEFICIALLY</w:t>
            </w:r>
          </w:p>
        </w:tc>
      </w:tr>
      <w:tr>
        <w:trPr>
          <w:trHeight w:val="162"/>
        </w:trPr>
        <w:tc>
          <w:tcPr>
            <w:tcW w:w="5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SHARES</w:t>
            </w: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491"/>
              <w:spacing w:after="0"/>
              <w:rPr>
                <w:sz w:val="20"/>
                <w:szCs w:val="20"/>
                <w:color w:val="auto"/>
              </w:rPr>
            </w:pPr>
            <w:r>
              <w:rPr>
                <w:rFonts w:ascii="Arial" w:cs="Arial" w:eastAsia="Arial" w:hAnsi="Arial"/>
                <w:sz w:val="14"/>
                <w:szCs w:val="14"/>
                <w:b w:val="1"/>
                <w:bCs w:val="1"/>
                <w:color w:val="auto"/>
              </w:rPr>
              <w:t>OWNED</w:t>
            </w:r>
          </w:p>
        </w:tc>
        <w:tc>
          <w:tcPr>
            <w:tcW w:w="560" w:type="dxa"/>
            <w:vAlign w:val="bottom"/>
            <w:gridSpan w:val="2"/>
          </w:tcPr>
          <w:p>
            <w:pPr>
              <w:spacing w:after="0"/>
              <w:rPr>
                <w:sz w:val="14"/>
                <w:szCs w:val="14"/>
                <w:color w:val="auto"/>
              </w:rPr>
            </w:pPr>
          </w:p>
        </w:tc>
      </w:tr>
      <w:tr>
        <w:trPr>
          <w:trHeight w:val="119"/>
        </w:trPr>
        <w:tc>
          <w:tcPr>
            <w:tcW w:w="50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2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BENEFICIALLY</w:t>
            </w:r>
          </w:p>
        </w:tc>
        <w:tc>
          <w:tcPr>
            <w:tcW w:w="92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BEFORE</w:t>
            </w:r>
          </w:p>
        </w:tc>
        <w:tc>
          <w:tcPr>
            <w:tcW w:w="700" w:type="dxa"/>
            <w:vAlign w:val="bottom"/>
          </w:tcPr>
          <w:p>
            <w:pPr>
              <w:spacing w:after="0"/>
              <w:rPr>
                <w:sz w:val="10"/>
                <w:szCs w:val="10"/>
                <w:color w:val="auto"/>
              </w:rPr>
            </w:pPr>
          </w:p>
        </w:tc>
        <w:tc>
          <w:tcPr>
            <w:tcW w:w="98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AFTER</w:t>
            </w:r>
          </w:p>
        </w:tc>
      </w:tr>
      <w:tr>
        <w:trPr>
          <w:trHeight w:val="171"/>
        </w:trPr>
        <w:tc>
          <w:tcPr>
            <w:tcW w:w="5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OWNED</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OFFERING</w:t>
            </w:r>
          </w:p>
        </w:tc>
        <w:tc>
          <w:tcPr>
            <w:tcW w:w="7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OFFERING</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17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(1)</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7,004,175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1680" w:type="dxa"/>
            <w:vAlign w:val="bottom"/>
            <w:gridSpan w:val="4"/>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(2)</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2,753,772</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OrbiMed Private Investments VII, L.P.</w:t>
            </w:r>
            <w:r>
              <w:rPr>
                <w:rFonts w:ascii="Arial" w:cs="Arial" w:eastAsia="Arial" w:hAnsi="Arial"/>
                <w:sz w:val="15"/>
                <w:szCs w:val="15"/>
                <w:color w:val="auto"/>
              </w:rPr>
              <w:t>(3)</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2,601,325</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11.2</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7.4</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(4)</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2,138,337</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Entities affiliated with Cowen</w:t>
            </w:r>
            <w:r>
              <w:rPr>
                <w:rFonts w:ascii="Arial" w:cs="Arial" w:eastAsia="Arial" w:hAnsi="Arial"/>
                <w:sz w:val="15"/>
                <w:szCs w:val="15"/>
                <w:color w:val="auto"/>
              </w:rPr>
              <w:t>(5)</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1,903,408</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8.2</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5.4</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7"/>
              </w:rPr>
              <w:t>Fonds de solidarité des travailleurs et travailleuses du Québec</w:t>
            </w:r>
            <w:r>
              <w:rPr>
                <w:rFonts w:ascii="Arial" w:cs="Arial" w:eastAsia="Arial" w:hAnsi="Arial"/>
                <w:sz w:val="15"/>
                <w:szCs w:val="15"/>
                <w:color w:val="auto"/>
                <w:w w:val="97"/>
              </w:rPr>
              <w:t>(6)</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1,753,889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Redmile Biopharma Investments II, L.P.</w:t>
            </w:r>
            <w:r>
              <w:rPr>
                <w:rFonts w:ascii="Arial" w:cs="Arial" w:eastAsia="Arial" w:hAnsi="Arial"/>
                <w:sz w:val="15"/>
                <w:szCs w:val="15"/>
                <w:color w:val="auto"/>
              </w:rPr>
              <w:t>(7)</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1,586,174</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6.8</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4.5</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Lloyd M. Segal</w:t>
            </w:r>
            <w:r>
              <w:rPr>
                <w:rFonts w:ascii="Arial" w:cs="Arial" w:eastAsia="Arial" w:hAnsi="Arial"/>
                <w:sz w:val="15"/>
                <w:szCs w:val="15"/>
                <w:color w:val="auto"/>
              </w:rPr>
              <w:t>(8)</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438,352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680" w:type="dxa"/>
            <w:vAlign w:val="bottom"/>
            <w:gridSpan w:val="4"/>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Michael Zinda, Ph.D.</w:t>
            </w:r>
            <w:r>
              <w:rPr>
                <w:rFonts w:ascii="Arial" w:cs="Arial" w:eastAsia="Arial" w:hAnsi="Arial"/>
                <w:sz w:val="15"/>
                <w:szCs w:val="15"/>
                <w:color w:val="auto"/>
              </w:rPr>
              <w:t>(9)</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120,646</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Maria Koehler, M.D., Ph.D.</w:t>
            </w:r>
            <w:r>
              <w:rPr>
                <w:rFonts w:ascii="Arial" w:cs="Arial" w:eastAsia="Arial" w:hAnsi="Arial"/>
                <w:sz w:val="15"/>
                <w:szCs w:val="15"/>
                <w:color w:val="auto"/>
              </w:rPr>
              <w:t>(10)</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48,458</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Katina Dorton</w:t>
            </w:r>
            <w:r>
              <w:rPr>
                <w:rFonts w:ascii="Arial" w:cs="Arial" w:eastAsia="Arial" w:hAnsi="Arial"/>
                <w:sz w:val="15"/>
                <w:szCs w:val="15"/>
                <w:color w:val="auto"/>
              </w:rPr>
              <w:t>(11)</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64,953</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65"/>
        </w:trPr>
        <w:tc>
          <w:tcPr>
            <w:tcW w:w="5060" w:type="dxa"/>
            <w:vAlign w:val="bottom"/>
          </w:tcPr>
          <w:p>
            <w:pPr>
              <w:spacing w:after="0"/>
              <w:rPr>
                <w:sz w:val="24"/>
                <w:szCs w:val="24"/>
                <w:color w:val="auto"/>
              </w:rPr>
            </w:pPr>
          </w:p>
        </w:tc>
        <w:tc>
          <w:tcPr>
            <w:tcW w:w="1760" w:type="dxa"/>
            <w:vAlign w:val="bottom"/>
          </w:tcPr>
          <w:p>
            <w:pPr>
              <w:jc w:val="right"/>
              <w:ind w:right="970"/>
              <w:spacing w:after="0"/>
              <w:rPr>
                <w:sz w:val="20"/>
                <w:szCs w:val="20"/>
                <w:color w:val="auto"/>
              </w:rPr>
            </w:pPr>
            <w:r>
              <w:rPr>
                <w:rFonts w:ascii="Arial" w:cs="Arial" w:eastAsia="Arial" w:hAnsi="Arial"/>
                <w:sz w:val="18"/>
                <w:szCs w:val="18"/>
                <w:color w:val="auto"/>
              </w:rPr>
              <w:t>181</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PERCENTAGE OF</w:t>
            </w:r>
          </w:p>
        </w:tc>
      </w:tr>
      <w:tr>
        <w:trPr>
          <w:trHeight w:val="158"/>
        </w:trPr>
        <w:tc>
          <w:tcPr>
            <w:tcW w:w="7220" w:type="dxa"/>
            <w:vAlign w:val="bottom"/>
          </w:tcPr>
          <w:p>
            <w:pPr>
              <w:spacing w:after="0"/>
              <w:rPr>
                <w:sz w:val="13"/>
                <w:szCs w:val="13"/>
                <w:color w:val="auto"/>
              </w:rPr>
            </w:pPr>
          </w:p>
        </w:tc>
        <w:tc>
          <w:tcPr>
            <w:tcW w:w="176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3"/>
                <w:szCs w:val="13"/>
                <w:color w:val="auto"/>
              </w:rPr>
            </w:pPr>
          </w:p>
        </w:tc>
        <w:tc>
          <w:tcPr>
            <w:tcW w:w="2020" w:type="dxa"/>
            <w:vAlign w:val="bottom"/>
            <w:gridSpan w:val="6"/>
          </w:tcPr>
          <w:p>
            <w:pPr>
              <w:jc w:val="center"/>
              <w:ind w:right="300"/>
              <w:spacing w:after="0" w:line="158" w:lineRule="exact"/>
              <w:rPr>
                <w:sz w:val="20"/>
                <w:szCs w:val="20"/>
                <w:color w:val="auto"/>
              </w:rPr>
            </w:pPr>
            <w:r>
              <w:rPr>
                <w:rFonts w:ascii="Arial" w:cs="Arial" w:eastAsia="Arial" w:hAnsi="Arial"/>
                <w:sz w:val="14"/>
                <w:szCs w:val="14"/>
                <w:b w:val="1"/>
                <w:bCs w:val="1"/>
                <w:color w:val="auto"/>
              </w:rPr>
              <w:t>SHARES BENEFICIALLY</w:t>
            </w:r>
          </w:p>
        </w:tc>
      </w:tr>
      <w:tr>
        <w:trPr>
          <w:trHeight w:val="162"/>
        </w:trPr>
        <w:tc>
          <w:tcPr>
            <w:tcW w:w="7220" w:type="dxa"/>
            <w:vAlign w:val="bottom"/>
          </w:tcPr>
          <w:p>
            <w:pPr>
              <w:spacing w:after="0"/>
              <w:rPr>
                <w:sz w:val="14"/>
                <w:szCs w:val="14"/>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SHARES</w:t>
            </w: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473"/>
              <w:spacing w:after="0"/>
              <w:rPr>
                <w:sz w:val="20"/>
                <w:szCs w:val="20"/>
                <w:color w:val="auto"/>
              </w:rPr>
            </w:pPr>
            <w:r>
              <w:rPr>
                <w:rFonts w:ascii="Arial" w:cs="Arial" w:eastAsia="Arial" w:hAnsi="Arial"/>
                <w:sz w:val="14"/>
                <w:szCs w:val="14"/>
                <w:b w:val="1"/>
                <w:bCs w:val="1"/>
                <w:color w:val="auto"/>
              </w:rPr>
              <w:t>OWNED</w:t>
            </w:r>
          </w:p>
        </w:tc>
        <w:tc>
          <w:tcPr>
            <w:tcW w:w="320" w:type="dxa"/>
            <w:vAlign w:val="bottom"/>
            <w:gridSpan w:val="2"/>
          </w:tcPr>
          <w:p>
            <w:pPr>
              <w:spacing w:after="0"/>
              <w:rPr>
                <w:sz w:val="14"/>
                <w:szCs w:val="14"/>
                <w:color w:val="auto"/>
              </w:rPr>
            </w:pPr>
          </w:p>
        </w:tc>
      </w:tr>
      <w:tr>
        <w:trPr>
          <w:trHeight w:val="119"/>
        </w:trPr>
        <w:tc>
          <w:tcPr>
            <w:tcW w:w="7220" w:type="dxa"/>
            <w:vAlign w:val="bottom"/>
          </w:tcPr>
          <w:p>
            <w:pPr>
              <w:spacing w:after="0"/>
              <w:rPr>
                <w:sz w:val="10"/>
                <w:szCs w:val="10"/>
                <w:color w:val="auto"/>
              </w:rPr>
            </w:pPr>
          </w:p>
        </w:tc>
        <w:tc>
          <w:tcPr>
            <w:tcW w:w="176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BENEFICIALLY</w:t>
            </w:r>
          </w:p>
        </w:tc>
        <w:tc>
          <w:tcPr>
            <w:tcW w:w="80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BEFORE</w:t>
            </w:r>
          </w:p>
        </w:tc>
        <w:tc>
          <w:tcPr>
            <w:tcW w:w="640" w:type="dxa"/>
            <w:vAlign w:val="bottom"/>
          </w:tcPr>
          <w:p>
            <w:pPr>
              <w:spacing w:after="0"/>
              <w:rPr>
                <w:sz w:val="10"/>
                <w:szCs w:val="10"/>
                <w:color w:val="auto"/>
              </w:rPr>
            </w:pPr>
          </w:p>
        </w:tc>
        <w:tc>
          <w:tcPr>
            <w:tcW w:w="500" w:type="dxa"/>
            <w:vAlign w:val="bottom"/>
          </w:tcPr>
          <w:p>
            <w:pPr>
              <w:ind w:left="140"/>
              <w:spacing w:after="0" w:line="119" w:lineRule="exact"/>
              <w:rPr>
                <w:sz w:val="20"/>
                <w:szCs w:val="20"/>
                <w:color w:val="auto"/>
              </w:rPr>
            </w:pPr>
            <w:r>
              <w:rPr>
                <w:rFonts w:ascii="Arial" w:cs="Arial" w:eastAsia="Arial" w:hAnsi="Arial"/>
                <w:sz w:val="13"/>
                <w:szCs w:val="13"/>
                <w:b w:val="1"/>
                <w:bCs w:val="1"/>
                <w:color w:val="auto"/>
                <w:w w:val="78"/>
              </w:rPr>
              <w:t>AFTER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7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6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OFFERING</w:t>
            </w:r>
          </w:p>
        </w:tc>
        <w:tc>
          <w:tcPr>
            <w:tcW w:w="40" w:type="dxa"/>
            <w:vAlign w:val="bottom"/>
          </w:tcPr>
          <w:p>
            <w:pPr>
              <w:spacing w:after="0"/>
              <w:rPr>
                <w:sz w:val="14"/>
                <w:szCs w:val="14"/>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OFFERING</w:t>
            </w:r>
          </w:p>
        </w:tc>
      </w:tr>
      <w:tr>
        <w:trPr>
          <w:trHeight w:val="20"/>
        </w:trPr>
        <w:tc>
          <w:tcPr>
            <w:tcW w:w="7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Jerel Davis, Ph.D.</w:t>
            </w:r>
            <w:r>
              <w:rPr>
                <w:rFonts w:ascii="Arial" w:cs="Arial" w:eastAsia="Arial" w:hAnsi="Arial"/>
                <w:sz w:val="15"/>
                <w:szCs w:val="15"/>
                <w:color w:val="auto"/>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7,004,173</w:t>
            </w:r>
          </w:p>
        </w:tc>
        <w:tc>
          <w:tcPr>
            <w:tcW w:w="6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David Bonita, M.D.</w:t>
            </w:r>
            <w:r>
              <w:rPr>
                <w:rFonts w:ascii="Arial" w:cs="Arial" w:eastAsia="Arial" w:hAnsi="Arial"/>
                <w:sz w:val="15"/>
                <w:szCs w:val="15"/>
                <w:color w:val="auto"/>
              </w:rPr>
              <w:t>(3)</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2,601,325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7.4</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Todd Foley</w:t>
            </w:r>
            <w:r>
              <w:rPr>
                <w:rFonts w:ascii="Arial" w:cs="Arial" w:eastAsia="Arial" w:hAnsi="Arial"/>
                <w:sz w:val="15"/>
                <w:szCs w:val="15"/>
                <w:color w:val="auto"/>
              </w:rPr>
              <w:t>(2)</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2,753,772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Samarth Kulkarni</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Briggs Morrison, M.D.</w:t>
            </w:r>
            <w:r>
              <w:rPr>
                <w:rFonts w:ascii="Arial" w:cs="Arial" w:eastAsia="Arial" w:hAnsi="Arial"/>
                <w:sz w:val="15"/>
                <w:szCs w:val="15"/>
                <w:color w:val="auto"/>
              </w:rPr>
              <w:t>(12)</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33,439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Kevin Raidy</w:t>
            </w:r>
            <w:r>
              <w:rPr>
                <w:rFonts w:ascii="Arial" w:cs="Arial" w:eastAsia="Arial" w:hAnsi="Arial"/>
                <w:sz w:val="15"/>
                <w:szCs w:val="15"/>
                <w:color w:val="auto"/>
              </w:rPr>
              <w:t>(5)</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1,903,408</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Ann Rhoads</w:t>
            </w:r>
            <w:r>
              <w:rPr>
                <w:rFonts w:ascii="Arial" w:cs="Arial" w:eastAsia="Arial" w:hAnsi="Arial"/>
                <w:sz w:val="15"/>
                <w:szCs w:val="15"/>
                <w:color w:val="auto"/>
              </w:rPr>
              <w:t>(13)</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Carol Schafer</w:t>
            </w:r>
            <w:r>
              <w:rPr>
                <w:rFonts w:ascii="Arial" w:cs="Arial" w:eastAsia="Arial" w:hAnsi="Arial"/>
                <w:sz w:val="15"/>
                <w:szCs w:val="15"/>
                <w:color w:val="auto"/>
              </w:rPr>
              <w:t>(14)</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11,066</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current executive officers and directors as a group (11 persons)</w:t>
            </w:r>
            <w:r>
              <w:rPr>
                <w:rFonts w:ascii="Arial" w:cs="Arial" w:eastAsia="Arial" w:hAnsi="Arial"/>
                <w:sz w:val="15"/>
                <w:szCs w:val="15"/>
                <w:b w:val="1"/>
                <w:bCs w:val="1"/>
                <w:color w:val="auto"/>
              </w:rPr>
              <w:t>(15)</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14,914,641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460" w:hanging="452"/>
        <w:spacing w:after="0" w:line="283"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Consists of (a)(i) 651,462 common shares, (ii) 2,054,198 common shares issuable upon the conversion of Class A preferred shares and (iii) 111,361 common shares issuable upon the conversion of Class B preferred shares held by Versant Venture Capital V, L.P., or Versant V; (b)(i) 49,580 common shares, (ii) 156,335 common shares issuable upon the conversion of Class A preferred shares and (iii) 8,475 common shares issuable upon the conversion of Class B preferred shares held by Versant Venture Capital V (Canada) LP, or Versant V Canada; (c)(i) 21,692 common shares, (ii) 68,398 common shares issuable upon the conversion of Class A preferred shares and (iii) 3,708 common shares issuable upon the conversion of Class B preferred shares held by Versant Ophthalmic Affiliates Fund I, L.P., or Versant Ophthalmic; (d)(i) 19,596 common shares, (ii) 61,791 common shares issuable upon the conversion of Class A preferred shares and (iii) 3,350 common shares issuable upon the conversion of Class B preferred shares held by Versant Affiliates Fund V, L.P., or Versant Affiliates V; (e)(i) 2,443,883 common shares issuable upon the conversion of Class A preferred shares and (ii) 875,568 common shares issuable upon the conversion of Class B preferred shares held by Versant Venture Capital VI, L.P., or Versant VI; (f) 458,282 common shares issuable upon the conversion of Class B preferred shares held by Versant Vantage I, L.P., or Versant Vantage; and (g) 16,496 common shares held by one individual associated with Versant Venture Management, LLC or VVM. VVM, Versant V, Versant V Canada, Versant Ophthalmic, Versant Affiliates V, Versant VI and Versant Vantage are collectively referred to as the Versant Entities. Versant Ventures V, LLC is the general partner of each of Versant V, Versant Ophthalmic and Versant Affiliates V and has voting and dispositive control over the shares held by such entities. Versant Ventures V (Canada), L.P. is the general partner of Versant V Canada and Versant Ventures V GP-GP (Canada), Inc. is the sole general partner of Versant Ventures V (Canada), L.P. and has voting and dispositive control over the shares held by Versant V Canada. Dr. Davis, Brad Bolzon, Tom Woiwode, William Link, Samuel Colella, Kirk Nielsen and Robin Praeger, the managing directors of Versant Ventures V, LLC and the directors of Versant Ventures V GP-GP (Canada), Inc., may be deemed to possess voting and dispositive control over the shares held by Versant V, Versant V Canada, Versant Ophthalmic and Versant Affiliates V and may be deemed to have indirect beneficial ownership of the shares held by Versant V, Versant V Canada, Versant Ophthalmic and Versant Affiliates V but disclaims beneficial ownership of such securities, except to the extent of their respective pecuniary interest therein, if any. Versant Ventures VI GP, L.P. is the sole general partner of Versant VI and Versant Ventures VI GP-GP, LLC is the sole general partner of Versant Ventures VI GP, L.P. and has voting and dispositive control over the shares held by Versant VI. Dr.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 GP, L.P. is the sole general partner of Versant Vantage and Versant Vantage I GP-GP, LLC is the sole general partner of Versant Vantage I GP, L.P. and has voting and dispositive control over the shares held by Versant Vantage. Dr. Davis, Brad Bolzon, Tom Woiwode, Clare Ozawa and Robin Praeger, the managing directors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of Versant Vantage I GP-GP, LLC, may be deemed to possess voting and dispositive control over the shares held by Versant Vantage and may be deemed to have indirect beneficial ownership of the shares held by Versant Vantage but disclaims beneficial ownership of such securities, except to the extent of their respective pecuniary interest therein, if any. The address for the Versant Entities is One Sansome Street, Suite 3630, San Francisco, CA 94104.</w:t>
      </w:r>
    </w:p>
    <w:p>
      <w:pPr>
        <w:spacing w:after="0" w:line="2" w:lineRule="exact"/>
        <w:rPr>
          <w:sz w:val="20"/>
          <w:szCs w:val="20"/>
          <w:color w:val="auto"/>
        </w:rPr>
      </w:pPr>
    </w:p>
    <w:p>
      <w:pPr>
        <w:ind w:left="460" w:right="40" w:hanging="452"/>
        <w:spacing w:after="0" w:line="281"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Consists of (a)(i) 1,636,136 common shares issuable upon the conversion of Class A preferred shares and (ii) 864,749 common shares issuable upon the conversion of Class B preferred shares held by MPM Bioventures 2014, L.P., or MPM 2014; (b)(i) 109,128 common shares issuable upon the conversion of Class A preferred shares and (ii) 57,677 common shares issuable upon the conversion of Class B preferred shares held by MPM Bioventures 2014 (B), L.P., or MPM B 2014; and (c)(i) 56,317 common shares issuable upon the conversion of Class A preferred shares and (ii) 29,765 common shares issuable upon the conversion of Class B preferred shares held by MPM Asset Management Investors BV2014 LLC, or MPM LLC. MPM 2014, MPM B 2014 and MPM LLC are collectively referred to as the MPM Entities. Todd Foley, a member of our board of directors, Luke Evnin and Ansbert Gadicke and are managing directors of MPM BioVentures 2014 LLC, or BV2014 LLC. BV2014 LLC is the Managing Member of MPM BioVentures 2014 GP LLC, which is the General Partner of MPM 2014 and MPM B 2014. MPM LLC invests alongside MPM 2014 and MPM B 2014. Each of Drs. Evnin and Gadicke and Mr. Foley shares power to vote, acquire, hold and dispose of the shares held by each of the MPM Entities. Each of the entities and individuals listed above expressly disclaims beneficial ownership of the securities listed above except to the extent of any pecuniary interest therein. The address of each of the MPM Entities is 450 Kendall Street, Cambridge, MA 02142.</w:t>
      </w:r>
    </w:p>
    <w:p>
      <w:pPr>
        <w:spacing w:after="0" w:line="6"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Consists of 2,601,325 common shares issuable upon the conversion of Class B preferred shares held by OrbiMed Private Investments VII, L.P., or OrbiMed. OrbiMed Advisors LLC, or Advisors, is the managing member of OrbiMed Capital GP VII LLC, or GP VII. GP VII is the general partner of OrbiMed. David Bonita, M.D., a member of our board of directors, is a member of Advisors. By virtue of such relationships, GP VII and Advisors may be deemed to have voting power and investment power over the securities held by OrbiMed and as a result, may be deemed to have beneficial ownership over such securities. Advisors exercises voting and investment power through a management committee comprised of Carl L. Gordon, Sven H. Borho, and Jonathan T. Silverstein, each of whom disclaims beneficial ownership of the shares held by OrbiMed. OrbiMed holds more than 5% of our share capital prior to this offering. The address of OrbiMed is 601 Lexington Avenue, 54th Floor, New York, NY 10022.</w:t>
      </w:r>
    </w:p>
    <w:p>
      <w:pPr>
        <w:spacing w:after="0" w:line="4"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Consists of (i) 1,801,580 common shares issuable upon the conversion of Class A preferred shares and (ii) 336,757 common shares issuable upon the conversion of Class B preferred shares held by UBS Oncology Impact Fund, L.P. The general partner of UBS Oncology Impact Fund, L.P. is Oncology Impact Fund (Cayman) Management L.P. The general partner of Oncology Impact Fund (Cayman) Management L.P. is MPM Oncology Impact Management LP. The general partner of MPM Oncology Impact Management LP is MPM Oncology Impact Management GP LLC. Ansbert Gadicke is a Managing Member and the Managing Director of MPM Oncology Impact Management GP LLC and has voting and dispositive power over the shares held by UBS Oncology Impact Fund, L.P. The address of UBS Oncology Impact Fund, L.P. is Durell House, 28 New Street, St Helier, Jersey, JE1 4FS.</w:t>
      </w:r>
    </w:p>
    <w:p>
      <w:pPr>
        <w:spacing w:after="0" w:line="2" w:lineRule="exact"/>
        <w:rPr>
          <w:rFonts w:ascii="Arial" w:cs="Arial" w:eastAsia="Arial" w:hAnsi="Arial"/>
          <w:sz w:val="18"/>
          <w:szCs w:val="18"/>
          <w:color w:val="auto"/>
        </w:rPr>
      </w:pPr>
    </w:p>
    <w:p>
      <w:pPr>
        <w:ind w:left="460" w:right="120" w:hanging="452"/>
        <w:spacing w:after="0" w:line="287"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Consists of (a) 1,773,210 common shares issuable upon the conversion of Class B preferred shares held by Cowen Healthcare Investments II LP, or CHI II, and (b) 130,198 common shares issuable upon the conversion of Class B preferred shares held by CHI EF II LP, or CHI EF. CHI II and CHI EF are collectively referred to as the Cowen Entities. CHI Advisors LLC is the investment adviser to the Cowen Entities and, in such capacity, exercises voting and investment power over the shares held by the Cowen Entities and may be deemed to be the beneficial owner of the shares held by the Cowen Entities. As managing partner of CHI Advisors LLC, Kevin J. Raidy, previously a member of our board of directors, may be deemed to share voting and investment power with respect to the shares held by the Cowen Entities. Mr. Raidy disclaims beneficial ownership of the shares held by CHI II and CHI EF II LP, except to the extent of any actual pecuniary interest. The address of each of the Cowen Entities is CHI Advisors LLC, 599 Lexington Avenue, 19th Floor, New York, NY 10022. Mr. Raidy resigned from our board of directors on June 18, 2020.</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320" w:top="459" w:right="3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60" w:hanging="452"/>
        <w:spacing w:after="0" w:line="253"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Consists of (a) 1,370,767 common shares issuable upon the conversion of Class A preferred shares held by Fonds de solidarité des travailleurs et travailleuses du Québec, or FTQ, and (b) 383,122 common shares issuable upon the conversion of Class B preferred shares held by FTQ. The FTQ investment committee, consisting of Christine Beaubien, Anouk Collet, Loïc Breton, Chantal Laberge, Hubert Manseau, Roger A. Renaud, Michelle Savoie and Jacques Simard, may be deemed to have voting and dispositive power over the common shares held by FTQ. Investment decisions with respect to the common shares held by FTQ can be made by its investment committee. The address of FTQ is 545 Blvd. Crémazie East, Suite 200, Montréal (QC) Canada, H2M 2W4.</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Consists of 1,586,174 common shares issuable upon the conversion of Class B preferred shares held by Redmile Biopharma Investments II, L.P. Redmile Group, LLC is the investment manager to Redmile Biopharma Investments II, L.P. and, in such capacity, exercises shared voting and investment power over the shares held by Redmile Biopharma Investments II, L.P. and may be deemed to beneficially own such shares. Jeremy Green serves as the managing member of Redmile Group, LLC, and as such shares voting and dispositive power over the shares held by Redmile Biopharma Investments II, L.P. Redmile Group, LLC and Mr. Green each disclaim beneficial ownership of these shares, except to the extent of its or his pecuniary interest in such shares, if any. The address of the above person and entities is Letterman Digital Arts Center, One Letterman Drive, Suite D3-300, San Francisco, CA 94129.</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Consists of (a) 148,466 common shares held by Mr. Segal and (b) 289,886 common shares issuable upon the exercise of options granted to Mr. Segal that are exercisable within 60 days of March 31, 2020.</w:t>
      </w:r>
    </w:p>
    <w:p>
      <w:pPr>
        <w:ind w:left="460" w:right="200" w:hanging="452"/>
        <w:spacing w:after="0" w:line="250"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Consists of (a) 85,229 common shares held by Dr. Zinda and (b) 35,417 common shares issuable upon the exercise of options granted to Dr. Zinda that are exercisable within 60 days of March 31, 2020.</w:t>
      </w:r>
    </w:p>
    <w:p>
      <w:pPr>
        <w:ind w:left="460" w:right="360" w:hanging="452"/>
        <w:spacing w:after="0" w:line="250"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Consists of 48,458 common shares issuable upon the exercise of options granted to Dr. Koehler that are exercisable within 60 days of March 31, 2020.</w:t>
      </w: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Consists of 64,953 common shares held by Ms. Dorton. Ms. Dorton’s employment was terminated effective October 10, 2019.</w:t>
      </w:r>
    </w:p>
    <w:p>
      <w:pPr>
        <w:spacing w:after="0" w:line="9"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Consists of 33,439 common shares issuable upon the exercise of options granted to Dr. Morrison that are exercisable within 60 days of March 31, 2020.</w:t>
      </w: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Ms. Rhoads joined our board of directors in June 2020.</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Consists of 11,066 common shares issuable upon the exercise of options granted to Ms. Schafer that are exercisable within 60 days of March 31, 2020.</w:t>
      </w:r>
    </w:p>
    <w:p>
      <w:pPr>
        <w:ind w:left="460" w:hanging="452"/>
        <w:spacing w:after="0" w:line="253"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Consists of (i) 992,521 common shares, (ii) 6,586,186 common shares issuable upon the conversion of Class A preferred shares, (iii) 5,014,260 common shares issuable upon the conversion of Class B preferred shares and (iv) 418,263 common shares issuable upon the exercise of options. The shares held by Ms. Dorton have been excluded as she is not a current executive officer. The shares held by Mr. Raidy have been excluded as he is not a current director.</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320" w:top="459" w:right="3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i w:val="1"/>
          <w:iCs w:val="1"/>
          <w:color w:val="auto"/>
        </w:rPr>
        <w:t>The following description of our share capital, certain provisions of our articles of continuance and amended and restated bylaws, as each will be in effect upon the closing of this offering, and certain provisions of Québec law are summaries. You should also refer to the articles of continuance and the amended and restated bylaws, which are filed as exhibits to the registration statement of which this prospectus is part.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300" w:firstLine="449"/>
        <w:spacing w:after="0" w:line="296" w:lineRule="auto"/>
        <w:rPr>
          <w:sz w:val="20"/>
          <w:szCs w:val="20"/>
          <w:color w:val="auto"/>
        </w:rPr>
      </w:pPr>
      <w:r>
        <w:rPr>
          <w:rFonts w:ascii="Arial" w:cs="Arial" w:eastAsia="Arial" w:hAnsi="Arial"/>
          <w:sz w:val="16"/>
          <w:szCs w:val="16"/>
          <w:color w:val="auto"/>
        </w:rPr>
        <w:t>Following the completion of this offering, based upon shares outstanding as of March 31, 2020 and assuming (i) the conversion of all outstanding preferred shares and (ii) the automatic exercise of the warrant held by an affiliate of Bristol-Myers Squibb Company, or Bristol Myers Squibb, into an aggregate of 750,000 common shares, based on the initial public offering price of $20.00 per share, in each case effected immediately prior to the completion of this offering, our share capital will consist of an unlimited number of common shares, no par value per share, of which 35,018,085 shares will be issued and outstanding, and an unlimited number of preferred shares, no par value per share, none of which will be issued and outstanding.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17"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As of March 31, 2020, we had 24,018,085 common shares outstanding, which were held by approximately 35 shareholders of record, assuming (i) the conversion of all outstanding preferred shares into 21,558,393 common shares and (ii) the automatic exercise of the warrant held by an affiliate of Bristol Myers Squibb into an aggregate of 750,000 common shares, based on the initial public offering price of $20.00 per share, in each case effected immediately prior to the completion of this offering.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Under our articles of continuance to be in effect following the completion of this offering, the holders of common shares will be entitled to one vote for each share held at any meeting of the shareholders.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Subject to the prior rights of the holders of our preferred shares, the holders of common shares will be entitled to receive dividends as and when declared by our board of directors. See “Dividend Policy.”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160" w:firstLine="449"/>
        <w:spacing w:after="0" w:line="342" w:lineRule="auto"/>
        <w:rPr>
          <w:sz w:val="20"/>
          <w:szCs w:val="20"/>
          <w:color w:val="auto"/>
        </w:rPr>
      </w:pPr>
      <w:r>
        <w:rPr>
          <w:rFonts w:ascii="Arial" w:cs="Arial" w:eastAsia="Arial" w:hAnsi="Arial"/>
          <w:sz w:val="16"/>
          <w:szCs w:val="16"/>
          <w:color w:val="auto"/>
        </w:rPr>
        <w:t xml:space="preserve">Subject to the prior payment to the holders of our preferred shares, in the event of our liquidation, dissolution or winding-up or other distribution of our assets among our shareholders, the holders of common shares will be entitled to share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the distribution of the balance of our assets.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holders of common shares will have no preemptive, conversion rights or other subscription rights. There will be no redemption or sinking fund provisions applicable to our common shares. There will be no provision in our articles of continuance to be in effect following the closing of this offering requiring the holders of common shares to contribute additional capital or permitting or restricting the issuance of additional securities or any other material restrictions. The rights, preferences and privileges of the holders of common shares will be subject to and may be adversely affected by, the rights of the holders of any series of preferred shares that we may designate in the future.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459" w:right="3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Upon the completion of this offering, all outstanding preferred shares will convert into common shares on a one-to-one basis. As of March 31, 2020, we had 21,558,393 preferred shares outstanding, held of record by 22 shareholders. Under our articles of continuance to be in effect following the completion of this offering, we will be authorized to issue, without shareholder approval, an unlimited number of preferred shares, issuable in one or more series, and, subject to the provisions of the QBCA, having such designations, rights, privileges, restrictions and conditions, including dividend and voting rights, as our board of directors may determine, and such rights and privileges, including dividend and voting rights, may be superior to those of the common shares. The issuance of preferred shares, while providing flexibility in connection with possible acquisitions and other corporate purposes, could, among other things, have the effect of delaying, deferring or preventing a change in control of our company and might adversely affect the market price of our common shares and the voting and other rights of the holders of common shares. We have no current plans to issue any preferred shares following the completion of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As of March 31, 2020, 3,323,801 common shares were issuable upon the exercise of outstanding share options, at a weighted-average exercise price of $2.09 per common share. For additional information regarding terms of our equity incentive plans, see the section titled “Executive and Director Compensation—Equity Incentive Plans.”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w:t>
      </w:r>
    </w:p>
    <w:p>
      <w:pPr>
        <w:spacing w:after="0" w:line="12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May 2020, in connection with our entry into a collaboration and license agreement with Bristol Myers Squibb, we entered into a warrant agreement with an affiliate of Bristol Myers Squibb. Pursuant to the terms of the warrant agreement, Bristol Myers Squibb paid us $15 million in consideration for our issuance of a warrant. Immediately prior to the completion of this offering, the warrant will be automatically exercised for a number of our common shares equal to the subscription price of $15 million divided by the initial public offering price of our common shares set forth on the cover page of this prospectus. Based on the initial public offering price of $20.00 per share, Bristol Myers Squibb will acquire 750,000 of our common shares upon the automatic exercise in connection with the consummation of this offering.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Upon the completion of this offering, holders of the common shares issued upon the conversion of our preferred shares, including any accrued dividends thereon, as well as BMS Strategic Portfolio Investments Holdings, Inc., an affiliate of Bristol Myers Squibb, with respect to the common shares issuable to it upon automatic exercise of its warrant, will be entitled to certain rights with respect to registration of such shares under the Securities Act, pursuant to the terms of the registration rights agreement by and among us and certain of our holders. We refer to these shares as registrable securities. The registration of common shares pursuant to the exercise of the registration rights described below would enable the holders to trade these shares without restriction under the Securities Act when the applicable registration statement is declared effective.</w:t>
      </w:r>
    </w:p>
    <w:p>
      <w:pPr>
        <w:spacing w:after="0" w:line="17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will pay the registration expenses, other than underwriting fees, selling commissions and share transfer taxes for the shares registered pursuant to the demand, piggyback and short-form registrations described below. Expenses relating to underwriting fees, selling commissions and share transfer taxes for the shares registered will be borne by us and the participating holders in proportion to the number of common shares sold by each, or, as between the participating holders, as such participating holders may otherwise agree.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80"/>
          </w:cols>
          <w:pgMar w:left="320" w:top="459" w:right="3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As of March 31, 2020, holders of an aggregate of 22,300,723 registrable securities were entitled to these demand, piggyback and short-form registration rights. Under the terms of the registration rights agreement, holders of registrable securities will have equivalent registration rights with respect to any of our common shares acquired by these holders. Upon completion of this offering, BMS Strategic Portfolio Investments Holdings, Inc., an affiliate of Bristol Myers Squibb, will become party to the registration rights agreement, such that an aggregate of 750,000 registrable securities held by BMS Strategic Portfolio Investments Holdings, Inc. will be subject to the registration rights set forth in the registration rights agreement, which gives effect to the automatic exercise of the warrant into an aggregate of 750,000 common shares, based on the initial public offering price of $20.00 per share.</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forms a part, the holders of at least a majority of the registrable securities then outstanding have the right to make up to two demands that we file a registration statement under the Securities Act, subject to specified conditions and exceptions.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If we register any securities for public sale, the holders of our registrable securities then outstanding will each be entitled to notice of the registration and will have the right to include their shares in the registration statement, subject to specified exceptions. The underwriters of any underwritten offering will have the right to limit the number of shares having registration rights to be included in such registration statement, but not below 30% of the total amount of securities included in such registration.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forms a part, if we are eligible to file a registration statement on Form S-3 under the Securities Act or Form 44-101F1 under National Instrument 44-101 of the Canadian Securities Administrators, as applicable, the holders of our registrable securities then outstanding will have the right to demand that we file a registration statement on Form S-3 or Form 44-101F1, as applicable, provided that the aggregate amount of securities to be sold under such short-form registration statement is at least $5.0 million. We are not obligated to effect a demand for registration on Form S-3 or Form 44-101 by holders of our registrable securities more than two times during any 12-month period. The right to have such shares registered on Form S-3 or Form 44-101 is further subject to other specified conditions and limitations.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demand, piggyback and short-form registration rights described below will expire upon the earliest of (i) the occurrence of certain mergers, amalgamations, consolidations, reorganizations, arrangements, business combinations or similar transactions that result in a change of control, or a sale of all or substantially all of our assets, or a dissolution, liquidation or winding up of our company, (ii) three years after the completion this offering or (iii) with respect to any particular holder, at such time that such holder can sell its preferred shares under Rule 144 of the Securities Act during any three-month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registration rights agreement contains customary cross-indemnification provisions, pursuant to which we are obligated to indemnify the selling shareholders in the event of material misstatements or omissions in the registration statement attributable to us, and they are obligated to indemnify us for material misstatements or omissions in the registration statement attributable to them.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Our amended and restated bylaws to be in effect following the completion of this offering will provide that the courts of the Province of Québec and the appellate courts therefrom shall, to the fullest extent permitted by law, be the sole and exclusive forum for: (i) any derivative action or proceeding brought on our behalf; (ii) any action or proceeding asserting a claim for breach of a fiduciary duty owed to us by any of our directors, officers or other employees; (iii) any action or proceeding asserting a claim arising pursuant to any provision of the Business Corporations Act (Québec) or our articles or by-laws (as either may be amended from time to time); or (iv) any action or proceeding asserting a claim otherwise related to our affairs, provided that, the exclusive forum provision will not apply to suits brought to enforce any liability or duty created by the Securities Act, the Exchange Act or any other claim for which the U.S. federal courts have exclusive jurisdiction. Our amended and restated bylaws to be in effect following the completion of this offering further provide that unless we consent in writing to the selection of an alternative forum, the federal district courts of the United States of America shall be the exclusive forum for the resolution of any complaint asserting a cause of action arising under the Securities Act. It is possible that a court of law could rule that the choice of forum provision contained in our amended and restated bylaws is inapplicable or unenforceable if it is challenged in a proceeding or otherwise.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The transfer agent and registrar for our common shares will be Computershare Investor Services Inc. The transfer agent’s address is 1500 Robert-Bourassa Boulevard, 7th Floor, Montréal, Québec H3A 3S8.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have been approved for listing on the Nasdaq Global Select Market under the symbol “RPTX.”</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80"/>
          </w:cols>
          <w:pgMar w:left="320" w:top="459" w:right="3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Prior to this offering, there has been no public market for our common shares, and a liquid trading market for our common shares may not develop or be sustained after this offering. Future sales of our common shares, including shares issued upon the exercise of outstanding options, in the public market after the completion of this offering, or the perception that those sales may occur, could adversely affect the prevailing market price for our common shares from time to time or impair our ability to raise equity capital in the future. As described below, only a limited number of our common shares will be available for sale in the public market for a period of several months after the completion of this offering due to contractual and legal restrictions on resale described below. Future sales of our common shares in the public market either before or after restrictions lapse, or the perception that those sales may occur, could adversely affect the prevailing market price of our common shares at such time and our ability to raise equity capital at a time and price we deem appropriate.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21"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Based on the number of common shares outstanding as of March 31, 2020, upon the closing of this offering and assuming (i) the conversion of our outstanding preferred shares into an aggregate of 21,558,393 common shares immediately prior to the completion of this offering, (ii) the automatic exercise of the warrant held by an affiliate of Bristol Myers Squibb into an aggregate of 750,000 common shares immediately prior to the completion of this offering, based on the initial public offering price of $20.00 per share, (iii) no exercise of the underwriters’ option to purchase additional common shares, and (iv) no exercise of outstanding options, we will have 35,018,085 outstanding common shares as of such date. Of these shares, all of the 11,000,000 common shares to be sold in this offering will be freely tradable in the public market without restriction or further registration under the Securities Act, unless the shares are held by any of our “affiliates” as such term is defined in Rule 144 of the Securities Act, or Rule 144 or subject to lock-up agreements. All remaining common shares held by existing shareholders immediately prior to the consummation of this offering will be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of the Securities Act, or Rule 701, which rules are summarized below.</w:t>
      </w:r>
    </w:p>
    <w:p>
      <w:pPr>
        <w:spacing w:after="0" w:line="18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based on the number of our common shares outstanding as of March 31, 2020, the common shares (excluding the shares sold in this offering) that will be available for sale in the public market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4"/>
                <w:szCs w:val="14"/>
                <w:b w:val="1"/>
                <w:bCs w:val="1"/>
                <w:color w:val="auto"/>
                <w:w w:val="92"/>
              </w:rPr>
              <w:t>Approximate Number of Shares</w:t>
            </w:r>
          </w:p>
        </w:tc>
        <w:tc>
          <w:tcPr>
            <w:tcW w:w="8740" w:type="dxa"/>
            <w:vAlign w:val="bottom"/>
            <w:gridSpan w:val="3"/>
          </w:tcPr>
          <w:p>
            <w:pPr>
              <w:ind w:left="60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20"/>
        </w:trPr>
        <w:tc>
          <w:tcPr>
            <w:tcW w:w="3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195"/>
        </w:trPr>
        <w:tc>
          <w:tcPr>
            <w:tcW w:w="2340" w:type="dxa"/>
            <w:vAlign w:val="bottom"/>
            <w:gridSpan w:val="2"/>
          </w:tcPr>
          <w:p>
            <w:pPr>
              <w:spacing w:after="0" w:line="195" w:lineRule="exact"/>
              <w:rPr>
                <w:sz w:val="20"/>
                <w:szCs w:val="20"/>
                <w:color w:val="auto"/>
              </w:rPr>
            </w:pPr>
            <w:r>
              <w:rPr>
                <w:rFonts w:ascii="Arial" w:cs="Arial" w:eastAsia="Arial" w:hAnsi="Arial"/>
                <w:sz w:val="18"/>
                <w:szCs w:val="18"/>
                <w:color w:val="auto"/>
              </w:rPr>
              <w:t>24,018,085 shares</w:t>
            </w:r>
          </w:p>
        </w:tc>
        <w:tc>
          <w:tcPr>
            <w:tcW w:w="8740" w:type="dxa"/>
            <w:vAlign w:val="bottom"/>
            <w:gridSpan w:val="3"/>
          </w:tcPr>
          <w:p>
            <w:pPr>
              <w:ind w:left="600"/>
              <w:spacing w:after="0" w:line="195" w:lineRule="exact"/>
              <w:rPr>
                <w:sz w:val="20"/>
                <w:szCs w:val="20"/>
                <w:color w:val="auto"/>
              </w:rPr>
            </w:pPr>
            <w:r>
              <w:rPr>
                <w:rFonts w:ascii="Arial" w:cs="Arial" w:eastAsia="Arial" w:hAnsi="Arial"/>
                <w:sz w:val="18"/>
                <w:szCs w:val="18"/>
                <w:color w:val="auto"/>
                <w:w w:val="89"/>
              </w:rPr>
              <w:t>181 days after the date of this prospectus, upon expiration of the lock-up agreements referred to below, subject in</w:t>
            </w:r>
          </w:p>
        </w:tc>
      </w:tr>
      <w:tr>
        <w:trPr>
          <w:trHeight w:val="230"/>
        </w:trPr>
        <w:tc>
          <w:tcPr>
            <w:tcW w:w="3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740" w:type="dxa"/>
            <w:vAlign w:val="bottom"/>
            <w:gridSpan w:val="3"/>
          </w:tcPr>
          <w:p>
            <w:pPr>
              <w:ind w:left="600"/>
              <w:spacing w:after="0"/>
              <w:rPr>
                <w:sz w:val="20"/>
                <w:szCs w:val="20"/>
                <w:color w:val="auto"/>
              </w:rPr>
            </w:pPr>
            <w:r>
              <w:rPr>
                <w:rFonts w:ascii="Arial" w:cs="Arial" w:eastAsia="Arial" w:hAnsi="Arial"/>
                <w:sz w:val="18"/>
                <w:szCs w:val="18"/>
                <w:color w:val="auto"/>
              </w:rPr>
              <w:t>some cases to applicable volume, manner of sale and other limitations under Rule 144 and Rule 701.</w:t>
            </w:r>
          </w:p>
        </w:tc>
      </w:tr>
    </w:tbl>
    <w:p>
      <w:pPr>
        <w:spacing w:after="0" w:line="202"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We may issue common shares from time to time as consideration for future acquisitions, investments or other corporate purposes. In the event that any such acquisition, investment or other transaction is significant, the number of common shares that we may issue may in turn be significant. We may also grant registration rights covering those common shares issued in connection with any such acquisition and investment.</w:t>
      </w:r>
    </w:p>
    <w:p>
      <w:pPr>
        <w:spacing w:after="0" w:line="16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 addition, the common shares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In general, persons who have beneficially owned restricted common shares for at least six months, and any affiliate of the company who owns common shares, are entitled to sell their securities without registration with the SEC under an exemption from registration provided by Rule 144.</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320" w:top="459" w:right="3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w:t>
      </w:r>
    </w:p>
    <w:p>
      <w:pPr>
        <w:spacing w:after="0" w:line="196"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common shares that does not exceed the greater of:</w:t>
      </w:r>
    </w:p>
    <w:p>
      <w:pPr>
        <w:spacing w:after="0" w:line="92" w:lineRule="exact"/>
        <w:rPr>
          <w:sz w:val="20"/>
          <w:szCs w:val="20"/>
          <w:color w:val="auto"/>
        </w:rPr>
      </w:pPr>
    </w:p>
    <w:p>
      <w:pPr>
        <w:ind w:left="1000" w:right="20" w:hanging="539"/>
        <w:spacing w:after="0" w:line="263" w:lineRule="auto"/>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common shares then outstanding, which will equal approximately common shares immediately upon the completion of this offering (calculated as of March 31, 2020 on the basis of the assumptions described above and assuming no exercise of the underwriter’s option to purchase additional shares and no exercise of outstanding options); or</w:t>
      </w:r>
    </w:p>
    <w:p>
      <w:pPr>
        <w:spacing w:after="0" w:line="89" w:lineRule="exact"/>
        <w:rPr>
          <w:sz w:val="20"/>
          <w:szCs w:val="20"/>
          <w:color w:val="auto"/>
        </w:rPr>
      </w:pPr>
    </w:p>
    <w:p>
      <w:pPr>
        <w:ind w:left="1000" w:right="40" w:hanging="547"/>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Nasdaq during the four calendar weeks preceding the filing of a notice on Form 144 with respect to such sale.</w:t>
      </w:r>
    </w:p>
    <w:p>
      <w:pPr>
        <w:spacing w:after="0" w:line="170"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shares from us in connection with a written compensatory share or option plan or other written agreement in compliance with Rule 701 before the effective date of the registration statement of which this prospectus is a part (to the extent such common shares are not subject to a lock-up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Rule 144’s minimum holding period requirements (subject to the terms of the lock-up agreement referred to below, if applicable).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In connection with this offering, we, our directors, our executive officers and holders of substantially all of our outstanding common shares or securities convertible into or exchangeable for common shares, have agreed, subject to certain exceptions, with the underwriters not to directly or indirectly offer, sell, contract to sell, pledge, grant any option to purchase, make any short sale or otherwise dispose of or hedge any common shares or any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459" w:right="3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options to purchase common shares, or any securities convertible into or exchangeable for common shares during the period from the date of the lock-up agreement continuing through the date 180 days after the date of this prospectus, except with the prior written consent of Morgan Stanley &amp; Co. LLC, Goldman Sachs &amp; Co. LLC and Cowen and Company, LLC may waive the restrictions contained in such lock-up agreements at any time in their sole discretion. See the section entitled “Underwriting” appearing elsewhere in this prospectus for more information. These agreements are described in the section titled “Underwriting.”</w:t>
      </w:r>
    </w:p>
    <w:p>
      <w:pPr>
        <w:spacing w:after="0" w:line="18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Prior to the completion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84"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Following the lock-up periods set forth in the agreements described above, and assuming that the representatives of the underwriters do not release any parties from these agreements and that there is no extension of the lock-up period, all of the common shares that are restricted securities or are held by our affiliates as of the date of this prospectus will be eligible for sale in the public market in compliance with Rule 144.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Upon the completion of this offering, the holders of 23,050,723 common shares, which gives effect to (i) the conversion of all outstanding preferred shares into an aggregate of 21,558,393 common shares and (ii) the automatic exercise of the warrant held by an affiliate of Bristol Myers Squibb into an aggregate of 750,000 common shares, based on the initial public offering price of $20.00 per share, in each case effected immediately prior to the completion of this offering,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except for shares purchased by affiliates, immediately upon the effectiveness of the registration statement of which this prospectus is a part. Any sales of securities by these shareholders could have a material adverse effect on the trading price of our common shares. See the section titled “Description of Share Capital—Registration Rights.”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right="340" w:firstLine="449"/>
        <w:spacing w:after="0" w:line="279" w:lineRule="auto"/>
        <w:rPr>
          <w:sz w:val="20"/>
          <w:szCs w:val="20"/>
          <w:color w:val="auto"/>
        </w:rPr>
      </w:pPr>
      <w:r>
        <w:rPr>
          <w:rFonts w:ascii="Arial" w:cs="Arial" w:eastAsia="Arial" w:hAnsi="Arial"/>
          <w:sz w:val="17"/>
          <w:szCs w:val="17"/>
          <w:color w:val="auto"/>
        </w:rPr>
        <w:t>We intend to file with the SEC a registration statement on Form S-8 under the Securities Act covering the common shares reserved for issuance under our equity incentive plans. The registration statement on Form S-8 is expected to be filed and become effective as soon as practicable after the completion of this offering. Accordingly, shares registered under the registration statement will be available for sale in the open market following its effective date, subject to Rule 144 volume limitations and the lock-up agreements described above, if applicable.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460"/>
        <w:spacing w:after="0" w:line="282" w:lineRule="auto"/>
        <w:rPr>
          <w:sz w:val="20"/>
          <w:szCs w:val="20"/>
          <w:color w:val="auto"/>
        </w:rPr>
      </w:pPr>
      <w:r>
        <w:rPr>
          <w:rFonts w:ascii="Arial" w:cs="Arial" w:eastAsia="Arial" w:hAnsi="Arial"/>
          <w:sz w:val="18"/>
          <w:szCs w:val="18"/>
          <w:b w:val="1"/>
          <w:bCs w:val="1"/>
          <w:color w:val="auto"/>
        </w:rPr>
        <w:t>MATERIAL DIFFERENCES BETWEEN THE BUSINESS CORPORATIONS ACT (QUÉBEC) AND THE DELAWARE GENERAL CORPORATION LAW</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Immediately prior to the completion of the offering, we will file articles of continuance such that we will be governed by the Business Corporations Act (Québec), or the QBCA, which is generally similar to laws applicable to U.S. corporations. Significant differences between the QBCA and the Delaware General Corporation Law, or DGCL, which governs companies incorporated in the State of Delaware, include the differences summarized below. This summary is not an exhaustive review of the two statutes, and reference should be made to the full text of both statutes for particulars of the differences.</w:t>
      </w:r>
    </w:p>
    <w:p>
      <w:pPr>
        <w:sectPr>
          <w:pgSz w:w="11900" w:h="16838" w:orient="portrait"/>
          <w:cols w:equalWidth="0" w:num="1">
            <w:col w:w="11240"/>
          </w:cols>
          <w:pgMar w:left="320" w:top="459" w:right="339" w:bottom="1440" w:gutter="0" w:footer="0" w:header="0"/>
        </w:sectPr>
      </w:pPr>
    </w:p>
    <w:p>
      <w:pPr>
        <w:spacing w:after="0" w:line="206"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Number and Election of Directors</w:t>
      </w:r>
      <w:r>
        <w:rPr>
          <w:sz w:val="20"/>
          <w:szCs w:val="20"/>
          <w:color w:val="auto"/>
        </w:rPr>
        <w:tab/>
      </w:r>
      <w:r>
        <w:rPr>
          <w:rFonts w:ascii="Arial" w:cs="Arial" w:eastAsia="Arial" w:hAnsi="Arial"/>
          <w:sz w:val="16"/>
          <w:szCs w:val="16"/>
          <w:color w:val="auto"/>
        </w:rPr>
        <w:t>Under the DGCL, the board of directors must consist of</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at least one director. The number of directors shall be</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fixed by the bylaws of the corporation, unless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certificate of incorporation fixes the number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directors, in which case a change in the number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directors shall only be made by an amendment of the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certificate of incorporation. Under the DGCL, directors</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are elected at annual stockholder meetings by plurality</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vote of the stockholders, unless a shareholder-adopted</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bylaw prescribes a different required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Constitution and Residency of</w:t>
      </w:r>
      <w:r>
        <w:rPr>
          <w:sz w:val="20"/>
          <w:szCs w:val="20"/>
          <w:color w:val="auto"/>
        </w:rPr>
        <w:tab/>
      </w:r>
      <w:r>
        <w:rPr>
          <w:rFonts w:ascii="Arial" w:cs="Arial" w:eastAsia="Arial" w:hAnsi="Arial"/>
          <w:sz w:val="16"/>
          <w:szCs w:val="16"/>
          <w:color w:val="auto"/>
        </w:rPr>
        <w:t>The DGCL does not have residency requirements, but a</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Directors</w:t>
      </w:r>
      <w:r>
        <w:rPr>
          <w:sz w:val="20"/>
          <w:szCs w:val="20"/>
          <w:color w:val="auto"/>
        </w:rPr>
        <w:tab/>
      </w:r>
      <w:r>
        <w:rPr>
          <w:rFonts w:ascii="Arial" w:cs="Arial" w:eastAsia="Arial" w:hAnsi="Arial"/>
          <w:sz w:val="17"/>
          <w:szCs w:val="17"/>
          <w:color w:val="auto"/>
        </w:rPr>
        <w:t>corporation may prescribe qualifications for directors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under its certificate of incorporation or bylaws.</w:t>
      </w: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Removal of Directors</w:t>
      </w:r>
      <w:r>
        <w:rPr>
          <w:sz w:val="20"/>
          <w:szCs w:val="20"/>
          <w:color w:val="auto"/>
        </w:rPr>
        <w:tab/>
      </w:r>
      <w:r>
        <w:rPr>
          <w:rFonts w:ascii="Arial" w:cs="Arial" w:eastAsia="Arial" w:hAnsi="Arial"/>
          <w:sz w:val="16"/>
          <w:szCs w:val="16"/>
          <w:color w:val="auto"/>
        </w:rPr>
        <w:t>Under the DGCL, any director or the entire board of</w:t>
      </w:r>
    </w:p>
    <w:p>
      <w:pPr>
        <w:spacing w:after="0" w:line="23" w:lineRule="exact"/>
        <w:rPr>
          <w:sz w:val="20"/>
          <w:szCs w:val="20"/>
          <w:color w:val="auto"/>
        </w:rPr>
      </w:pPr>
    </w:p>
    <w:p>
      <w:pPr>
        <w:ind w:left="3060" w:right="40"/>
        <w:spacing w:after="0" w:line="267" w:lineRule="auto"/>
        <w:rPr>
          <w:sz w:val="20"/>
          <w:szCs w:val="20"/>
          <w:color w:val="auto"/>
        </w:rPr>
      </w:pPr>
      <w:r>
        <w:rPr>
          <w:rFonts w:ascii="Arial" w:cs="Arial" w:eastAsia="Arial" w:hAnsi="Arial"/>
          <w:sz w:val="17"/>
          <w:szCs w:val="17"/>
          <w:color w:val="auto"/>
        </w:rPr>
        <w:t>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w:t>
      </w:r>
    </w:p>
    <w:p>
      <w:pPr>
        <w:spacing w:after="0" w:line="11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QBCA, the board of directors of a corporation whose securities are publicly traded must consist of at least three members, at least two of whom must not be officers or employees of the corporation or an affiliate of the corporation, so long as the corporation remains a “reporting issuer” for purposes of the QBCA, which includes a corporation that has made a distribution of securities to the public.</w:t>
      </w:r>
    </w:p>
    <w:p>
      <w:pPr>
        <w:spacing w:after="0" w:line="19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Under the QBCA, directors are elected by the shareholders, in the manner and for the term, not exceeding three years, set out in the corporation’s bylaws.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QBCA does not have residency requirements.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QBCA, unless the articles of a corporation provide for cumulative voting (which is not the case for us), shareholders of the corporation may, by resolution passed by a majority of the votes cast thereon at a special meeting of shareholders, remove any or all directors from office and may elect any qualified person to fill the resulting vacancy.</w:t>
      </w:r>
    </w:p>
    <w:p>
      <w:pPr>
        <w:sectPr>
          <w:pgSz w:w="11900" w:h="16838" w:orient="portrait"/>
          <w:cols w:equalWidth="0" w:num="2">
            <w:col w:w="7080" w:space="120"/>
            <w:col w:w="4040"/>
          </w:cols>
          <w:pgMar w:left="320" w:top="459" w:right="339" w:bottom="1440" w:gutter="0" w:footer="0" w:header="0"/>
          <w:type w:val="continuous"/>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cumulatively voted at an election of the entire board of</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directors, or, if there are classes of directors, at an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election of the class of directors of which he is a part.</w:t>
      </w:r>
    </w:p>
    <w:p>
      <w:pPr>
        <w:sectPr>
          <w:pgSz w:w="11900" w:h="16838" w:orient="portrait"/>
          <w:cols w:equalWidth="0" w:num="1">
            <w:col w:w="11240"/>
          </w:cols>
          <w:pgMar w:left="320" w:top="459" w:right="339" w:bottom="1440" w:gutter="0" w:footer="0" w:header="0"/>
        </w:sectPr>
      </w:pPr>
    </w:p>
    <w:p>
      <w:pPr>
        <w:spacing w:after="0" w:line="211" w:lineRule="exact"/>
        <w:rPr>
          <w:sz w:val="20"/>
          <w:szCs w:val="20"/>
          <w:color w:val="auto"/>
        </w:rPr>
      </w:pPr>
    </w:p>
    <w:p>
      <w:pPr>
        <w:jc w:val="both"/>
        <w:ind w:left="3060" w:right="620" w:hanging="3050"/>
        <w:spacing w:after="0" w:line="286" w:lineRule="auto"/>
        <w:tabs>
          <w:tab w:leader="none" w:pos="3040" w:val="left"/>
        </w:tabs>
        <w:rPr>
          <w:sz w:val="20"/>
          <w:szCs w:val="20"/>
          <w:color w:val="auto"/>
        </w:rPr>
      </w:pPr>
      <w:r>
        <w:rPr>
          <w:rFonts w:ascii="Arial" w:cs="Arial" w:eastAsia="Arial" w:hAnsi="Arial"/>
          <w:sz w:val="18"/>
          <w:szCs w:val="18"/>
          <w:b w:val="1"/>
          <w:bCs w:val="1"/>
          <w:i w:val="1"/>
          <w:iCs w:val="1"/>
          <w:color w:val="auto"/>
        </w:rPr>
        <w:t>Vacancies on the Board of Directors</w:t>
      </w:r>
      <w:r>
        <w:rPr>
          <w:sz w:val="20"/>
          <w:szCs w:val="20"/>
          <w:color w:val="auto"/>
        </w:rPr>
        <w:tab/>
      </w:r>
      <w:r>
        <w:rPr>
          <w:rFonts w:ascii="Arial" w:cs="Arial" w:eastAsia="Arial" w:hAnsi="Arial"/>
          <w:sz w:val="16"/>
          <w:szCs w:val="16"/>
          <w:color w:val="auto"/>
        </w:rPr>
        <w:t>Under the DGCL, vacancies and newly created directorships may be filled by a majority of the directors then in office (even though less than a quorum) or by a sole remaining director unless</w:t>
      </w:r>
    </w:p>
    <w:p>
      <w:pPr>
        <w:spacing w:after="0" w:line="1" w:lineRule="exact"/>
        <w:rPr>
          <w:sz w:val="20"/>
          <w:szCs w:val="20"/>
          <w:color w:val="auto"/>
        </w:rPr>
      </w:pPr>
    </w:p>
    <w:p>
      <w:pPr>
        <w:ind w:left="3060" w:hanging="1"/>
        <w:spacing w:after="0" w:line="290" w:lineRule="auto"/>
        <w:tabs>
          <w:tab w:leader="none" w:pos="327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the QBCA, vacancies that exist on the board of directors may generally be filled by the board if the remaining directors constitute a quorum. In the absence of a quorum, the remaining directors shall call a meeting of shareholders to fill the vacancy.</w:t>
      </w:r>
    </w:p>
    <w:p>
      <w:pPr>
        <w:spacing w:after="0" w:line="1256" w:lineRule="exact"/>
        <w:rPr>
          <w:sz w:val="20"/>
          <w:szCs w:val="20"/>
          <w:color w:val="auto"/>
        </w:rPr>
      </w:pPr>
    </w:p>
    <w:p>
      <w:pPr>
        <w:sectPr>
          <w:pgSz w:w="11900" w:h="16838" w:orient="portrait"/>
          <w:cols w:equalWidth="0" w:num="2">
            <w:col w:w="7100" w:space="100"/>
            <w:col w:w="4040"/>
          </w:cols>
          <w:pgMar w:left="320" w:top="459" w:right="339" w:bottom="1440" w:gutter="0" w:footer="0" w:header="0"/>
          <w:type w:val="continuous"/>
        </w:sect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Board of Director Quorum and Vote</w:t>
      </w:r>
      <w:r>
        <w:rPr>
          <w:sz w:val="20"/>
          <w:szCs w:val="20"/>
          <w:color w:val="auto"/>
        </w:rPr>
        <w:tab/>
      </w:r>
      <w:r>
        <w:rPr>
          <w:rFonts w:ascii="Arial" w:cs="Arial" w:eastAsia="Arial" w:hAnsi="Arial"/>
          <w:sz w:val="16"/>
          <w:szCs w:val="16"/>
          <w:color w:val="auto"/>
        </w:rPr>
        <w:t>Under the DGCL, a majority of the total number of</w:t>
      </w:r>
    </w:p>
    <w:p>
      <w:pPr>
        <w:spacing w:after="0" w:line="23" w:lineRule="exact"/>
        <w:rPr>
          <w:sz w:val="20"/>
          <w:szCs w:val="20"/>
          <w:color w:val="auto"/>
        </w:rPr>
      </w:pPr>
    </w:p>
    <w:p>
      <w:pPr>
        <w:ind w:left="3060" w:right="100" w:hanging="3059"/>
        <w:spacing w:after="0" w:line="292" w:lineRule="auto"/>
        <w:tabs>
          <w:tab w:leader="none" w:pos="3040" w:val="left"/>
        </w:tabs>
        <w:rPr>
          <w:sz w:val="20"/>
          <w:szCs w:val="20"/>
          <w:color w:val="auto"/>
        </w:rPr>
      </w:pPr>
      <w:r>
        <w:rPr>
          <w:rFonts w:ascii="Arial" w:cs="Arial" w:eastAsia="Arial" w:hAnsi="Arial"/>
          <w:sz w:val="16"/>
          <w:szCs w:val="16"/>
          <w:b w:val="1"/>
          <w:bCs w:val="1"/>
          <w:i w:val="1"/>
          <w:iCs w:val="1"/>
          <w:color w:val="auto"/>
        </w:rPr>
        <w:t>Requirements</w:t>
      </w:r>
      <w:r>
        <w:rPr>
          <w:sz w:val="20"/>
          <w:szCs w:val="20"/>
          <w:color w:val="auto"/>
        </w:rPr>
        <w:tab/>
      </w:r>
      <w:r>
        <w:rPr>
          <w:rFonts w:ascii="Arial" w:cs="Arial" w:eastAsia="Arial" w:hAnsi="Arial"/>
          <w:sz w:val="16"/>
          <w:szCs w:val="16"/>
          <w:color w:val="auto"/>
        </w:rPr>
        <w:t>directors shall constitute a quorum for the transaction of business unless the certificate of incorporation or bylaws require a greater number. The bylaws may lower the number required for a quorum to one-third the number of directors, but no less.</w:t>
      </w:r>
    </w:p>
    <w:p>
      <w:pPr>
        <w:spacing w:after="0" w:line="189" w:lineRule="exact"/>
        <w:rPr>
          <w:sz w:val="20"/>
          <w:szCs w:val="20"/>
          <w:color w:val="auto"/>
        </w:rPr>
      </w:pPr>
    </w:p>
    <w:p>
      <w:pPr>
        <w:ind w:left="3060"/>
        <w:spacing w:after="0" w:line="257" w:lineRule="auto"/>
        <w:rPr>
          <w:sz w:val="20"/>
          <w:szCs w:val="20"/>
          <w:color w:val="auto"/>
        </w:rPr>
      </w:pPr>
      <w:r>
        <w:rPr>
          <w:rFonts w:ascii="Arial" w:cs="Arial" w:eastAsia="Arial" w:hAnsi="Arial"/>
          <w:sz w:val="18"/>
          <w:szCs w:val="18"/>
          <w:color w:val="auto"/>
        </w:rPr>
        <w:t>Under the DGCL, the board of directors may take action by the majority vote of the directors present at a meeting at which a quorum is present unless the certificate of incorporation or bylaws require a greater vote.</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7"/>
          <w:szCs w:val="17"/>
          <w:color w:val="auto"/>
        </w:rPr>
        <w:t>Under the QBCA, subject to the corporation’s bylaws, a majority of the directors in office constitutes a quorum at any meeting of the board. Our bylaws also provide that a majority of the directors in office constitutes a quorum at any meeting of the board.</w:t>
      </w:r>
    </w:p>
    <w:p>
      <w:pPr>
        <w:spacing w:after="0" w:line="20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Under the QBCA, a quorum of directors may exercise all the powers of the directors despite any vacancy on the board.</w:t>
      </w:r>
    </w:p>
    <w:p>
      <w:pPr>
        <w:spacing w:after="0" w:line="843" w:lineRule="exact"/>
        <w:rPr>
          <w:sz w:val="20"/>
          <w:szCs w:val="20"/>
          <w:color w:val="auto"/>
        </w:rPr>
      </w:pPr>
    </w:p>
    <w:p>
      <w:pPr>
        <w:sectPr>
          <w:pgSz w:w="11900" w:h="16838" w:orient="portrait"/>
          <w:cols w:equalWidth="0" w:num="2">
            <w:col w:w="7000" w:space="200"/>
            <w:col w:w="4040"/>
          </w:cols>
          <w:pgMar w:left="320" w:top="459" w:right="339" w:bottom="1440" w:gutter="0" w:footer="0" w:header="0"/>
          <w:type w:val="continuous"/>
        </w:sectPr>
      </w:pPr>
    </w:p>
    <w:p>
      <w:pPr>
        <w:spacing w:after="0" w:line="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Transactions with Directors and</w:t>
      </w:r>
      <w:r>
        <w:rPr>
          <w:sz w:val="20"/>
          <w:szCs w:val="20"/>
          <w:color w:val="auto"/>
        </w:rPr>
        <w:tab/>
      </w:r>
      <w:r>
        <w:rPr>
          <w:rFonts w:ascii="Arial" w:cs="Arial" w:eastAsia="Arial" w:hAnsi="Arial"/>
          <w:sz w:val="16"/>
          <w:szCs w:val="16"/>
          <w:color w:val="auto"/>
        </w:rPr>
        <w:t>The DGCL generally provides that no transaction</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Officers</w:t>
      </w:r>
      <w:r>
        <w:rPr>
          <w:sz w:val="20"/>
          <w:szCs w:val="20"/>
          <w:color w:val="auto"/>
        </w:rPr>
        <w:tab/>
      </w:r>
      <w:r>
        <w:rPr>
          <w:rFonts w:ascii="Arial" w:cs="Arial" w:eastAsia="Arial" w:hAnsi="Arial"/>
          <w:sz w:val="16"/>
          <w:szCs w:val="16"/>
          <w:color w:val="auto"/>
        </w:rPr>
        <w:t>between a corporation and one or more of its directors</w:t>
      </w:r>
    </w:p>
    <w:p>
      <w:pPr>
        <w:spacing w:after="0" w:line="32" w:lineRule="exact"/>
        <w:rPr>
          <w:sz w:val="20"/>
          <w:szCs w:val="20"/>
          <w:color w:val="auto"/>
        </w:rPr>
      </w:pPr>
    </w:p>
    <w:p>
      <w:pPr>
        <w:ind w:left="3060"/>
        <w:spacing w:after="0" w:line="270" w:lineRule="auto"/>
        <w:rPr>
          <w:sz w:val="20"/>
          <w:szCs w:val="20"/>
          <w:color w:val="auto"/>
        </w:rPr>
      </w:pPr>
      <w:r>
        <w:rPr>
          <w:rFonts w:ascii="Arial" w:cs="Arial" w:eastAsia="Arial" w:hAnsi="Arial"/>
          <w:sz w:val="17"/>
          <w:szCs w:val="17"/>
          <w:color w:val="auto"/>
        </w:rPr>
        <w:t>or officers, or between a corporation and any other corporation or other organization in which one or more of its directors or officers, are directors or officers, or have a financial interest, shall be void or voidable solely for this reason, or solely because the director or officer is present at or participates in the</w:t>
      </w:r>
    </w:p>
    <w:p>
      <w:pPr>
        <w:spacing w:after="0" w:line="1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br w:type="column"/>
      </w:r>
    </w:p>
    <w:p>
      <w:pPr>
        <w:ind w:right="180"/>
        <w:spacing w:after="0" w:line="290" w:lineRule="auto"/>
        <w:rPr>
          <w:sz w:val="20"/>
          <w:szCs w:val="20"/>
          <w:color w:val="auto"/>
        </w:rPr>
      </w:pPr>
      <w:r>
        <w:rPr>
          <w:rFonts w:ascii="Arial" w:cs="Arial" w:eastAsia="Arial" w:hAnsi="Arial"/>
          <w:sz w:val="16"/>
          <w:szCs w:val="16"/>
          <w:color w:val="auto"/>
        </w:rPr>
        <w:t>Under the QBCA, every director or officer of a corporation must disclose the nature and value of any interest he or she has in a contract or transaction to which the corporation is a party. For the purposes of this rule, “interest” means any financial stake in a contract or transaction that may reasonably be considered likely to influence decision-making. Furthermore, a proposed contract or a proposed</w:t>
      </w:r>
    </w:p>
    <w:p>
      <w:pPr>
        <w:sectPr>
          <w:pgSz w:w="11900" w:h="16838" w:orient="portrait"/>
          <w:cols w:equalWidth="0" w:num="2">
            <w:col w:w="7020" w:space="180"/>
            <w:col w:w="4040"/>
          </w:cols>
          <w:pgMar w:left="320" w:top="459" w:right="339" w:bottom="1440" w:gutter="0" w:footer="0" w:header="0"/>
          <w:type w:val="continuous"/>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324" w:lineRule="exact"/>
        <w:rPr>
          <w:sz w:val="20"/>
          <w:szCs w:val="20"/>
          <w:color w:val="auto"/>
        </w:rPr>
      </w:pPr>
    </w:p>
    <w:p>
      <w:pPr>
        <w:jc w:val="center"/>
        <w:ind w:left="30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ind w:left="3060"/>
        <w:spacing w:after="0" w:line="282" w:lineRule="auto"/>
        <w:rPr>
          <w:sz w:val="20"/>
          <w:szCs w:val="20"/>
          <w:color w:val="auto"/>
        </w:rPr>
      </w:pPr>
      <w:r>
        <w:rPr>
          <w:rFonts w:ascii="Arial" w:cs="Arial" w:eastAsia="Arial" w:hAnsi="Arial"/>
          <w:sz w:val="16"/>
          <w:szCs w:val="16"/>
          <w:color w:val="auto"/>
        </w:rPr>
        <w:t>meeting of the board or committee which authorizes the transaction, or solely because any such director’s or officer’s votes are counted for such purpose, if (i) the material facts as to the director’s or officer’s interest and as to the transaction are known to the board of directors or the committee, and the board or committee in good faith authorizes the transaction by the affirmative votes of a majority of the disinterested directors, even though the disinterested directors be less than a quorum (ii) the material facts as to the director’s or officer’s interest and as to the transaction are disclosed or are known to the stockholders entitled to vote thereon, and the transaction is specifically approved in good faith by vote of the stockholders; or</w:t>
      </w:r>
    </w:p>
    <w:p>
      <w:pPr>
        <w:spacing w:after="0" w:line="9" w:lineRule="exact"/>
        <w:rPr>
          <w:sz w:val="20"/>
          <w:szCs w:val="20"/>
          <w:color w:val="auto"/>
        </w:rPr>
      </w:pPr>
    </w:p>
    <w:p>
      <w:pPr>
        <w:jc w:val="both"/>
        <w:ind w:left="3060" w:right="20" w:hanging="1"/>
        <w:spacing w:after="0" w:line="277" w:lineRule="auto"/>
        <w:tabs>
          <w:tab w:leader="none" w:pos="337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transaction is fair as to the corporation as of the time it is authorized, approved or ratified, by the board of directors, a committee or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ind w:right="780"/>
        <w:spacing w:after="0" w:line="257" w:lineRule="auto"/>
        <w:rPr>
          <w:sz w:val="20"/>
          <w:szCs w:val="20"/>
          <w:color w:val="auto"/>
        </w:rPr>
      </w:pPr>
      <w:r>
        <w:rPr>
          <w:rFonts w:ascii="Arial" w:cs="Arial" w:eastAsia="Arial" w:hAnsi="Arial"/>
          <w:sz w:val="18"/>
          <w:szCs w:val="18"/>
          <w:color w:val="auto"/>
        </w:rPr>
        <w:t>transaction, including related negotiations, is considered a contract</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or transaction. In addition, a director or an officer must disclose any contract or transaction to which the corporation and any of the following are a party: (i) an associate of the director or officer; (ii) a group of which the director or officer is a director or officer; or (iii) a group in which the director or officer or an associate of the director or officer has an interest. Such disclosure is required even for a contract or transaction that does not require approval by the board of directors. If a director is required to disclose his or her interest in a contract or transaction, such director is not allowed to vote on any resolution to approve, amend or terminate the contract or transaction or be present during deliberations concerning the approval, amendment or termination of such contract or transaction, unless the contract or transaction (i) relates primarily to the remuneration of the director or an associate of the director as a director, officer, employee or mandatory of the corporation or an affiliate of the corporation, (ii) is for indemnity or liability insurance under the QBCA, or (iii) is with an affiliate of the corporation, and the sole interest of the director is as a director or officer of the affiliate.</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 director or officer does not disclose his or her interest in accordance with the QBCA, or (in the case of a director) votes in respect of a resolution on a contract or transaction in which he or she is interested contrary to the QBCA, the corporation or a shareholder may ask the court to declare the contract or transaction null and to require the director or officer to account to the corporation for any profit or gain realized on it by the director or officer or the associates of the director or officer, and to remit the profit or gain to the corporation,</w:t>
      </w:r>
    </w:p>
    <w:p>
      <w:pPr>
        <w:sectPr>
          <w:pgSz w:w="11900" w:h="16838" w:orient="portrait"/>
          <w:cols w:equalWidth="0" w:num="2">
            <w:col w:w="7080" w:space="120"/>
            <w:col w:w="4020"/>
          </w:cols>
          <w:pgMar w:left="320" w:top="459" w:right="359" w:bottom="1440" w:gutter="0" w:footer="0" w:header="0"/>
          <w:type w:val="continuous"/>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Limitation on Liability of Directors</w:t>
      </w:r>
      <w:r>
        <w:rPr>
          <w:sz w:val="20"/>
          <w:szCs w:val="20"/>
          <w:color w:val="auto"/>
        </w:rPr>
        <w:tab/>
      </w:r>
      <w:r>
        <w:rPr>
          <w:rFonts w:ascii="Arial" w:cs="Arial" w:eastAsia="Arial" w:hAnsi="Arial"/>
          <w:sz w:val="16"/>
          <w:szCs w:val="16"/>
          <w:color w:val="auto"/>
        </w:rPr>
        <w:t>Under the DGCL, a corporation’s certificate of</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incorporation may include a provision eliminating or</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limiting the personal liability of a director to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corporation and its stockholders for damages arising</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from a breach of fiduciary duty as a director. However,</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no provision can limit the liability of a director for:</w:t>
      </w:r>
    </w:p>
    <w:p>
      <w:pPr>
        <w:spacing w:after="0" w:line="116" w:lineRule="exact"/>
        <w:rPr>
          <w:sz w:val="20"/>
          <w:szCs w:val="20"/>
          <w:color w:val="auto"/>
        </w:rPr>
      </w:pPr>
    </w:p>
    <w:p>
      <w:pPr>
        <w:ind w:left="3600" w:right="240" w:hanging="361"/>
        <w:spacing w:after="0" w:line="277" w:lineRule="auto"/>
        <w:tabs>
          <w:tab w:leader="none" w:pos="358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breach of the director’s duty of loyalty to the corporation or its stockholders;</w:t>
      </w:r>
    </w:p>
    <w:p>
      <w:pPr>
        <w:spacing w:after="0" w:line="75" w:lineRule="exact"/>
        <w:rPr>
          <w:rFonts w:ascii="Arial" w:cs="Arial" w:eastAsia="Arial" w:hAnsi="Arial"/>
          <w:sz w:val="18"/>
          <w:szCs w:val="18"/>
          <w:color w:val="auto"/>
        </w:rPr>
      </w:pPr>
    </w:p>
    <w:p>
      <w:pPr>
        <w:ind w:left="3600" w:right="220" w:hanging="361"/>
        <w:spacing w:after="0" w:line="263" w:lineRule="auto"/>
        <w:tabs>
          <w:tab w:leader="none" w:pos="358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89" w:lineRule="exact"/>
        <w:rPr>
          <w:rFonts w:ascii="Arial" w:cs="Arial" w:eastAsia="Arial" w:hAnsi="Arial"/>
          <w:sz w:val="18"/>
          <w:szCs w:val="18"/>
          <w:color w:val="auto"/>
        </w:rPr>
      </w:pPr>
    </w:p>
    <w:p>
      <w:pPr>
        <w:ind w:left="3600" w:hanging="361"/>
        <w:spacing w:after="0" w:line="342" w:lineRule="auto"/>
        <w:tabs>
          <w:tab w:leader="none" w:pos="358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29" w:lineRule="exact"/>
        <w:rPr>
          <w:rFonts w:ascii="Arial" w:cs="Arial" w:eastAsia="Arial" w:hAnsi="Arial"/>
          <w:sz w:val="16"/>
          <w:szCs w:val="16"/>
          <w:color w:val="auto"/>
        </w:rPr>
      </w:pPr>
    </w:p>
    <w:p>
      <w:pPr>
        <w:ind w:left="3600" w:right="360" w:hanging="361"/>
        <w:spacing w:after="0" w:line="342" w:lineRule="auto"/>
        <w:tabs>
          <w:tab w:leader="none" w:pos="358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derived an improper personal benefit.</w:t>
      </w:r>
    </w:p>
    <w:p>
      <w:pPr>
        <w:spacing w:after="0" w:line="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according to the conditions the court considers appropriate. However, the contract or transaction may not be declared null if it was approved by the board of directors and the contract or transaction was in the interest of the corporation when it was approved, nor may the director or officer concerned, in such a case, be required to account for any profit or gain realized or to remit the profit or gain to the corporation. In addition, the contract or transaction may not be declared null if it was approved by ordinary resolution by the shareholders entitled to vote who do not have an interest in the contract or transaction, the required disclosure was made to the shareholders and the contract or transaction was in the best interests of the corporation when it was approved, and if the director or officer acted honestly and in good faith, he or she may not be required to account for the profit or gain realized and to remit the profit or gain to the corporation.</w:t>
      </w:r>
    </w:p>
    <w:p>
      <w:pPr>
        <w:spacing w:after="0" w:line="16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QBCA does not permit the limitation of a director’s liability as the DGCL does.</w:t>
      </w:r>
    </w:p>
    <w:p>
      <w:pPr>
        <w:sectPr>
          <w:pgSz w:w="11900" w:h="16838" w:orient="portrait"/>
          <w:cols w:equalWidth="0" w:num="2">
            <w:col w:w="7040" w:space="160"/>
            <w:col w:w="4020"/>
          </w:cols>
          <w:pgMar w:left="320" w:top="459" w:right="35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p>
      <w:pPr>
        <w:spacing w:after="0" w:line="22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Indemnification of Directors and</w:t>
      </w:r>
      <w:r>
        <w:rPr>
          <w:sz w:val="20"/>
          <w:szCs w:val="20"/>
          <w:color w:val="auto"/>
        </w:rPr>
        <w:tab/>
      </w:r>
      <w:r>
        <w:rPr>
          <w:rFonts w:ascii="Arial" w:cs="Arial" w:eastAsia="Arial" w:hAnsi="Arial"/>
          <w:sz w:val="16"/>
          <w:szCs w:val="16"/>
          <w:color w:val="auto"/>
        </w:rPr>
        <w:t>The DGCL permits indemnification for derivative suits</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Officers</w:t>
      </w:r>
      <w:r>
        <w:rPr>
          <w:sz w:val="20"/>
          <w:szCs w:val="20"/>
          <w:color w:val="auto"/>
        </w:rPr>
        <w:tab/>
      </w:r>
      <w:r>
        <w:rPr>
          <w:rFonts w:ascii="Arial" w:cs="Arial" w:eastAsia="Arial" w:hAnsi="Arial"/>
          <w:sz w:val="16"/>
          <w:szCs w:val="16"/>
          <w:color w:val="auto"/>
        </w:rPr>
        <w:t>only for expenses (including legal fees) and only if the</w:t>
      </w:r>
    </w:p>
    <w:p>
      <w:pPr>
        <w:spacing w:after="0" w:line="32" w:lineRule="exact"/>
        <w:rPr>
          <w:sz w:val="20"/>
          <w:szCs w:val="20"/>
          <w:color w:val="auto"/>
        </w:rPr>
      </w:pPr>
    </w:p>
    <w:p>
      <w:pPr>
        <w:ind w:left="3060"/>
        <w:spacing w:after="0" w:line="255" w:lineRule="auto"/>
        <w:rPr>
          <w:sz w:val="20"/>
          <w:szCs w:val="20"/>
          <w:color w:val="auto"/>
        </w:rPr>
      </w:pPr>
      <w:r>
        <w:rPr>
          <w:rFonts w:ascii="Arial" w:cs="Arial" w:eastAsia="Arial" w:hAnsi="Arial"/>
          <w:sz w:val="18"/>
          <w:szCs w:val="18"/>
          <w:color w:val="auto"/>
        </w:rPr>
        <w:t>person is not found liable, unless a court determines the person is fairly and reasonably entitled to the indemnification.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Under the QBCA, a corporation must indemnify a director or officer, a former director or officer or a person who acts or acted at the corporation’s request as a director or officer, or an individual acting in a similar capacity of another group (who is referred to in this document as an indemnifiable person) against all costs, charges and expenses reasonably incurred in the exercise of their functions, including an amount paid to settle an action or satisfy a judgment, reasonably incurred by the indemnifiable person on the exercise of the person’s functions or arising from any investigative or other proceeding in which the person is involved if:</w:t>
      </w:r>
    </w:p>
    <w:p>
      <w:pPr>
        <w:spacing w:after="0" w:line="73" w:lineRule="exact"/>
        <w:rPr>
          <w:sz w:val="20"/>
          <w:szCs w:val="20"/>
          <w:color w:val="auto"/>
        </w:rPr>
      </w:pPr>
    </w:p>
    <w:p>
      <w:pPr>
        <w:ind w:left="540" w:right="60" w:hanging="356"/>
        <w:spacing w:after="0" w:line="342" w:lineRule="auto"/>
        <w:tabs>
          <w:tab w:leader="none" w:pos="52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person acted with honesty and loyalty in the interest of the corporation or other group, and</w:t>
      </w:r>
    </w:p>
    <w:p>
      <w:pPr>
        <w:spacing w:after="0" w:line="29" w:lineRule="exact"/>
        <w:rPr>
          <w:rFonts w:ascii="Arial" w:cs="Arial" w:eastAsia="Arial" w:hAnsi="Arial"/>
          <w:sz w:val="16"/>
          <w:szCs w:val="16"/>
          <w:color w:val="auto"/>
        </w:rPr>
      </w:pPr>
    </w:p>
    <w:p>
      <w:pPr>
        <w:ind w:left="540" w:right="80" w:hanging="356"/>
        <w:spacing w:after="0" w:line="259" w:lineRule="auto"/>
        <w:tabs>
          <w:tab w:leader="none" w:pos="52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a proceeding enforceable by a monetary penalty, the person had reasonable grounds for believing the person’s conduct was lawful.</w:t>
      </w:r>
    </w:p>
    <w:p>
      <w:pPr>
        <w:spacing w:after="0" w:line="200" w:lineRule="exact"/>
        <w:rPr>
          <w:sz w:val="20"/>
          <w:szCs w:val="20"/>
          <w:color w:val="auto"/>
        </w:rPr>
      </w:pPr>
    </w:p>
    <w:p>
      <w:pPr>
        <w:sectPr>
          <w:pgSz w:w="11900" w:h="16838" w:orient="portrait"/>
          <w:cols w:equalWidth="0" w:num="2">
            <w:col w:w="7060" w:space="140"/>
            <w:col w:w="4020"/>
          </w:cols>
          <w:pgMar w:left="32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Call and Notice of Stockholder</w:t>
      </w:r>
      <w:r>
        <w:rPr>
          <w:sz w:val="20"/>
          <w:szCs w:val="20"/>
          <w:color w:val="auto"/>
        </w:rPr>
        <w:tab/>
      </w:r>
      <w:r>
        <w:rPr>
          <w:rFonts w:ascii="Arial" w:cs="Arial" w:eastAsia="Arial" w:hAnsi="Arial"/>
          <w:sz w:val="16"/>
          <w:szCs w:val="16"/>
          <w:color w:val="auto"/>
        </w:rPr>
        <w:t>Under the DGCL, an annual or special stockholder</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Meetings</w:t>
      </w:r>
      <w:r>
        <w:rPr>
          <w:sz w:val="20"/>
          <w:szCs w:val="20"/>
          <w:color w:val="auto"/>
        </w:rPr>
        <w:tab/>
      </w:r>
      <w:r>
        <w:rPr>
          <w:rFonts w:ascii="Arial" w:cs="Arial" w:eastAsia="Arial" w:hAnsi="Arial"/>
          <w:sz w:val="16"/>
          <w:szCs w:val="16"/>
          <w:color w:val="auto"/>
        </w:rPr>
        <w:t>meeting is held on such date, at such time and at such</w:t>
      </w:r>
    </w:p>
    <w:p>
      <w:pPr>
        <w:spacing w:after="0" w:line="32" w:lineRule="exact"/>
        <w:rPr>
          <w:sz w:val="20"/>
          <w:szCs w:val="20"/>
          <w:color w:val="auto"/>
        </w:rPr>
      </w:pPr>
    </w:p>
    <w:p>
      <w:pPr>
        <w:ind w:left="3060"/>
        <w:spacing w:after="0" w:line="269" w:lineRule="auto"/>
        <w:rPr>
          <w:sz w:val="20"/>
          <w:szCs w:val="20"/>
          <w:color w:val="auto"/>
        </w:rPr>
      </w:pPr>
      <w:r>
        <w:rPr>
          <w:rFonts w:ascii="Arial" w:cs="Arial" w:eastAsia="Arial" w:hAnsi="Arial"/>
          <w:sz w:val="17"/>
          <w:szCs w:val="17"/>
          <w:color w:val="auto"/>
        </w:rPr>
        <w:t>place as may be designated by the board of directors or any other person authorized to call such meeting under the corporation’s certificate of incorporation or bylaws. If an annual meeting for election of directors is not held on the date designated or an action by written consent to elect directors in lieu of an annual meeting has not been taken within 30 days after</w:t>
      </w:r>
    </w:p>
    <w:p>
      <w:pPr>
        <w:spacing w:after="0" w:line="3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br w:type="column"/>
      </w:r>
    </w:p>
    <w:p>
      <w:pPr>
        <w:spacing w:after="0" w:line="296" w:lineRule="auto"/>
        <w:rPr>
          <w:sz w:val="20"/>
          <w:szCs w:val="20"/>
          <w:color w:val="auto"/>
        </w:rPr>
      </w:pPr>
      <w:r>
        <w:rPr>
          <w:rFonts w:ascii="Arial" w:cs="Arial" w:eastAsia="Arial" w:hAnsi="Arial"/>
          <w:sz w:val="16"/>
          <w:szCs w:val="16"/>
          <w:color w:val="auto"/>
        </w:rPr>
        <w:t>The QBCA also provides that a corporation must advance moneys to an indemnifiable person for the costs, charges and expenses incurred in connection with such proceeding. In the case of a derivative action, indemnity may be made only with court approval.</w:t>
      </w:r>
    </w:p>
    <w:p>
      <w:pPr>
        <w:spacing w:after="0" w:line="1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Under the QBCA, an annual meeting of shareholders must be held no later than 15 months after holding the last preceding annual meeting.</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Under the QBCA, the directors of a corporation may call a special meeting at any time. In addition, holders of not less than 10 percent of the issued shares of a corporation that carry the right to vote at a meeting sought to be held may requisition the directors to call a meeting of shareholders.</w:t>
      </w:r>
    </w:p>
    <w:p>
      <w:pPr>
        <w:sectPr>
          <w:pgSz w:w="11900" w:h="16838" w:orient="portrait"/>
          <w:cols w:equalWidth="0" w:num="2">
            <w:col w:w="7080" w:space="120"/>
            <w:col w:w="4020"/>
          </w:cols>
          <w:pgMar w:left="320" w:top="459" w:right="359" w:bottom="1440" w:gutter="0" w:footer="0" w:header="0"/>
          <w:type w:val="continuous"/>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date designated for the annual meeting, or if no date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has been designated, for a period of 13 months after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later of the last annual meeting or the last action by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written consent to elect directors in lieu of an annual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meeting, the Delaware Court of Chancery may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summarily order a meeting to be held upon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application of any stockholder or director.</w:t>
      </w:r>
    </w:p>
    <w:p>
      <w:pPr>
        <w:sectPr>
          <w:pgSz w:w="11900" w:h="16838" w:orient="portrait"/>
          <w:cols w:equalWidth="0" w:num="1">
            <w:col w:w="11220"/>
          </w:cols>
          <w:pgMar w:left="320" w:top="459" w:right="359" w:bottom="1440" w:gutter="0" w:footer="0" w:header="0"/>
        </w:sectPr>
      </w:pP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Action by Written Consent</w:t>
      </w:r>
      <w:r>
        <w:rPr>
          <w:sz w:val="20"/>
          <w:szCs w:val="20"/>
          <w:color w:val="auto"/>
        </w:rPr>
        <w:tab/>
      </w:r>
      <w:r>
        <w:rPr>
          <w:rFonts w:ascii="Arial" w:cs="Arial" w:eastAsia="Arial" w:hAnsi="Arial"/>
          <w:sz w:val="16"/>
          <w:szCs w:val="16"/>
          <w:color w:val="auto"/>
        </w:rPr>
        <w:t>Under the DGCL, a majority of the stockholders of a</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corporation may act by written consent without a</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meeting unless such action is prohibited by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corporation’s certificate of incorporation.</w:t>
      </w: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Nominations and</w:t>
      </w:r>
      <w:r>
        <w:rPr>
          <w:sz w:val="20"/>
          <w:szCs w:val="20"/>
          <w:color w:val="auto"/>
        </w:rPr>
        <w:tab/>
      </w:r>
      <w:r>
        <w:rPr>
          <w:rFonts w:ascii="Arial" w:cs="Arial" w:eastAsia="Arial" w:hAnsi="Arial"/>
          <w:sz w:val="16"/>
          <w:szCs w:val="16"/>
          <w:color w:val="auto"/>
        </w:rPr>
        <w:t>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QBCA, a written resolution signed by all the shareholders of a corporation who would have been entitled to vote on the resolution at a meeting is effective to approve the resolution.</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QBCA, a shareholder entitled to vote at a shareholders’ meeting may submit a shareholder proposal relating to matters which the shareholder wishes to propose and discuss at an annual shareholders’ meeting and, subject to such shareholder’s compliance with the prescribed time periods and other requirements of the QBCA pertaining to shareholder proposals, the corporation is required to include such proposal in the information circular pertaining to any annual meeting at which it solicits proxies, subject to certain exceptions. Notice of such a proposal must be provided to the corporation at least 90 days before the anniversary date of the notice of meeting for the last annual shareholders’ meeting.</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the QBCA requires that any shareholder proposal that includes nominations for the election of directors must be signed by one or more holders of shares representing in the aggregate not less than five per cent of the shares or five per cent of the shares of a class or series of shares of the corporation entitled to vote at the meeting to which the proposal is to be presented.</w:t>
      </w:r>
    </w:p>
    <w:p>
      <w:pPr>
        <w:sectPr>
          <w:pgSz w:w="11900" w:h="16838" w:orient="portrait"/>
          <w:cols w:equalWidth="0" w:num="2">
            <w:col w:w="6860" w:space="340"/>
            <w:col w:w="4020"/>
          </w:cols>
          <w:pgMar w:left="320" w:top="459" w:right="35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Quorum and Vote</w:t>
      </w:r>
      <w:r>
        <w:rPr>
          <w:sz w:val="20"/>
          <w:szCs w:val="20"/>
          <w:color w:val="auto"/>
        </w:rPr>
        <w:tab/>
      </w:r>
      <w:r>
        <w:rPr>
          <w:rFonts w:ascii="Arial" w:cs="Arial" w:eastAsia="Arial" w:hAnsi="Arial"/>
          <w:sz w:val="16"/>
          <w:szCs w:val="16"/>
          <w:color w:val="auto"/>
        </w:rPr>
        <w:t>Under the DGCL, quorum for a stock corporation is a</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Requirements</w:t>
      </w:r>
      <w:r>
        <w:rPr>
          <w:sz w:val="20"/>
          <w:szCs w:val="20"/>
          <w:color w:val="auto"/>
        </w:rPr>
        <w:tab/>
      </w:r>
      <w:r>
        <w:rPr>
          <w:rFonts w:ascii="Arial" w:cs="Arial" w:eastAsia="Arial" w:hAnsi="Arial"/>
          <w:sz w:val="17"/>
          <w:szCs w:val="17"/>
          <w:color w:val="auto"/>
        </w:rPr>
        <w:t>majority of the shares entitled to vote at the meeting</w:t>
      </w:r>
    </w:p>
    <w:p>
      <w:pPr>
        <w:spacing w:after="0" w:line="21" w:lineRule="exact"/>
        <w:rPr>
          <w:sz w:val="20"/>
          <w:szCs w:val="20"/>
          <w:color w:val="auto"/>
        </w:rPr>
      </w:pPr>
    </w:p>
    <w:p>
      <w:pPr>
        <w:ind w:left="3060"/>
        <w:spacing w:after="0" w:line="287" w:lineRule="auto"/>
        <w:rPr>
          <w:sz w:val="20"/>
          <w:szCs w:val="20"/>
          <w:color w:val="auto"/>
        </w:rPr>
      </w:pPr>
      <w:r>
        <w:rPr>
          <w:rFonts w:ascii="Arial" w:cs="Arial" w:eastAsia="Arial" w:hAnsi="Arial"/>
          <w:sz w:val="16"/>
          <w:szCs w:val="16"/>
          <w:color w:val="auto"/>
        </w:rPr>
        <w:t>unless the certificate of incorporation or bylaws specify a different quorum, but in no event may a quorum be less than one-third of the shares entitled to vote. Unless the DGCL, certificate of incorporation or bylaws provide for a greater vote, generally the required vote under the DGCL is a majority of the shares present in person or represented by proxy, except for the election of directors which requires a plurality of the votes cast.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amended and restated bylaws to be effective immediately prior to the completion of this offering will require shareholders wishing to nominate directors or propose business for a meeting of shareholders to give timely advance notice in writing, as described in our amended and restated bylaws.</w:t>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QBCA, unless the bylaws otherwise provide, the holders of a majority of the shares of a corporation entitled to vote at a meeting of shareholders, whether present in person or represented by proxy, constitute a quorum.</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amended and restated bylaws to be effective immediately prior to the completion of this offering will provide that holders of 25% of the shares entitled to vote at a meeting of shareholders, whether present in person or represented by proxy, shall constitute quorum.</w:t>
      </w:r>
    </w:p>
    <w:p>
      <w:pPr>
        <w:spacing w:after="0" w:line="200" w:lineRule="exact"/>
        <w:rPr>
          <w:sz w:val="20"/>
          <w:szCs w:val="20"/>
          <w:color w:val="auto"/>
        </w:rPr>
      </w:pPr>
    </w:p>
    <w:p>
      <w:pPr>
        <w:sectPr>
          <w:pgSz w:w="11900" w:h="16838" w:orient="portrait"/>
          <w:cols w:equalWidth="0" w:num="2">
            <w:col w:w="7060" w:space="140"/>
            <w:col w:w="4020"/>
          </w:cols>
          <w:pgMar w:left="320" w:top="459" w:right="359" w:bottom="1440" w:gutter="0" w:footer="0" w:header="0"/>
          <w:type w:val="continuous"/>
        </w:sectPr>
      </w:pPr>
    </w:p>
    <w:p>
      <w:pPr>
        <w:spacing w:after="0" w:line="6"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Amendment of Certificate of</w:t>
      </w:r>
      <w:r>
        <w:rPr>
          <w:sz w:val="20"/>
          <w:szCs w:val="20"/>
          <w:color w:val="auto"/>
        </w:rPr>
        <w:tab/>
      </w:r>
      <w:r>
        <w:rPr>
          <w:rFonts w:ascii="Arial" w:cs="Arial" w:eastAsia="Arial" w:hAnsi="Arial"/>
          <w:sz w:val="16"/>
          <w:szCs w:val="16"/>
          <w:color w:val="auto"/>
        </w:rPr>
        <w:t>Generally, under the DGCL, the affirmative vote of the</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Incorporation</w:t>
      </w:r>
      <w:r>
        <w:rPr>
          <w:sz w:val="20"/>
          <w:szCs w:val="20"/>
          <w:color w:val="auto"/>
        </w:rPr>
        <w:tab/>
      </w:r>
      <w:r>
        <w:rPr>
          <w:rFonts w:ascii="Arial" w:cs="Arial" w:eastAsia="Arial" w:hAnsi="Arial"/>
          <w:sz w:val="17"/>
          <w:szCs w:val="17"/>
          <w:color w:val="auto"/>
        </w:rPr>
        <w:t>holders of a majority of the outstanding stock entitled</w:t>
      </w:r>
    </w:p>
    <w:p>
      <w:pPr>
        <w:spacing w:after="0" w:line="21" w:lineRule="exact"/>
        <w:rPr>
          <w:sz w:val="20"/>
          <w:szCs w:val="20"/>
          <w:color w:val="auto"/>
        </w:rPr>
      </w:pPr>
    </w:p>
    <w:p>
      <w:pPr>
        <w:ind w:left="3060"/>
        <w:spacing w:after="0" w:line="286" w:lineRule="auto"/>
        <w:rPr>
          <w:sz w:val="20"/>
          <w:szCs w:val="20"/>
          <w:color w:val="auto"/>
        </w:rPr>
      </w:pPr>
      <w:r>
        <w:rPr>
          <w:rFonts w:ascii="Arial" w:cs="Arial" w:eastAsia="Arial" w:hAnsi="Arial"/>
          <w:sz w:val="16"/>
          <w:szCs w:val="16"/>
          <w:color w:val="auto"/>
        </w:rPr>
        <w:t>to vote is required to approve a proposed amendment to the certificate of incorporation, following the adoption of the amendment by the board of directors of the corporation, provided that the certificate of incorporation may provide for a greater vote. Under the DGCL, holders of outstanding shares of a class or series are entitled to vote separately on an amendment to the certificate of incorporation if the amendment would have certain consequences, including changes that adversely affect the rights and preferences of such class or series.</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Under the QBCA, amendments to the articles of incorporation generally require the approval of not less than two-thirds of the votes cast by shareholders entitled to vote on the resolution.</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Specified amendments may also require the approval of other classes of shares. If the amendment is of a nature affecting a particular class or series in a manner requiring a separate class or series vote, that class or series is entitled to vote on the amendment whether or not it otherwise carries the right to vote.</w:t>
      </w:r>
    </w:p>
    <w:p>
      <w:pPr>
        <w:spacing w:after="0" w:line="397" w:lineRule="exact"/>
        <w:rPr>
          <w:sz w:val="20"/>
          <w:szCs w:val="20"/>
          <w:color w:val="auto"/>
        </w:rPr>
      </w:pPr>
    </w:p>
    <w:p>
      <w:pPr>
        <w:sectPr>
          <w:pgSz w:w="11900" w:h="16838" w:orient="portrait"/>
          <w:cols w:equalWidth="0" w:num="2">
            <w:col w:w="7080" w:space="120"/>
            <w:col w:w="4020"/>
          </w:cols>
          <w:pgMar w:left="320" w:top="459" w:right="359" w:bottom="1440" w:gutter="0" w:footer="0" w:header="0"/>
          <w:type w:val="continuous"/>
        </w:sectPr>
      </w:pPr>
    </w:p>
    <w:p>
      <w:pPr>
        <w:spacing w:after="0" w:line="18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Amendment of Bylaws</w:t>
      </w:r>
      <w:r>
        <w:rPr>
          <w:sz w:val="20"/>
          <w:szCs w:val="20"/>
          <w:color w:val="auto"/>
        </w:rPr>
        <w:tab/>
      </w:r>
      <w:r>
        <w:rPr>
          <w:rFonts w:ascii="Arial" w:cs="Arial" w:eastAsia="Arial" w:hAnsi="Arial"/>
          <w:sz w:val="16"/>
          <w:szCs w:val="16"/>
          <w:color w:val="auto"/>
        </w:rPr>
        <w:t>Under the DGCL, after a corporation has received any</w:t>
      </w:r>
    </w:p>
    <w:p>
      <w:pPr>
        <w:spacing w:after="0" w:line="23" w:lineRule="exact"/>
        <w:rPr>
          <w:sz w:val="20"/>
          <w:szCs w:val="20"/>
          <w:color w:val="auto"/>
        </w:rPr>
      </w:pPr>
    </w:p>
    <w:p>
      <w:pPr>
        <w:ind w:left="3060"/>
        <w:spacing w:after="0" w:line="253" w:lineRule="auto"/>
        <w:rPr>
          <w:sz w:val="20"/>
          <w:szCs w:val="20"/>
          <w:color w:val="auto"/>
        </w:rPr>
      </w:pPr>
      <w:r>
        <w:rPr>
          <w:rFonts w:ascii="Arial" w:cs="Arial" w:eastAsia="Arial" w:hAnsi="Arial"/>
          <w:sz w:val="18"/>
          <w:szCs w:val="18"/>
          <w:color w:val="auto"/>
        </w:rPr>
        <w:t>payment for any of its stock, the power to adopt, amend or repeal bylaws shall be vested in the stockholders entitled to vote; provided, however, that any corporation may, in</w:t>
      </w:r>
    </w:p>
    <w:p>
      <w:pPr>
        <w:spacing w:after="0" w:line="1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Under the QBCA, the directors may, by resolution, make, amend or repeal any bylaws that regulate the business or affairs of the corporation. Where the directors make, amend or repeal a bylaw, they are required under the</w:t>
      </w:r>
    </w:p>
    <w:p>
      <w:pPr>
        <w:sectPr>
          <w:pgSz w:w="11900" w:h="16838" w:orient="portrait"/>
          <w:cols w:equalWidth="0" w:num="2">
            <w:col w:w="7080" w:space="120"/>
            <w:col w:w="4020"/>
          </w:cols>
          <w:pgMar w:left="320" w:top="459" w:right="359" w:bottom="1440" w:gutter="0" w:footer="0" w:header="0"/>
          <w:type w:val="continuous"/>
        </w:sectPr>
      </w:pPr>
    </w:p>
    <w:bookmarkStart w:id="200" w:name="page201"/>
    <w:bookmarkEnd w:id="2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Votes on Mergers, Consolidations and Sales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Dissenter’s Rights of Appraisal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its certificate of incorporation, provide that bylaws may be adopted, amended or repealed by the board of directors. The fact that such power has been conferred upon the board of directors shall not divest the stockholders of the power nor limit their power to adopt, amend or repeal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DGCL provides that, unless otherwise provided in the certificate of incorporation or bylaws, the adoption of a merger agreement requires the approval of a majority of the outstanding stock of the corporation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Under the DGCL, a stockholder of a Delaware corporation generally has the right to dissent flume, merger or consolidation in which the Delaware</w:t>
      </w:r>
    </w:p>
    <w:p>
      <w:pPr>
        <w:spacing w:after="0" w:line="8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QBCA to submit that action to the shareholders at the next meeting of shareholders and the shareholders may confirm, reject or amend that action by simple majority, or ordinary resolution. If the action is rejected by shareholders, or the directors of a corporation do not submit the action to the shareholders at the next meeting of shareholders, the action will cease to be effective, and no subsequent resolution of the directors to make, amend or repeal a bylaw having substantially the same purpose or effect will he effective until it is confirmed.</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QBCA, certain extraordinary corporate actions, such as amalgamations (other than with certain affiliated corporations), continuances and sales, leases or exchanges of the property of a corporation if as a result of such alienation the corporation would be unable to retain a significant part of its business activities, and other extraordinary corporate actions such as liquidations, dissolutions and (if ordered by a court) arrangements, are required to be approved by “special resolution.”</w:t>
      </w:r>
    </w:p>
    <w:p>
      <w:pPr>
        <w:spacing w:after="0" w:line="2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 “special resolution” is a resolution passed by not less than two-thirds of the votes cast by the shareholders who voted in respect of the resolution or signed by all shareholders entitled to vote on the resolution. In specified cases, a special resolution to approve the extraordinary corporate action is also required to be approved separately by the holders of a class or series of shares, including in certain cases a class or series of shares not otherwise carrying voting rights.</w:t>
      </w:r>
    </w:p>
    <w:p>
      <w:pPr>
        <w:spacing w:after="0" w:line="180"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QBCA provides that shareholders of a corporation are entitled to exercise dissent rights (called “the right to demand the repurchase of shares”) and</w:t>
      </w:r>
    </w:p>
    <w:p>
      <w:pPr>
        <w:sectPr>
          <w:pgSz w:w="11900" w:h="16838" w:orient="portrait"/>
          <w:cols w:equalWidth="0" w:num="3">
            <w:col w:w="2820" w:space="240"/>
            <w:col w:w="4000" w:space="140"/>
            <w:col w:w="4020"/>
          </w:cols>
          <w:pgMar w:left="320" w:top="459" w:right="359" w:bottom="1440" w:gutter="0" w:footer="0" w:header="0"/>
        </w:sectPr>
      </w:pPr>
    </w:p>
    <w:bookmarkStart w:id="201" w:name="page202"/>
    <w:bookmarkEnd w:id="2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306" w:lineRule="auto"/>
        <w:rPr>
          <w:sz w:val="20"/>
          <w:szCs w:val="20"/>
          <w:color w:val="auto"/>
        </w:rPr>
      </w:pPr>
      <w:r>
        <w:rPr>
          <w:rFonts w:ascii="Arial" w:cs="Arial" w:eastAsia="Arial" w:hAnsi="Arial"/>
          <w:sz w:val="15"/>
          <w:szCs w:val="15"/>
          <w:color w:val="auto"/>
        </w:rPr>
        <w:t>corporation is participating, subject to specified procedural requirements, including that such dissenting stockholder does not vote in favor of the merger or consolidation. However, the DGCL does not confer appraisal rights, in certain circumstances, including if the dissenting stockholder owns shares traded on a national securities exchange and will receive publicly traded shares in the merger or consolidation. Under the DGCL, a stockholder asserting appraisal rights does not receive any payment for his or her shares until the court determines the fair value or the parties otherwise agree to a value. The costs of the proceeding may be determined by the court and assessed against the parties as the court deems equitable under the circumstances.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to be paid the fair value of their shares in connection with specified matters, including:</w:t>
      </w:r>
    </w:p>
    <w:p>
      <w:pPr>
        <w:spacing w:after="0" w:line="200" w:lineRule="exact"/>
        <w:rPr>
          <w:sz w:val="20"/>
          <w:szCs w:val="20"/>
          <w:color w:val="auto"/>
        </w:rPr>
      </w:pPr>
    </w:p>
    <w:p>
      <w:pPr>
        <w:ind w:left="520" w:hanging="336"/>
        <w:spacing w:after="0"/>
        <w:tabs>
          <w:tab w:leader="none" w:pos="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squeeze-out transaction;</w:t>
      </w:r>
    </w:p>
    <w:p>
      <w:pPr>
        <w:spacing w:after="0" w:line="130" w:lineRule="exact"/>
        <w:rPr>
          <w:rFonts w:ascii="Arial" w:cs="Arial" w:eastAsia="Arial" w:hAnsi="Arial"/>
          <w:sz w:val="18"/>
          <w:szCs w:val="18"/>
          <w:color w:val="auto"/>
        </w:rPr>
      </w:pPr>
    </w:p>
    <w:p>
      <w:pPr>
        <w:ind w:left="540" w:right="160" w:hanging="356"/>
        <w:spacing w:after="0" w:line="259" w:lineRule="auto"/>
        <w:tabs>
          <w:tab w:leader="none" w:pos="5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amendment to the articles to add, change or remove a restriction on the corporation’s business activity or on the transfer of the corporation’s shares;</w:t>
      </w:r>
    </w:p>
    <w:p>
      <w:pPr>
        <w:spacing w:after="0" w:line="92" w:lineRule="exact"/>
        <w:rPr>
          <w:rFonts w:ascii="Arial" w:cs="Arial" w:eastAsia="Arial" w:hAnsi="Arial"/>
          <w:sz w:val="18"/>
          <w:szCs w:val="18"/>
          <w:color w:val="auto"/>
        </w:rPr>
      </w:pPr>
    </w:p>
    <w:p>
      <w:pPr>
        <w:ind w:left="540" w:hanging="356"/>
        <w:spacing w:after="0" w:line="259" w:lineRule="auto"/>
        <w:tabs>
          <w:tab w:leader="none" w:pos="5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alienation of corporation property if, as a result of the alienation, the corporation is unable to retain a significant part of its business activity;</w:t>
      </w:r>
    </w:p>
    <w:p>
      <w:pPr>
        <w:spacing w:after="0" w:line="92" w:lineRule="exact"/>
        <w:rPr>
          <w:rFonts w:ascii="Arial" w:cs="Arial" w:eastAsia="Arial" w:hAnsi="Arial"/>
          <w:sz w:val="18"/>
          <w:szCs w:val="18"/>
          <w:color w:val="auto"/>
        </w:rPr>
      </w:pPr>
    </w:p>
    <w:p>
      <w:pPr>
        <w:ind w:left="540" w:right="500" w:hanging="356"/>
        <w:spacing w:after="0" w:line="308" w:lineRule="auto"/>
        <w:tabs>
          <w:tab w:leader="none" w:pos="52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corporation to permit the alienation of property of its subsidiary;</w:t>
      </w:r>
    </w:p>
    <w:p>
      <w:pPr>
        <w:spacing w:after="0" w:line="51" w:lineRule="exact"/>
        <w:rPr>
          <w:rFonts w:ascii="Arial" w:cs="Arial" w:eastAsia="Arial" w:hAnsi="Arial"/>
          <w:sz w:val="17"/>
          <w:szCs w:val="17"/>
          <w:color w:val="auto"/>
        </w:rPr>
      </w:pPr>
    </w:p>
    <w:p>
      <w:pPr>
        <w:ind w:left="520" w:hanging="336"/>
        <w:spacing w:after="0"/>
        <w:tabs>
          <w:tab w:leader="none" w:pos="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amalgamation agreement;</w:t>
      </w:r>
    </w:p>
    <w:p>
      <w:pPr>
        <w:spacing w:after="0" w:line="130" w:lineRule="exact"/>
        <w:rPr>
          <w:rFonts w:ascii="Arial" w:cs="Arial" w:eastAsia="Arial" w:hAnsi="Arial"/>
          <w:sz w:val="18"/>
          <w:szCs w:val="18"/>
          <w:color w:val="auto"/>
        </w:rPr>
      </w:pPr>
    </w:p>
    <w:p>
      <w:pPr>
        <w:jc w:val="both"/>
        <w:ind w:left="540" w:right="320" w:hanging="356"/>
        <w:spacing w:after="0" w:line="342" w:lineRule="auto"/>
        <w:tabs>
          <w:tab w:leader="none" w:pos="52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continuance of the corporation under the laws of a jurisdiction other than Québec; or</w:t>
      </w:r>
    </w:p>
    <w:p>
      <w:pPr>
        <w:spacing w:after="0" w:line="29" w:lineRule="exact"/>
        <w:rPr>
          <w:rFonts w:ascii="Arial" w:cs="Arial" w:eastAsia="Arial" w:hAnsi="Arial"/>
          <w:sz w:val="16"/>
          <w:szCs w:val="16"/>
          <w:color w:val="auto"/>
        </w:rPr>
      </w:pPr>
    </w:p>
    <w:p>
      <w:pPr>
        <w:ind w:left="540" w:right="20" w:hanging="356"/>
        <w:spacing w:after="0" w:line="275" w:lineRule="auto"/>
        <w:tabs>
          <w:tab w:leader="none" w:pos="52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dissolution of the corporation is withdrawn if, as a result of the alienation of property begun during the liquidation of the corporation, the corporation is unable to retain a significant part of its business activity.</w:t>
      </w:r>
    </w:p>
    <w:p>
      <w:pPr>
        <w:spacing w:after="0" w:line="200" w:lineRule="exact"/>
        <w:rPr>
          <w:sz w:val="20"/>
          <w:szCs w:val="20"/>
          <w:color w:val="auto"/>
        </w:rPr>
      </w:pPr>
    </w:p>
    <w:p>
      <w:pPr>
        <w:sectPr>
          <w:pgSz w:w="11900" w:h="16838" w:orient="portrait"/>
          <w:cols w:equalWidth="0" w:num="2">
            <w:col w:w="7080" w:space="120"/>
            <w:col w:w="404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Oppression Remedy</w:t>
      </w:r>
      <w:r>
        <w:rPr>
          <w:sz w:val="20"/>
          <w:szCs w:val="20"/>
          <w:color w:val="auto"/>
        </w:rPr>
        <w:tab/>
      </w:r>
      <w:r>
        <w:rPr>
          <w:rFonts w:ascii="Arial" w:cs="Arial" w:eastAsia="Arial" w:hAnsi="Arial"/>
          <w:sz w:val="16"/>
          <w:szCs w:val="16"/>
          <w:color w:val="auto"/>
        </w:rPr>
        <w:t>The DGCL does not provide for a similar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br w:type="column"/>
      </w:r>
    </w:p>
    <w:p>
      <w:pPr>
        <w:jc w:val="both"/>
        <w:ind w:right="200"/>
        <w:spacing w:after="0" w:line="301" w:lineRule="auto"/>
        <w:rPr>
          <w:sz w:val="20"/>
          <w:szCs w:val="20"/>
          <w:color w:val="auto"/>
        </w:rPr>
      </w:pPr>
      <w:r>
        <w:rPr>
          <w:rFonts w:ascii="Arial" w:cs="Arial" w:eastAsia="Arial" w:hAnsi="Arial"/>
          <w:sz w:val="16"/>
          <w:szCs w:val="16"/>
          <w:color w:val="auto"/>
        </w:rPr>
        <w:t>However, a shareholder is not entitled to dissent if an amendment to the articles is effected by a court order approving reorganization or by a court order made in connection with an action for an oppression remedy.</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QBCA provides an oppression remedy (called “rectification of abuse of power or iniquity”) that enables a court to make any order, whether interim or final, to rectify matters that are oppressive or unfairly prejudicial to the interests of any securityholder, director or officer of the corporation if</w:t>
      </w:r>
    </w:p>
    <w:p>
      <w:pPr>
        <w:sectPr>
          <w:pgSz w:w="11900" w:h="16838" w:orient="portrait"/>
          <w:cols w:equalWidth="0" w:num="2">
            <w:col w:w="6660" w:space="540"/>
            <w:col w:w="4040"/>
          </w:cols>
          <w:pgMar w:left="320" w:top="459" w:right="339" w:bottom="1440" w:gutter="0" w:footer="0" w:header="0"/>
          <w:type w:val="continuous"/>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an application is made to a court by an “applicant”. An</w:t>
      </w:r>
    </w:p>
    <w:p>
      <w:pPr>
        <w:spacing w:after="0" w:line="44"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“applicant” with respect to a corporation means any of</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the following:</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Shareholder Derivative Actions</w:t>
      </w:r>
      <w:r>
        <w:rPr>
          <w:sz w:val="20"/>
          <w:szCs w:val="20"/>
          <w:color w:val="auto"/>
        </w:rPr>
        <w:tab/>
      </w:r>
      <w:r>
        <w:rPr>
          <w:rFonts w:ascii="Arial" w:cs="Arial" w:eastAsia="Arial" w:hAnsi="Arial"/>
          <w:sz w:val="16"/>
          <w:szCs w:val="16"/>
          <w:color w:val="auto"/>
        </w:rPr>
        <w:t>Under the DGCL, stockholders may bring derivative</w:t>
      </w:r>
    </w:p>
    <w:p>
      <w:pPr>
        <w:spacing w:after="0" w:line="23" w:lineRule="exact"/>
        <w:rPr>
          <w:sz w:val="20"/>
          <w:szCs w:val="20"/>
          <w:color w:val="auto"/>
        </w:rPr>
      </w:pPr>
    </w:p>
    <w:p>
      <w:pPr>
        <w:ind w:left="3060"/>
        <w:spacing w:after="0" w:line="290" w:lineRule="auto"/>
        <w:rPr>
          <w:sz w:val="20"/>
          <w:szCs w:val="20"/>
          <w:color w:val="auto"/>
        </w:rPr>
      </w:pPr>
      <w:r>
        <w:rPr>
          <w:rFonts w:ascii="Arial" w:cs="Arial" w:eastAsia="Arial" w:hAnsi="Arial"/>
          <w:sz w:val="16"/>
          <w:szCs w:val="16"/>
          <w:color w:val="auto"/>
        </w:rPr>
        <w:t>actions on behalf of, and for the benefit of the corporation. The plaintiff in a derivative action on behalf of the corporation either must be or have been a stockholder of the corporation at the time of the transaction or must be a stockholder who became a stockholder by operation of law in the transaction</w:t>
      </w:r>
    </w:p>
    <w:p>
      <w:pPr>
        <w:spacing w:after="0" w:line="9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540" w:right="240" w:hanging="356"/>
        <w:spacing w:after="0" w:line="263" w:lineRule="auto"/>
        <w:tabs>
          <w:tab w:leader="none" w:pos="5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present or former registered holder or beneficiary of securities of the corporation or any of its affiliates;</w:t>
      </w:r>
    </w:p>
    <w:p>
      <w:pPr>
        <w:spacing w:after="0" w:line="89" w:lineRule="exact"/>
        <w:rPr>
          <w:rFonts w:ascii="Arial" w:cs="Arial" w:eastAsia="Arial" w:hAnsi="Arial"/>
          <w:sz w:val="18"/>
          <w:szCs w:val="18"/>
          <w:color w:val="auto"/>
        </w:rPr>
      </w:pPr>
    </w:p>
    <w:p>
      <w:pPr>
        <w:ind w:left="540" w:right="360" w:hanging="356"/>
        <w:spacing w:after="0" w:line="308" w:lineRule="auto"/>
        <w:tabs>
          <w:tab w:leader="none" w:pos="52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 present or former officer or director of the corporation or any of its affiliates; and</w:t>
      </w:r>
    </w:p>
    <w:p>
      <w:pPr>
        <w:spacing w:after="0" w:line="51" w:lineRule="exact"/>
        <w:rPr>
          <w:rFonts w:ascii="Arial" w:cs="Arial" w:eastAsia="Arial" w:hAnsi="Arial"/>
          <w:sz w:val="17"/>
          <w:szCs w:val="17"/>
          <w:color w:val="auto"/>
        </w:rPr>
      </w:pPr>
    </w:p>
    <w:p>
      <w:pPr>
        <w:ind w:left="540" w:right="220" w:hanging="356"/>
        <w:spacing w:after="0" w:line="342" w:lineRule="auto"/>
        <w:tabs>
          <w:tab w:leader="none" w:pos="52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other person who in the discretion of the court has the interest to make the application.</w:t>
      </w:r>
    </w:p>
    <w:p>
      <w:pPr>
        <w:spacing w:after="0" w:line="1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oppression remedy provides the court with very broad and flexible powers to intervene in corporate affairs to protect shareholders and other complainants. While conduct that is in breach of fiduciary duties of directors or that is contrary to the legal right of a complainant will normally trigger the court’s jurisdiction under the oppression remedy, the exercise of that jurisdiction does not depend on a finding of a breach of those legal and equitable rights. Furthermore, the court may order a corporation to pay the interim expenses of an applicant seeking an oppression remedy, but the applicant may be held accountable for interim costs on final disposition of the complaint (as in the case of a derivative action as described in “Shareholder Derivative Actions” below).</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QBCA, a shareholder of a corporation may apply to a Québec court for leave to bring an action in the name of, and on behalf of, the corporation or any subsidiary, or to intervene in an existing action to which the corporation or any of its subsidiaries is a party, for the purpose of prosecuting, defending or discontinuing an action on behalf of</w:t>
      </w:r>
    </w:p>
    <w:p>
      <w:pPr>
        <w:sectPr>
          <w:pgSz w:w="11900" w:h="16838" w:orient="portrait"/>
          <w:cols w:equalWidth="0" w:num="2">
            <w:col w:w="7000" w:space="200"/>
            <w:col w:w="4040"/>
          </w:cols>
          <w:pgMar w:left="320" w:top="459" w:right="339" w:bottom="1440" w:gutter="0" w:footer="0" w:header="0"/>
          <w:type w:val="continuous"/>
        </w:sectPr>
      </w:pPr>
    </w:p>
    <w:bookmarkStart w:id="203" w:name="page204"/>
    <w:bookmarkEnd w:id="2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273" w:lineRule="auto"/>
        <w:rPr>
          <w:sz w:val="20"/>
          <w:szCs w:val="20"/>
          <w:color w:val="auto"/>
        </w:rPr>
      </w:pPr>
      <w:r>
        <w:rPr>
          <w:rFonts w:ascii="Arial" w:cs="Arial" w:eastAsia="Arial" w:hAnsi="Arial"/>
          <w:sz w:val="17"/>
          <w:szCs w:val="17"/>
          <w:color w:val="auto"/>
        </w:rPr>
        <w:t>regarding which the stockholder complains. A stockholder may not sue derivatively on behalf of the corporation unless the stockholder first makes demand on the corporation that it bring suit and the demand is refused, unless it is shown that making the demand would have been a futile act.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jc w:val="both"/>
        <w:ind w:right="100"/>
        <w:spacing w:after="0" w:line="285" w:lineRule="auto"/>
        <w:rPr>
          <w:sz w:val="20"/>
          <w:szCs w:val="20"/>
          <w:color w:val="auto"/>
        </w:rPr>
      </w:pPr>
      <w:r>
        <w:rPr>
          <w:rFonts w:ascii="Arial" w:cs="Arial" w:eastAsia="Arial" w:hAnsi="Arial"/>
          <w:sz w:val="17"/>
          <w:szCs w:val="17"/>
          <w:color w:val="auto"/>
        </w:rPr>
        <w:t>the corporation or its subsidiary. Under the QBCA, no action may be brought and no intervention in an action may be made unless a court is satisfied that:</w:t>
      </w:r>
    </w:p>
    <w:p>
      <w:pPr>
        <w:spacing w:after="0" w:line="192" w:lineRule="exact"/>
        <w:rPr>
          <w:sz w:val="20"/>
          <w:szCs w:val="20"/>
          <w:color w:val="auto"/>
        </w:rPr>
      </w:pPr>
    </w:p>
    <w:p>
      <w:pPr>
        <w:ind w:left="540" w:hanging="356"/>
        <w:spacing w:after="0" w:line="273" w:lineRule="auto"/>
        <w:tabs>
          <w:tab w:leader="none" w:pos="52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shareholder has given the required 14-day notice to the directors of the corporation or the subsidiary of the shareholder’s intention to apply to the court if the directors do not bring, diligently prosecute or defend or discontinue the action;</w:t>
      </w:r>
    </w:p>
    <w:p>
      <w:pPr>
        <w:spacing w:after="0" w:line="83" w:lineRule="exact"/>
        <w:rPr>
          <w:rFonts w:ascii="Arial" w:cs="Arial" w:eastAsia="Arial" w:hAnsi="Arial"/>
          <w:sz w:val="17"/>
          <w:szCs w:val="17"/>
          <w:color w:val="auto"/>
        </w:rPr>
      </w:pPr>
    </w:p>
    <w:p>
      <w:pPr>
        <w:ind w:left="520" w:hanging="336"/>
        <w:spacing w:after="0"/>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shareholder is acting in good faith; and</w:t>
      </w:r>
    </w:p>
    <w:p>
      <w:pPr>
        <w:spacing w:after="0" w:line="130" w:lineRule="exact"/>
        <w:rPr>
          <w:rFonts w:ascii="Arial" w:cs="Arial" w:eastAsia="Arial" w:hAnsi="Arial"/>
          <w:sz w:val="18"/>
          <w:szCs w:val="18"/>
          <w:color w:val="auto"/>
        </w:rPr>
      </w:pPr>
    </w:p>
    <w:p>
      <w:pPr>
        <w:ind w:left="540" w:right="220" w:hanging="356"/>
        <w:spacing w:after="0" w:line="259" w:lineRule="auto"/>
        <w:tabs>
          <w:tab w:leader="none" w:pos="5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appears to be in the interests of the corporation or the relevant subsidiary that the action be brought. prosecuted, defended or discontinued.</w:t>
      </w:r>
    </w:p>
    <w:p>
      <w:pPr>
        <w:spacing w:after="0" w:line="200" w:lineRule="exact"/>
        <w:rPr>
          <w:sz w:val="20"/>
          <w:szCs w:val="20"/>
          <w:color w:val="auto"/>
        </w:rPr>
      </w:pPr>
    </w:p>
    <w:p>
      <w:pPr>
        <w:sectPr>
          <w:pgSz w:w="11900" w:h="16838" w:orient="portrait"/>
          <w:cols w:equalWidth="0" w:num="2">
            <w:col w:w="6980" w:space="220"/>
            <w:col w:w="404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Anti-Takeover and Ownership</w:t>
      </w:r>
      <w:r>
        <w:rPr>
          <w:sz w:val="20"/>
          <w:szCs w:val="20"/>
          <w:color w:val="auto"/>
        </w:rPr>
        <w:tab/>
      </w:r>
      <w:r>
        <w:rPr>
          <w:rFonts w:ascii="Arial" w:cs="Arial" w:eastAsia="Arial" w:hAnsi="Arial"/>
          <w:sz w:val="16"/>
          <w:szCs w:val="16"/>
          <w:color w:val="auto"/>
        </w:rPr>
        <w:t>Unless an issuer opts out of the provisions of</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Provisions</w:t>
      </w:r>
      <w:r>
        <w:rPr>
          <w:sz w:val="20"/>
          <w:szCs w:val="20"/>
          <w:color w:val="auto"/>
        </w:rPr>
        <w:tab/>
      </w:r>
      <w:r>
        <w:rPr>
          <w:rFonts w:ascii="Arial" w:cs="Arial" w:eastAsia="Arial" w:hAnsi="Arial"/>
          <w:sz w:val="18"/>
          <w:szCs w:val="18"/>
          <w:color w:val="auto"/>
        </w:rPr>
        <w:t>Section 203 of the DGCL, Section 203 generally</w:t>
      </w:r>
    </w:p>
    <w:p>
      <w:pPr>
        <w:spacing w:after="0" w:line="9" w:lineRule="exact"/>
        <w:rPr>
          <w:sz w:val="20"/>
          <w:szCs w:val="20"/>
          <w:color w:val="auto"/>
        </w:rPr>
      </w:pPr>
    </w:p>
    <w:p>
      <w:pPr>
        <w:ind w:left="3060"/>
        <w:spacing w:after="0" w:line="268" w:lineRule="auto"/>
        <w:rPr>
          <w:sz w:val="20"/>
          <w:szCs w:val="20"/>
          <w:color w:val="auto"/>
        </w:rPr>
      </w:pPr>
      <w:r>
        <w:rPr>
          <w:rFonts w:ascii="Arial" w:cs="Arial" w:eastAsia="Arial" w:hAnsi="Arial"/>
          <w:sz w:val="17"/>
          <w:szCs w:val="17"/>
          <w:color w:val="auto"/>
        </w:rPr>
        <w:t>prohibits a public Delaware corporation from engaging in a “business combination” with a holder of 15% or more of the corporation’s voting stock (as defined in Section 203), referred to as an interested stockholder, for a period of three years after the date of the transaction in which the interested stockholder became an interested stockholder, except as otherwise provided in Section 203. For these</w:t>
      </w:r>
    </w:p>
    <w:p>
      <w:pPr>
        <w:spacing w:after="0" w:line="1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br w:type="column"/>
      </w:r>
    </w:p>
    <w:p>
      <w:pPr>
        <w:ind w:right="60"/>
        <w:spacing w:after="0" w:line="289" w:lineRule="auto"/>
        <w:rPr>
          <w:sz w:val="20"/>
          <w:szCs w:val="20"/>
          <w:color w:val="auto"/>
        </w:rPr>
      </w:pPr>
      <w:r>
        <w:rPr>
          <w:rFonts w:ascii="Arial" w:cs="Arial" w:eastAsia="Arial" w:hAnsi="Arial"/>
          <w:sz w:val="16"/>
          <w:szCs w:val="16"/>
          <w:color w:val="auto"/>
        </w:rPr>
        <w:t>Under the QBCA, the court in a derivative action may make any order it thinks fit. In addition, under the QBCA, a court may order the corporation or its relevant subsidiary to pay the shareholder’s interim costs, including reasonable legal fees and disbursements. Although the shareholder may he held accountable for the interim costs on final disposition of the complaint, the shareholder is not required to give security for costs in a derivative action.</w:t>
      </w:r>
    </w:p>
    <w:p>
      <w:pPr>
        <w:spacing w:after="0" w:line="18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While the QBCA does not contain specific anti-takeover provisions with respect to “business combinations,” rules and policies of certain Canadian securities regulatory authorities, including Multilateral Instrument 61-101—Protection of Minority Security Holders in Special Transactions, or Multilateral Instrument 61-101, contain requirements in connection with, among other things, “related party transactions” and “business combinations”, including, among other</w:t>
      </w:r>
    </w:p>
    <w:p>
      <w:pPr>
        <w:sectPr>
          <w:pgSz w:w="11900" w:h="16838" w:orient="portrait"/>
          <w:cols w:equalWidth="0" w:num="2">
            <w:col w:w="7040" w:space="160"/>
            <w:col w:w="4040"/>
          </w:cols>
          <w:pgMar w:left="320" w:top="459" w:right="339" w:bottom="1440" w:gutter="0" w:footer="0" w:header="0"/>
          <w:type w:val="continuous"/>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262" w:lineRule="auto"/>
        <w:rPr>
          <w:sz w:val="20"/>
          <w:szCs w:val="20"/>
          <w:color w:val="auto"/>
        </w:rPr>
      </w:pPr>
      <w:r>
        <w:rPr>
          <w:rFonts w:ascii="Arial" w:cs="Arial" w:eastAsia="Arial" w:hAnsi="Arial"/>
          <w:sz w:val="18"/>
          <w:szCs w:val="18"/>
          <w:color w:val="auto"/>
        </w:rPr>
        <w:t>purposes, the term “business combination” includes mergers, assets sales and other similar transactions with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things, any transaction by which an issuer directly or indirectly engages in the following with a related party: acquires, sells, leases or transfers an asset, acquires the related party, acquires or issues treasury securities, amends the terms of a security if the security is owned by the related party or assumes or becomes subject to a liability or takes certain other actions with respect to debt.</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 “related party” includes directors, senior officers and holders of more than 10% of the voting rights attached to all outstanding voting securities of the issuer or holders of a sufficient number of any securities of the issuer to materially affect control of the issuer.</w:t>
      </w:r>
    </w:p>
    <w:p>
      <w:pPr>
        <w:spacing w:after="0" w:line="2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Multilateral Instrument 61-101 requires, subject to certain exceptions, the preparation of a formal valuation relating to certain aspects of the transaction and more detailed disclosure in the proxy material sent to security holders in connection with a related party transaction including related to the valuation. Multilateral Instrument 61-101 also requires, subject to certain exceptions, that an issuer not engage in a related party transaction unless the shareholders of the issuer, other than the related parties, approve the transaction by a simple majority of the votes cast.</w:t>
      </w:r>
    </w:p>
    <w:p>
      <w:pPr>
        <w:sectPr>
          <w:pgSz w:w="11900" w:h="16838" w:orient="portrait"/>
          <w:cols w:equalWidth="0" w:num="2">
            <w:col w:w="7080" w:space="120"/>
            <w:col w:w="4040"/>
          </w:cols>
          <w:pgMar w:left="320" w:top="459" w:right="339" w:bottom="1440" w:gutter="0" w:footer="0" w:header="0"/>
          <w:type w:val="continuous"/>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29"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following is a description of the material U.S. federal income tax consequences to the U.S. Holders described below of owning and disposing of our common shares. It is not a comprehensive description of all tax considerations that may be relevant to a particular U.S. Holder. This discussion applies only to a U.S. Holder that holds our common shares as a capital asset for tax purposes (generally, property held for investment). In addition, it does not describe all of the tax consequences that may be relevant in light of a U.S. Holder’s particular circumstances, including state and local tax consequences, estate or gift tax consequences, alternative minimum tax consequences, the potential application of the Medicare contribution tax, and tax consequences applicable to U.S. Holders subject to special rules, such as:</w:t>
      </w:r>
    </w:p>
    <w:p>
      <w:pPr>
        <w:spacing w:after="0" w:line="98" w:lineRule="exact"/>
        <w:rPr>
          <w:sz w:val="20"/>
          <w:szCs w:val="20"/>
          <w:color w:val="auto"/>
        </w:rPr>
      </w:pPr>
    </w:p>
    <w:p>
      <w:pPr>
        <w:ind w:left="1000" w:hanging="547"/>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integrated transaction or persons entering into a constructive sale with respect to common shares;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tax-exempt entities or government organizations;</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(and investors therein);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persons who acquired our common shares pursuant to the exercise of any employee share option or otherwise as compensation;</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that own or are deemed to own 10 percent or more of the voting power or value of our shares;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persons holding our common shares in connection with a trade or business, permanent establishment or fixed base outside the United States.</w:t>
      </w:r>
    </w:p>
    <w:p>
      <w:pPr>
        <w:spacing w:after="0" w:line="248"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are encouraged to consult their tax advisors as to the particular U.S. federal income tax consequences of holding and disposing of common shares.</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discussion is based on the Internal Revenue Code of 1986, as amended, or the Code, existing, proposed and temporary U.S. Treasury Regulations promulgated thereunder and administrative and judicial interpretations thereof and the Convention Between Canada and the United States of America with Respect to Taxes on Income and Capital, signed September 26, 1980, as amended, or the Canada-U.S. Tax Treaty, all as of the date hereof, changes to any of which may affect the tax consequences described herein—possibly with retroactive effect. No ruling has been sought from the U.S. Internal Revenue Service, or the IRS, with respect to any of the U.S. federal income tax consequences described below, and there can be no assurances that the IRS will not take a contrary position concerning the tax consequences of the acquisition, ownership and disposition of our common shares or that such a position would not be sustained by a court.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459"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Canada-U.S. Tax Treaty and is:</w:t>
      </w:r>
    </w:p>
    <w:p>
      <w:pPr>
        <w:spacing w:after="0" w:line="116" w:lineRule="exact"/>
        <w:rPr>
          <w:sz w:val="20"/>
          <w:szCs w:val="20"/>
          <w:color w:val="auto"/>
        </w:rPr>
      </w:pPr>
    </w:p>
    <w:p>
      <w:pPr>
        <w:ind w:left="1120" w:hanging="667"/>
        <w:spacing w:after="0"/>
        <w:tabs>
          <w:tab w:leader="none" w:pos="11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120" w:right="140" w:hanging="667"/>
        <w:spacing w:after="0" w:line="277" w:lineRule="auto"/>
        <w:tabs>
          <w:tab w:leader="none" w:pos="11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corporation, or another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120" w:right="220" w:hanging="667"/>
        <w:spacing w:after="0" w:line="263" w:lineRule="auto"/>
        <w:tabs>
          <w:tab w:leader="none" w:pos="11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4"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U.S. Holders are encouraged to consult their tax advisors concerning the U.S. federal, state, local and foreign tax consequences of owning and disposing of our common shares in their particular circumstances.</w:t>
      </w:r>
    </w:p>
    <w:p>
      <w:pPr>
        <w:spacing w:after="0" w:line="170"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THESE PARAGRAPHS ARE A SUMMARY OF CERTAIN U.S. TAX CONSIDERATIONS AND ARE INTENDED AS A GENERAL GUIDE ONLY. IT IS RECOMMENDED THAT ALL HOLDERS OF COMMON SHARES OBTAIN ADVICE AS TO THE CONSEQUENCES OF THE ACQUISITION, OWNERSHIP AND DISPOSITION OF THE COMMON SHARES IN THEIR OWN SPECIFIC CIRCUMSTANCES FROM THEIR OWN TAX ADVISORS.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If we are classified as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corporation will be classified as a PFIC for any taxable year in which, after applying certain look-through rules, either:</w:t>
      </w:r>
    </w:p>
    <w:p>
      <w:pPr>
        <w:spacing w:after="0" w:line="131" w:lineRule="exact"/>
        <w:rPr>
          <w:sz w:val="20"/>
          <w:szCs w:val="20"/>
          <w:color w:val="auto"/>
        </w:rPr>
      </w:pPr>
    </w:p>
    <w:p>
      <w:pPr>
        <w:ind w:left="1000" w:hanging="547"/>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(such as interest income); or</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170"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For purposes of these tests, passive income includes dividends, interest, gains from the sale or exchange of investment property and certain rents and royalties. We will be treated as owning our proportionate share of the assets and earning our proportionate share of the income of any other corporation, the equity of which we own, directly or indirectly, 25% or more (by value).</w:t>
      </w:r>
    </w:p>
    <w:p>
      <w:pPr>
        <w:spacing w:after="0" w:line="18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Based on the composition of our income and assets, we believe we were a PFIC for the taxable year ended December 31, 2019. However, based on our operating history and the projected composition of our income and valuation of our assets, including goodwill, for the taxable year ending December 31, 2020, we do not expect to be classified as a PFIC. However, the application of the PFIC rules is subject to uncertainty in several respects, and therefore, no assurances can be provided with respect to our PFIC status for any past, current or future taxable years.</w:t>
      </w:r>
    </w:p>
    <w:p>
      <w:pPr>
        <w:spacing w:after="0" w:line="17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from year to year. The total value of our assets for purposes of the asset test generally may be determined in part by reference to the market price of the common shares, which may fluctuate considerably. Fluctuations in the market price of the common shares may result in our being a PFIC for any taxable year. Even if we determine that we are not a PFIC for a taxable year, there can be no assurance that the IRS will agree with our conclusion and that the IRS would not successfully challenge our position. Because of the uncertainties involved in establishing our PFIC status, our United States tax counsel expresses no opinion regarding our PFIC status.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320" w:top="459" w:right="3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If we are classified as a PFIC in any year with respect to which a U.S. Holder owns common shares, we will continue to be treated as a PFIC with respect to such U.S. Holder in all succeeding years during which the U.S. Holder owns the common shares, regardless of whether we continue to meet the tests described above unless (i) we cease to be a PFIC and the U.S. Holder has made a valid “deemed sale” election under the PFIC rules, (ii) we cease to be a PFIC and the U.S. Holder has a valid mark-to-market election in effect (as described below) or (iii) the U.S. Holder makes a valid Qualified Electing Fund Election, or QEF Election, with respect to all taxable years during such U.S. Holders holding period in which we are a PFIC. However, a U.S. Holder may make a QEF Election with respect to our common shares only if we annually provide such U.S. Holder with certain tax information, and we currently do not intend to prepare or provide such information. As a result, the QEF Election is not expected to be available to a U.S. Holder and the remainder of this discussion assumes that such election will not be available. If the “deemed sale” election is made, a U.S. Holder will be deemed to have sold the common shares the U.S. Holder holds at their fair market value and any gain from such deemed sale would be subject to the rules described below. After the deemed sale election, so long as we do not become a PFIC in a subsequent taxable year, the U.S. Holder’s common shares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common shares. U.S. Holders should consult their tax advisors as to the possibility and consequences of making a deemed sale election if we cease to be a PFIC and such election becomes available.</w:t>
      </w:r>
    </w:p>
    <w:p>
      <w:pPr>
        <w:spacing w:after="0" w:line="17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For each taxable year we are treated as a PFIC, U.S. Holders will be subject to special tax rules with respect to any “excess distribution” such U.S. Holder receives and any gain such U.S. Holder recognizes from a sale or other disposition (including a pledge) of our common shares, unless (i) such U.S. Holder makes a QEF Election with respect to all taxable years of a U.S. Holder’s holding period during which we are a PFIC or makes a purging election to cause a deemed sale of the common shares at their fair market value in conjunction with a QEF Election (however, as discussed above, such elections are expected and assumed not to be available) or (ii) our common shares constitute “marketable” securities,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common shares will be treated as an excess distribution. Under these special tax rules:</w:t>
      </w:r>
    </w:p>
    <w:p>
      <w:pPr>
        <w:spacing w:after="0" w:line="84" w:lineRule="exact"/>
        <w:rPr>
          <w:sz w:val="20"/>
          <w:szCs w:val="20"/>
          <w:color w:val="auto"/>
        </w:rPr>
      </w:pPr>
    </w:p>
    <w:p>
      <w:pPr>
        <w:ind w:left="1000" w:hanging="547"/>
        <w:spacing w:after="0"/>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a U.S. Holder’s holding period for the common shares;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taxable as ordinary income; and</w:t>
      </w:r>
    </w:p>
    <w:p>
      <w:pPr>
        <w:spacing w:after="0" w:line="75" w:lineRule="exact"/>
        <w:rPr>
          <w:rFonts w:ascii="Arial" w:cs="Arial" w:eastAsia="Arial" w:hAnsi="Arial"/>
          <w:sz w:val="18"/>
          <w:szCs w:val="18"/>
          <w:color w:val="auto"/>
        </w:rPr>
      </w:pPr>
    </w:p>
    <w:p>
      <w:pPr>
        <w:ind w:left="1000" w:right="780" w:hanging="547"/>
        <w:spacing w:after="0" w:line="308" w:lineRule="auto"/>
        <w:tabs>
          <w:tab w:leader="none" w:pos="10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4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 U.S. Holder’s tax liability for amounts allocated to years prior to the year of disposition or the year of an “excess distribution” cannot be offset by any net operating losses for such years, and gains (but not losses) realized on the sale of the common shares cannot be treated as capital, even if the U.S. Holder holds the common shares as capital assets.</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shares of, any of our direct or indirect subsidiaries that also are PFICs, as if such distributions were indirectly received by, and/or dispositions were indirectly carried out by, such U.S. Holder. U.S. Holders should consult their tax advisors regarding the potential application of the PFIC rules if we were to form or acquire any non-U.S. subsidiaries in the future.</w:t>
      </w:r>
    </w:p>
    <w:p>
      <w:pPr>
        <w:spacing w:after="0" w:line="187" w:lineRule="exact"/>
        <w:rPr>
          <w:sz w:val="20"/>
          <w:szCs w:val="20"/>
          <w:color w:val="auto"/>
        </w:rPr>
      </w:pPr>
    </w:p>
    <w:p>
      <w:pPr>
        <w:ind w:right="1080" w:firstLine="449"/>
        <w:spacing w:after="0" w:line="277" w:lineRule="auto"/>
        <w:rPr>
          <w:sz w:val="20"/>
          <w:szCs w:val="20"/>
          <w:color w:val="auto"/>
        </w:rPr>
      </w:pPr>
      <w:r>
        <w:rPr>
          <w:rFonts w:ascii="Arial" w:cs="Arial" w:eastAsia="Arial" w:hAnsi="Arial"/>
          <w:sz w:val="18"/>
          <w:szCs w:val="18"/>
          <w:color w:val="auto"/>
        </w:rPr>
        <w:t>If we are a PFIC, U.S. Holders can avoid the interest charge on excess distributions or gain relating to the common shares by making a mark-to-market election with respect to the common shares, provided that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459" w:right="3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common shares are “marketable.” Common shares will be marketable if they are “regularly traded” on certain U.S. stock exchanges or on a foreign stock exchange that meets certain conditions. For these purposes, the common shares will be considered regularly traded during any calendar year during which they are traded, other than in de minimis quantities, on at least 15 days during each calendar quarter. Any trades that have as their principal purpose meeting this requirement will be disregarded. Our common shares will be listed on Nasdaq, which is a qualified exchange for these purposes. Consequently, if our common shares remain listed on Nasdaq and are regularly traded, and you are a U.S. Holder that holds our common shares, we expect the mark-to-market election would be available to you if we are a PFIC. Each U.S. Holder should consult its tax advisor as to the whether a mark-to-market election is available or advisable with respect to the common shares.</w:t>
      </w:r>
    </w:p>
    <w:p>
      <w:pPr>
        <w:spacing w:after="0" w:line="177"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A U.S. Holder that makes a mark-to-market election must include as ordinary income for each year an amount equal to the excess, if any, of the fair market value of the common shares at the close of the taxable year over the U.S. Holder’s adjusted tax basis in the common shares. Accordingly, such mark-to-market election may accelerate the recognition of income without a corresponding receipt of cash. An electing holder may also claim an ordinary loss deduction for the excess, if any, of the U.S. Holder’s adjusted basis in the common shares over the fair market value of the common shares at the close of the taxable year, but this deduction is allowable only to the extent of any net mark-to-market gains for prior years. The U.S. Holder’s tax basis in our common shares would be adjusted to reflect any income or loss recognized as a result of the mark-to-market election. Gains from an actual sale or other disposition of the common shares will be treated as ordinary income, and any losses incurred on a sale or other disposition of the common shares will be treated first as an ordinary loss (to the extent of any net mark-to-market gains for prior years) and thereafter as a capital loss. Once made, the election cannot be revoked without the consent of the IRS, unless the common shares cease to be marketable.</w:t>
      </w:r>
    </w:p>
    <w:p>
      <w:pPr>
        <w:spacing w:after="0" w:line="16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any year in which we are classified as a PFIC, a U.S. Holder will be required to file an annual information return on IRS Form 8621 containing such information as the Treasury Regulations and/or other IRS guidance may require. A U.S. Holder’s failure to file IRS Form 8621 could result in the imposition of penalties and the extension of the statute of limitations with respect to U.S. federal income tax. U.S. Holders should consult their tax advisors regarding the requirements of filing such information returns under these rules.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As described in the section above entitled “Dividend Policy,” we do not anticipate declaring or paying dividends to holders of our common shares in the foreseeable future. However, if we make a distribution contrary to this expectation, subject to the discussion above under “Passive Foreign Investment Company Rules,” distributions paid to a U.S. Holder in respect to our common shares (including any amounts withheld in respect of foreign taxes), other than certain pro rata distributions of common shares, will generally be treated as dividends to the extent paid out of our current 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common shares. To the extent the distribution exceeds the adjusted tax basis of the U.S. Holder’s common shares, the remainder will be taxed as capital gain. Because we may not calculate our earnings and profits under U.S. federal income tax principles, we expect that distributions generally will be reported to U.S. Holders as dividends.</w:t>
      </w:r>
    </w:p>
    <w:p>
      <w:pPr>
        <w:spacing w:after="0" w:line="181"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Subject to applicable limitations, dividends paid by a “qualified foreign corporation” to certain non-corporate U.S. Holders may be taxable at preferential rates provided that certain requirements are met. 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that are readily tradable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459" w:right="3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on an established securities market in the United States. Our common shares will generally be considered to be readily tradable on an established securities market in the United States for so long as they are listed on the Nasdaq Global Select Market. The amount of the dividend will be treated as foreign-source dividend income to U.S. Holders and will not be eligible for the dividends-received deduction generally available to U.S. corporations under the Code.</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common shares or rights to acquire common shares) will be the fair market value of such property on the date of distribution.</w:t>
      </w:r>
    </w:p>
    <w:p>
      <w:pPr>
        <w:spacing w:after="0" w:line="18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For foreign tax credit limitation purposes, our dividends will generally be treated as passive category income. A U.S. Holder generally may claim the amount of any Canadian withholding tax as either a deduction from gross income or a credit against its U.S. federal income tax liability. However, the foreign tax credit is subject to numerous complex limitations that must be determined and applied on an individual basis. Each U.S. Holder should consult its own tax advisors regarding the foreign tax credit rules.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Common Shares</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Subject to the discussion above under “Passive Foreign Investment Company Rules,” gain or loss realized on the sale or other taxable disposition of common shares will be capital gain or loss, and will be a long-term capital gain or loss if the U.S. Holder held the common shares for more than one year. The amount of the gain or loss will equal the difference between the U.S. Holder’s adjusted tax basis in the common shares disposed of and the amount realized on the disposition, in each case as determined in U.S. dollars. This gain or loss will generally be U.S.-source gain or loss for foreign tax credit purposes, which will generally limit the availability of foreign tax credits. The deductibility of capital losses is subject to limitations.</w:t>
      </w:r>
    </w:p>
    <w:p>
      <w:pPr>
        <w:spacing w:after="0" w:line="16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common shares are treated as traded on an “established securities market” and a U.S. Holder is either a cash basis taxpayer or an accrual basis taxpayer that has made a special election (which must be applied consistently from year to year and cannot be changed without the consent of the IRS), such U.S.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U.S. Holder will recognize foreign currency gain or loss to the extent of any difference between the U.S. dollar amount realized on the date of sale or disposition and the U.S. dollar value of the currency received at the spot rate on the settlement date.</w:t>
      </w:r>
    </w:p>
    <w:p>
      <w:pPr>
        <w:spacing w:after="0" w:line="161" w:lineRule="exact"/>
        <w:rPr>
          <w:sz w:val="20"/>
          <w:szCs w:val="20"/>
          <w:color w:val="auto"/>
        </w:rPr>
      </w:pPr>
    </w:p>
    <w:p>
      <w:pPr>
        <w:jc w:val="both"/>
        <w:ind w:right="180" w:firstLine="449"/>
        <w:spacing w:after="0" w:line="266"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COMMON SHARES AS WELL AS THE APPLICATION OF THE PFIC RULES TO YOUR INVESTMENT IN THE COMMON SHARES.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459"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withholding, the U.S. Holder provides a correct taxpayer identification number and certifies that it is not subject to backup withholding (generally, by providing an IRS Form W-9).</w:t>
      </w:r>
    </w:p>
    <w:p>
      <w:pPr>
        <w:spacing w:after="0" w:line="170"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24"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The discussion of reporting requirements set forth above is not intended to constitute a complete description of all reporting requirements that may apply to a U.S. Holder. Each U.S. Holder should consult its own tax advisors regarding the information reporting and backup withholding rules.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Certain U.S. Holders who are individuals (and, under regulations, certain entities) may be required to report information relating to the common shares, subject to certain exceptions (including an exception for common shares held in accounts maintained by certain U.S. financial institutions).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Each U.S. Holder should consult its own tax advisors regarding its reporting obligations with respect to its ownership and disposition of the common shares.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20"/>
          </w:cols>
          <w:pgMar w:left="320" w:top="459" w:right="5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22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The following is, as of the date hereof, a summary of the principal Canadian federal income tax considerations generally applicable under the Income Tax Act (Canada) and the regulations promulgated thereunder, collectively the Tax Act, to a purchaser who acquires, as beneficial owner, the common shares under this offering, and who, for purposes of the Tax Act and at all relevant times, (i) is not, and is not deemed to be, resident in Canada, (ii) holds the common shares as capital property, (iii) deals at arm’s length with, and is not affiliated with, the Company or the underwriters, and (iv) does not use or hold and will not be deemed to use or hold, the common shares in a business carried on in Canada, hereinafter, a Non-Resident Holder. Special rules, which are not discussed in this summary, may apply to an insurer that carries on an insurance business in Canada and elsewhere.</w:t>
      </w:r>
    </w:p>
    <w:p>
      <w:pPr>
        <w:spacing w:after="0" w:line="16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summary is based upon the provisions of the Tax Act in force as of the date hereof, all specific proposals to amend the Tax Act that have been publicly announced by or on behalf of the Minister of Finance (Canada) prior to the date hereof, or the Proposed Amendments, the Canada-U.S. Tax Treaty, and an understanding of the current administrative policies and assessing practices of the Canada Revenue Agency, or the CRA, published in writing by it prior to the date hereof. This summary assumes the Proposed Amendments will be enacted in the form proposed. However, no assurance can be given that the Proposed Amendments will be enacted in their current form, or at all. This summary is not exhaustive of all possible Canadian federal income tax considerations and, except for the Proposed Amendments, does not take into account or anticipate any changes in the law or any changes in the CRA’s administrative policies or assessing practices, whether by legislative, governmental or judicial action or decision, nor does it take into account or anticipate any other federal or any provincial, territorial or foreign tax considerations, which may differ significantly from those discussed herein.</w:t>
      </w:r>
    </w:p>
    <w:p>
      <w:pPr>
        <w:spacing w:after="0" w:line="165"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 xml:space="preserve">This summary is not applicable to a Non-Resident Holder who makes or has made a “functional currency” reporting election; or that has entered or enters into a “derivative forward agreement” with respect to the common shares (each as defined in the Tax Act). </w:t>
      </w:r>
      <w:r>
        <w:rPr>
          <w:rFonts w:ascii="Arial" w:cs="Arial" w:eastAsia="Arial" w:hAnsi="Arial"/>
          <w:sz w:val="16"/>
          <w:szCs w:val="16"/>
          <w:b w:val="1"/>
          <w:bCs w:val="1"/>
          <w:color w:val="auto"/>
        </w:rPr>
        <w:t>Any such Non-Resident Holder should</w:t>
      </w:r>
      <w:r>
        <w:rPr>
          <w:rFonts w:ascii="Arial" w:cs="Arial" w:eastAsia="Arial" w:hAnsi="Arial"/>
          <w:sz w:val="16"/>
          <w:szCs w:val="16"/>
          <w:color w:val="auto"/>
        </w:rPr>
        <w:t xml:space="preserve"> </w:t>
      </w:r>
      <w:r>
        <w:rPr>
          <w:rFonts w:ascii="Arial" w:cs="Arial" w:eastAsia="Arial" w:hAnsi="Arial"/>
          <w:sz w:val="16"/>
          <w:szCs w:val="16"/>
          <w:b w:val="1"/>
          <w:bCs w:val="1"/>
          <w:color w:val="auto"/>
        </w:rPr>
        <w:t>consult its own tax advisor with respect to an investment in the common shares. This summary is of a general nature only and is not intended to be, nor should it be construed to be, legal or tax advice to any prospective purchaser or holder of the common shares, and no representations with respect to the income tax consequences to any prospective purchaser or holder are made. Consequently, prospective purchasers or holders of the common shares should consult their own tax advisors with respect to their particular circumstances.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Currency Conversion</w:t>
      </w:r>
    </w:p>
    <w:p>
      <w:pPr>
        <w:spacing w:after="0" w:line="117"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Generally, for purposes of the Tax Act, all amounts relating to the acquisition, holding or disposition of the common shares must be converted into Canadian dollars based on the exchange rates as determined in accordance with the Tax Act. The amounts subject to withholding tax and any capital gains or capital losses realized by a Non-Resident Holder may be affected by fluctuations in the Canadian-U.S. dollar exchange rate.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A Non-Resident Holder will not be subject to tax under the Tax Act on a disposition of a common share, unless the common share constitutes “taxable Canadian property” (as defined in the Tax Act) of the Non-Resident Holder at the time of disposition and the Non-Resident Holder is not entitled to relief under an applicable income tax treaty or convention.</w:t>
      </w:r>
    </w:p>
    <w:p>
      <w:pPr>
        <w:spacing w:after="0" w:line="184"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Provided the common shares are listed on a “designated stock exchange,” as defined in the Tax Act (which currently includes the Nasdaq Stock Market) at the time of disposition, the common shares will generally not constitute taxable Canadian property of a Non-Resident Holder at that time, unless at any time during the 60-month period immediately preceding the disposition the following two conditions are satisfied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459"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the shares of the Company; and (ii) more than 50% of the fair market value of the shares of the Company was derived directly or indirectly from one or any combination of: real or immovable property situated in Canada, “Canadian resource properties”, “timber resource properties” (each as defined in the Tax Act), and options in respect of, or interests in or for civil law rights in, any such property whether or not the property exists. Notwithstanding the foregoing, in certain circumstances set out in the Tax Act, the common shares could be deemed to be taxable Canadian property. Even if the common shares are taxable Canadian property to a Non-Resident Holder, such Non-Resident Holder may be exempt from tax under the Tax Act on the disposition of such common shares by virtue of an applicable income tax treaty or convention, such as the Canada-U.S. Tax Treaty. </w:t>
      </w:r>
      <w:r>
        <w:rPr>
          <w:rFonts w:ascii="Arial" w:cs="Arial" w:eastAsia="Arial" w:hAnsi="Arial"/>
          <w:sz w:val="16"/>
          <w:szCs w:val="16"/>
          <w:b w:val="1"/>
          <w:bCs w:val="1"/>
          <w:color w:val="auto"/>
        </w:rPr>
        <w:t>A Non-Resident Holder contemplating a</w:t>
      </w:r>
      <w:r>
        <w:rPr>
          <w:rFonts w:ascii="Arial" w:cs="Arial" w:eastAsia="Arial" w:hAnsi="Arial"/>
          <w:sz w:val="16"/>
          <w:szCs w:val="16"/>
          <w:color w:val="auto"/>
        </w:rPr>
        <w:t xml:space="preserve"> </w:t>
      </w:r>
      <w:r>
        <w:rPr>
          <w:rFonts w:ascii="Arial" w:cs="Arial" w:eastAsia="Arial" w:hAnsi="Arial"/>
          <w:sz w:val="16"/>
          <w:szCs w:val="16"/>
          <w:b w:val="1"/>
          <w:bCs w:val="1"/>
          <w:color w:val="auto"/>
        </w:rPr>
        <w:t>disposition of common shares that may constitute taxable Canadian property should consult a tax advisor prior to such disposition.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Dividends paid or credited on the common shares or deemed to be paid or credited on the common shares to a Non-Resident Holder will be subject to Canadian withholding tax under the Tax Act at the rate of 25%, although such rate may be reduced under the provisions of an applicable income tax convention between Canada and the Non-Resident Holder’s country of residence. For example, under the Canada-U.S. Tax Treaty, the rate of Canadian withholding tax applicable to a dividend paid on a common share to a Non-Resident Holder that is a resident of the United States for purposes of the Canada-U.S. Tax Treaty, beneficially owns the dividend and is fully entitled to the benefits of the Canada-U.S. Tax Treaty is generally reduced to 15%.</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459" w:right="3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40" w:firstLine="449"/>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Goldman Sachs &amp; Co. LLC, Cowen and Company, LLC and Piper Sandler &amp; Co. are acting as representatives, have severally agreed to purchase, and we have agreed to sell to them, severally, the number of shares indicated below:</w:t>
      </w:r>
    </w:p>
    <w:p>
      <w:pPr>
        <w:spacing w:after="0" w:line="17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800" w:type="dxa"/>
            <w:vAlign w:val="bottom"/>
            <w:gridSpan w:val="2"/>
            <w:vMerge w:val="restart"/>
          </w:tcPr>
          <w:p>
            <w:pPr>
              <w:ind w:left="3440"/>
              <w:spacing w:after="0"/>
              <w:rPr>
                <w:sz w:val="20"/>
                <w:szCs w:val="20"/>
                <w:color w:val="auto"/>
              </w:rPr>
            </w:pPr>
            <w:r>
              <w:rPr>
                <w:rFonts w:ascii="Arial" w:cs="Arial" w:eastAsia="Arial" w:hAnsi="Arial"/>
                <w:sz w:val="14"/>
                <w:szCs w:val="14"/>
                <w:b w:val="1"/>
                <w:bCs w:val="1"/>
                <w:color w:val="auto"/>
                <w:w w:val="89"/>
              </w:rPr>
              <w:t>Name</w:t>
            </w:r>
          </w:p>
        </w:tc>
        <w:tc>
          <w:tcPr>
            <w:tcW w:w="358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6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3,850,000</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4620" w:type="dxa"/>
            <w:vAlign w:val="bottom"/>
            <w:gridSpan w:val="5"/>
          </w:tcPr>
          <w:p>
            <w:pPr>
              <w:jc w:val="right"/>
              <w:ind w:right="80"/>
              <w:spacing w:after="0"/>
              <w:rPr>
                <w:sz w:val="20"/>
                <w:szCs w:val="20"/>
                <w:color w:val="auto"/>
              </w:rPr>
            </w:pPr>
            <w:r>
              <w:rPr>
                <w:rFonts w:ascii="Arial" w:cs="Arial" w:eastAsia="Arial" w:hAnsi="Arial"/>
                <w:sz w:val="18"/>
                <w:szCs w:val="18"/>
                <w:color w:val="auto"/>
              </w:rPr>
              <w:t>3,575,000</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46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2,200,000</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Piper Sandler &amp; Co.</w:t>
            </w:r>
          </w:p>
        </w:tc>
        <w:tc>
          <w:tcPr>
            <w:tcW w:w="358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1,375,000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5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common shares subject to their receipt and acceptance of the shares from us and subject to prior sale. The offering of the shares by the underwriters is also subject to the underwriters’ right to reject any order in whole or in part. The underwriting agreement provides that the obligations of the several underwriters to pay for and accept delivery of the common shares offered by this prospectus are subject to the approval of certain legal matters by their counsel and to certain other conditions. The underwriters are obligated to take and pay for all of the common shares offered by this prospectus if any such shares are taken. However, the underwriters are not required to take or pay for the shares covered by the underwriters’ option to purchase additional shares described below.</w:t>
      </w:r>
    </w:p>
    <w:p>
      <w:pPr>
        <w:spacing w:after="0" w:line="195"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The underwriters initially propose to offer part of the common shares directly to the public at the offering price listed on the cover page of this prospectus and part to certain dealers at a price that represents a concession not in excess of $0.84 per share under the public offering price. After the initial offering of the common shares, the offering price and other selling terms may from time to time be varied by the representatives.</w:t>
      </w:r>
    </w:p>
    <w:p>
      <w:pPr>
        <w:spacing w:after="0" w:line="16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1,650,000 additional common shares at the public offering price listed on the cover page of this prospectus, less underwriting commissions. To the extent the option is exercised, each underwriter will become obligated, subject to certain conditions, to purchase about the same percentage of the additional common shares as the number listed next to the underwriter’s name in the preceding table bears to the total number of common shares listed next to the names of all underwriters in the preceding table.</w:t>
      </w:r>
    </w:p>
    <w:p>
      <w:pPr>
        <w:spacing w:after="0" w:line="188" w:lineRule="exact"/>
        <w:rPr>
          <w:sz w:val="20"/>
          <w:szCs w:val="20"/>
          <w:color w:val="auto"/>
        </w:rPr>
      </w:pPr>
    </w:p>
    <w:p>
      <w:pPr>
        <w:ind w:right="440" w:firstLine="449"/>
        <w:spacing w:after="0" w:line="342" w:lineRule="auto"/>
        <w:rPr>
          <w:sz w:val="20"/>
          <w:szCs w:val="20"/>
          <w:color w:val="auto"/>
        </w:rPr>
      </w:pPr>
      <w:r>
        <w:rPr>
          <w:rFonts w:ascii="Arial" w:cs="Arial" w:eastAsia="Arial" w:hAnsi="Arial"/>
          <w:sz w:val="16"/>
          <w:szCs w:val="16"/>
          <w:color w:val="auto"/>
        </w:rPr>
        <w:t>The following table shows the per share and total public offering price, underwriting commissions, and proceeds before expenses to us. These amounts are shown assuming both no exercise and full exercise of the underwriters’ option to purchase up to an additional 1,650,000 common shares.</w:t>
      </w:r>
    </w:p>
    <w:p>
      <w:pPr>
        <w:spacing w:after="0" w:line="142" w:lineRule="exact"/>
        <w:rPr>
          <w:sz w:val="20"/>
          <w:szCs w:val="20"/>
          <w:color w:val="auto"/>
        </w:rPr>
      </w:pPr>
    </w:p>
    <w:tbl>
      <w:tblPr>
        <w:tblLayout w:type="fixed"/>
        <w:tblInd w:w="142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Per</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89"/>
              </w:rPr>
              <w:t>Total</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2"/>
              </w:rPr>
              <w:t>No</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ind w:right="298"/>
              <w:spacing w:after="0" w:line="119" w:lineRule="exact"/>
              <w:rPr>
                <w:sz w:val="20"/>
                <w:szCs w:val="20"/>
                <w:color w:val="auto"/>
              </w:rPr>
            </w:pPr>
            <w:r>
              <w:rPr>
                <w:rFonts w:ascii="Arial" w:cs="Arial" w:eastAsia="Arial" w:hAnsi="Arial"/>
                <w:sz w:val="13"/>
                <w:szCs w:val="13"/>
                <w:b w:val="1"/>
                <w:bCs w:val="1"/>
                <w:color w:val="auto"/>
              </w:rPr>
              <w:t>Full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20.00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220,000,000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253,000,000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Underwriting commissions: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15,400,000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17,710,000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18.60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204,600,000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235,290,000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firstLine="449"/>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commissions, are approximately $4.0 million. We have agreed to reimburse the underwriters for expense relating to clearance of this offering with the Financial Industry Regulatory Authority up to $35,000.</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459" w:right="3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common shares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have been approved for listing on the Nasdaq Global Select Market under the symbol “RPTX.”</w:t>
      </w:r>
    </w:p>
    <w:p>
      <w:pPr>
        <w:spacing w:after="0" w:line="225"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At our request, the underwriters have reserved for sale, at the initial public offering price, up to five percent of the shares offered by this prospectus for sale to some of our directors, officers, employees, business associates and related persons through a directed share program. If these persons purchase reserved shares, this will reduce the number of shares available for sale to the general public. Any reserved shares that are not so purchased will be offered by the underwriters to the general public on the same terms as the other shares offered by this prospectus. In addition, we have requested that the underwriters make issuer directed allocations to certain existing investors.</w:t>
      </w:r>
    </w:p>
    <w:p>
      <w:pPr>
        <w:spacing w:after="0" w:line="176"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all of our directors and officers, and the holders of substantially all of our common shares and securities convertible into or exchangeable for our common shares have entered into lock-up agreements with the underwriters and/or are subject to market standoff agreements or other agreements with us under which they agreed, that without the prior written consent of Morgan Stanley &amp; Co. LLC, Goldman Sachs &amp; Co. LLC and Cowen and Company, LLC on behalf of the underwriters, we and they will not, during the period ending at least 180 days, or the restricted period, after the date of this prospectus:</w:t>
      </w:r>
    </w:p>
    <w:p>
      <w:pPr>
        <w:spacing w:after="0" w:line="63" w:lineRule="exact"/>
        <w:rPr>
          <w:sz w:val="20"/>
          <w:szCs w:val="20"/>
          <w:color w:val="auto"/>
        </w:rPr>
      </w:pPr>
    </w:p>
    <w:p>
      <w:pPr>
        <w:jc w:val="both"/>
        <w:ind w:left="1000" w:right="240" w:hanging="547"/>
        <w:spacing w:after="0" w:line="263"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common shares or any other securities convertible into or exercisable or exchangeable for common shares;</w:t>
      </w:r>
    </w:p>
    <w:p>
      <w:pPr>
        <w:spacing w:after="0" w:line="89"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common shares or any securities convertible into or exercisable or exchangeable for common shares; or</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shares,</w:t>
      </w:r>
    </w:p>
    <w:p>
      <w:pPr>
        <w:spacing w:after="0" w:line="170"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whether any such transaction described above is to be settled by delivery of common shares or such other securities, in cash or otherwise. In addition, we and each such person agrees that, without the prior written consent of Morgan Stanley &amp; Co. LLC, Goldman Sachs &amp; Co. LLC and Cowen and Company, LLC on behalf of the underwriters, we or such other person will not, during the restricted period, make any demand for, or exercise any right with respect to, the registration of any common shares or any security convertible into or exercisable or exchangeable for common shares.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restrictions described in the immediately preceding paragraph do not apply to certain transfers, dispositions or transactions, including:</w:t>
      </w:r>
    </w:p>
    <w:p>
      <w:pPr>
        <w:spacing w:after="0" w:line="142" w:lineRule="exact"/>
        <w:rPr>
          <w:sz w:val="20"/>
          <w:szCs w:val="20"/>
          <w:color w:val="auto"/>
        </w:rPr>
      </w:pPr>
    </w:p>
    <w:p>
      <w:pPr>
        <w:ind w:left="1220" w:right="40" w:hanging="659"/>
        <w:spacing w:after="0" w:line="259" w:lineRule="auto"/>
        <w:tabs>
          <w:tab w:leader="none" w:pos="12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in this offering or in open market transactions after the completion of this offering, provided that no filing under Section 16(a) of the Exchange Act shall be required or shall be voluntarily made during the restricted period in connection with subsequent sales of common shares or other securities acquired in this offering or in such open market transactions;</w:t>
      </w:r>
    </w:p>
    <w:p>
      <w:pPr>
        <w:spacing w:after="0" w:line="92" w:lineRule="exact"/>
        <w:rPr>
          <w:rFonts w:ascii="Arial" w:cs="Arial" w:eastAsia="Arial" w:hAnsi="Arial"/>
          <w:sz w:val="18"/>
          <w:szCs w:val="18"/>
          <w:color w:val="auto"/>
        </w:rPr>
      </w:pPr>
    </w:p>
    <w:p>
      <w:pPr>
        <w:ind w:left="1220" w:right="240" w:hanging="659"/>
        <w:spacing w:after="0" w:line="296" w:lineRule="auto"/>
        <w:tabs>
          <w:tab w:leader="none" w:pos="12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transfers or distributions of common shares or any security convertible into or exercisable or exchangeable for common shares (a) as a bona fide gift or charitable contribution, (b) by will or intestacy or to any member of the holder’s immediate family or to a trust for the direct or indirect benefit of the holder and/or any member of the holder’s immediate family, (c) to any corporation, partnership limited liability company or other business entity, all of the beneficial ownership interests of which, in each such case, are held by the holder or any member of the holder’s immediate family, (d) if the holder is a corporation, to limited partners, members, shareholders or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20"/>
          </w:cols>
          <w:pgMar w:left="320" w:top="459" w:right="3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40" w:right="80"/>
        <w:spacing w:after="0" w:line="255" w:lineRule="auto"/>
        <w:rPr>
          <w:sz w:val="20"/>
          <w:szCs w:val="20"/>
          <w:color w:val="auto"/>
        </w:rPr>
      </w:pPr>
      <w:r>
        <w:rPr>
          <w:rFonts w:ascii="Arial" w:cs="Arial" w:eastAsia="Arial" w:hAnsi="Arial"/>
          <w:sz w:val="18"/>
          <w:szCs w:val="18"/>
          <w:color w:val="auto"/>
        </w:rPr>
        <w:t>holders of similar equity interests in the holder or (e) if the holder is a corporation, to another corporation, partnership, limited liability company, trust or other business entity that is an affiliate of the holder, or to any investment fund or other entity controlled or managed by the holder or affiliated with the holder, provided that (A) each transferee or distributee shall sign and deliver a lock-up agreement substantially in the form of this agreement and (B) no filing under Section 16(a) of the Exchange Act, reporting a reduction in beneficial ownership of common shares, shall be required or shall be voluntarily made during the restricted period, and provided further that any such transfer shall not involve a disposition for value;</w:t>
      </w:r>
    </w:p>
    <w:p>
      <w:pPr>
        <w:spacing w:after="0" w:line="98" w:lineRule="exact"/>
        <w:rPr>
          <w:sz w:val="20"/>
          <w:szCs w:val="20"/>
          <w:color w:val="auto"/>
        </w:rPr>
      </w:pPr>
    </w:p>
    <w:p>
      <w:pPr>
        <w:ind w:left="1220" w:right="40" w:hanging="659"/>
        <w:spacing w:after="0" w:line="275" w:lineRule="auto"/>
        <w:tabs>
          <w:tab w:leader="none" w:pos="1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transfers of common shares or any security convertible into or exercisable or exchangeable for common shares by operation of law pursuant to a qualified domestic order or other court order or in connection with a divorce settlement; provided that (a) any filing under Section 16(a) of the Exchange Act made during the restricted period shall clearly indicate in the footnotes thereto that (A) the filing relates to the circumstances described in this paragraph and (B) no securities were sold by the holder, and (b) the holder does not otherwise voluntarily effect any other public filing or report regarding such transfers during the restricted period;</w:t>
      </w:r>
    </w:p>
    <w:p>
      <w:pPr>
        <w:spacing w:after="0" w:line="81" w:lineRule="exact"/>
        <w:rPr>
          <w:rFonts w:ascii="Arial" w:cs="Arial" w:eastAsia="Arial" w:hAnsi="Arial"/>
          <w:sz w:val="17"/>
          <w:szCs w:val="17"/>
          <w:color w:val="auto"/>
        </w:rPr>
      </w:pPr>
    </w:p>
    <w:p>
      <w:pPr>
        <w:ind w:left="1220" w:hanging="659"/>
        <w:spacing w:after="0" w:line="269" w:lineRule="auto"/>
        <w:tabs>
          <w:tab w:leader="none" w:pos="1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the exercise of options or other similar awards or the vesting or settlement of awards granted pursuant to the company’s equity incentive plans as described in this prospectus (including the delivery and receipt of common shares, other awards or any securities convertible into or exercisable or exchangeable for common shares in connection with such exercise, vesting or settlement), or (b) the transfer or disposition of common shares or any securities convertible into common shares by the holder to the company (or the purchase and cancellation of same by the company) upon a vesting or settlement event of the company’s securities or upon the exercise of options to purchase the company’s securities on a “cashless” or “net exercise” basis to the extent permitted by the instruments representing such options pursuant to the company’s equity incentive plans as described in this prospectus, provided that (A) the common shares received upon exercise or settlement of the option are subject to the terms of this agreement, (B) no public disclosure or filing under Section 16(a) of the Exchange Act shall be voluntarily made during the restricted period and (C) to the extent a filing under Section 16(a) of the Exchange Act is required during the restricted period as a result of transfers in this paragraph, it shall clearly indicate that the filing relates to the circumstances described in this paragraph;</w:t>
      </w:r>
    </w:p>
    <w:p>
      <w:pPr>
        <w:spacing w:after="0" w:line="87" w:lineRule="exact"/>
        <w:rPr>
          <w:rFonts w:ascii="Arial" w:cs="Arial" w:eastAsia="Arial" w:hAnsi="Arial"/>
          <w:sz w:val="17"/>
          <w:szCs w:val="17"/>
          <w:color w:val="auto"/>
        </w:rPr>
      </w:pPr>
    </w:p>
    <w:p>
      <w:pPr>
        <w:ind w:left="1220" w:right="140" w:hanging="659"/>
        <w:spacing w:after="0" w:line="289" w:lineRule="auto"/>
        <w:tabs>
          <w:tab w:leader="none" w:pos="12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transfers to the company to the extent required in order to satisfy the exercise price and/or any income, employment tax withholding and remittance obligations upon the vesting or exercise of an option or other award granted under an equity incentive plan or share purchase plan of the company described in this prospectus or the conversion or exercise of a warrant of the company described in this prospectus; provided that (a) any filing under Section 16(a) of the Exchange Act made during the restricted period shall clearly indicate in the footnotes thereto that (A) the filing relates to the circumstances described in this paragraph and (B) no securities were sold by the holder, and (b) the holder does not otherwise voluntarily effect any other public filing or report regarding such transfers during the restricted period; (vi) transfers to the company in connection with the repurchase of common shares in connection with the termination of the holder’s employment with the company or other service relationship with the company, provided that no public disclosure or filing under Section 16(a) of the Exchange Act shall be required or shall be voluntarily made during the restricted period;</w:t>
      </w:r>
    </w:p>
    <w:p>
      <w:pPr>
        <w:spacing w:after="0" w:line="71" w:lineRule="exact"/>
        <w:rPr>
          <w:rFonts w:ascii="Arial" w:cs="Arial" w:eastAsia="Arial" w:hAnsi="Arial"/>
          <w:sz w:val="16"/>
          <w:szCs w:val="16"/>
          <w:color w:val="auto"/>
        </w:rPr>
      </w:pPr>
    </w:p>
    <w:p>
      <w:pPr>
        <w:ind w:left="1220" w:right="20" w:hanging="659"/>
        <w:spacing w:after="0" w:line="259" w:lineRule="auto"/>
        <w:tabs>
          <w:tab w:leader="none" w:pos="1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 that is required to effect the recapitalization of the company as described in this prospectus and completed prior to the completion of this offering, including the conversion of the outstanding preferred shares of the company, provided that such common shares remain subject to the terms of this agreement;</w:t>
      </w:r>
    </w:p>
    <w:p>
      <w:pPr>
        <w:spacing w:after="0" w:line="92" w:lineRule="exact"/>
        <w:rPr>
          <w:rFonts w:ascii="Arial" w:cs="Arial" w:eastAsia="Arial" w:hAnsi="Arial"/>
          <w:sz w:val="18"/>
          <w:szCs w:val="18"/>
          <w:color w:val="auto"/>
        </w:rPr>
      </w:pPr>
    </w:p>
    <w:p>
      <w:pPr>
        <w:ind w:left="1220" w:right="280" w:hanging="659"/>
        <w:spacing w:after="0" w:line="277" w:lineRule="auto"/>
        <w:tabs>
          <w:tab w:leader="none" w:pos="1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establishment or modification of a trading plan pursuant to Rule 10b5-1 under the Exchange Act for the transfer of common shares, provided that (a) such plan does not provide for the transfer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459" w:right="3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40"/>
        <w:spacing w:after="0" w:line="259" w:lineRule="auto"/>
        <w:rPr>
          <w:sz w:val="20"/>
          <w:szCs w:val="20"/>
          <w:color w:val="auto"/>
        </w:rPr>
      </w:pPr>
      <w:r>
        <w:rPr>
          <w:rFonts w:ascii="Arial" w:cs="Arial" w:eastAsia="Arial" w:hAnsi="Arial"/>
          <w:sz w:val="18"/>
          <w:szCs w:val="18"/>
          <w:color w:val="auto"/>
        </w:rPr>
        <w:t>common shares during the restricted period and (b) to the extent a public announcement or filing under the Exchange Act, if any, is required of or voluntarily made by or on behalf of the holder or the company regarding the establishment of such plan, such announcement or filing shall include a statement to the effect that no transfer of common shares may be made under such plan during the restricted period; or</w:t>
      </w:r>
    </w:p>
    <w:p>
      <w:pPr>
        <w:spacing w:after="0" w:line="92" w:lineRule="exact"/>
        <w:rPr>
          <w:sz w:val="20"/>
          <w:szCs w:val="20"/>
          <w:color w:val="auto"/>
        </w:rPr>
      </w:pPr>
    </w:p>
    <w:p>
      <w:pPr>
        <w:ind w:left="1220" w:right="40" w:hanging="659"/>
        <w:spacing w:after="0" w:line="291" w:lineRule="auto"/>
        <w:tabs>
          <w:tab w:leader="none" w:pos="12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transfers pursuant to a bona fide third-party tender offer for all outstanding common shares or securities convertible into or exercisable or exchangeable for common shares, merger, amalgamation, consolidation or other similar transaction approved by the company’s board of directors and made to all holders of the company’s securities involving a change of control of the company (including, without limitation, the entering into any lock-up, voting or similar agreement pursuant to which the holder may agree to transfer, sell, tender or otherwise dispose of common shares or other such securities in connection with such transaction, or vote any common shares or other such securities in favor of any such transaction); provided that in the event that such tender offer, merger, amalgamation, consolidation or other such transaction is not completed, such securities held by the holder shall remain subject to the provisions of this agreement.</w:t>
      </w:r>
    </w:p>
    <w:p>
      <w:pPr>
        <w:spacing w:after="0" w:line="166"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In addition, we and each such person agrees that, without the prior written consent of Morgan Stanley &amp; Co. LLC, Goldman Sachs &amp; Co. LLC and Cowen and Company, LLC on behalf of the underwriters, we or such other person will not, during the restricted period, make any demand for, or exercise any right with respect to, the registration of any common shares or any security convertible into or exercisable or exchangeable for common shares.</w:t>
      </w:r>
    </w:p>
    <w:p>
      <w:pPr>
        <w:spacing w:after="0" w:line="149"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Morgan Stanley &amp; Co. LLC, Goldman Sachs &amp; Co. LLC and Cowen and Company, LLC, in their joint discretion, may release the common shares and other securities subject to the lock-up agreements described above in whole or in part at any time.</w:t>
      </w:r>
    </w:p>
    <w:p>
      <w:pPr>
        <w:spacing w:after="0" w:line="170"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In order to facilitate the offering of the common shares, the underwriters may engage in transactions that stabilize, maintain or otherwise affect the price of the common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this offering. As an additional means of facilitating this offering, the underwriters may bid for, and purchase, common shares in the open market to stabilize the price of the common shares. These activities may raise or maintain the market price of the common shares above independent market levels or prevent or retard a decline in the market price of the common shares. The underwriters are not required to engage in these activities and may end any of these activities at any time.</w:t>
      </w:r>
    </w:p>
    <w:p>
      <w:pPr>
        <w:spacing w:after="0" w:line="186"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commission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459"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common shares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8"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Certain affiliates of Cowen and Company, LLC purchased 1,903,408 of our Series B convertible preferred shares in our September 2019 Series B preferred share financing. Those Series B preferred shares will convert into 1,903,408 common shares immediately prior to and in connection with the completion of this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shares.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Regulation, or each, a Relevant Member State, an offer to the public of any of our common shares may not be made in that Relevant Member State, except that an offer to the public in that Relevant Member State of any of our common shares may be made at any time under the following exemptions under the Prospectus Regulation, if they have been implemented in that Relevant Member State:</w:t>
      </w:r>
    </w:p>
    <w:p>
      <w:pPr>
        <w:spacing w:after="0" w:line="92" w:lineRule="exact"/>
        <w:rPr>
          <w:sz w:val="20"/>
          <w:szCs w:val="20"/>
          <w:color w:val="auto"/>
        </w:rPr>
      </w:pPr>
    </w:p>
    <w:p>
      <w:pPr>
        <w:ind w:left="1120" w:hanging="667"/>
        <w:spacing w:after="0"/>
        <w:tabs>
          <w:tab w:leader="none" w:pos="11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120" w:right="160" w:hanging="667"/>
        <w:spacing w:after="0" w:line="277" w:lineRule="auto"/>
        <w:tabs>
          <w:tab w:leader="none" w:pos="11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provided that no such offer of our common shares shall result in a requirement for the publication by us or any underwriter of a prospectus pursuant to Article 3 of the Prospectus Regulation.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00"/>
          </w:cols>
          <w:pgMar w:left="320" w:top="459" w:right="3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of our common shares in any Relevant Member State means the communication in any form and by any means of sufficient information on the terms of the offer and any of our common shares to be offered so as to enable an investor to decide to purchase any of our common shares, and the expression “Prospectus Regulation” means Regulation (EU) 2017/1129.</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hanging="422"/>
        <w:spacing w:after="0" w:line="259"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our common shares in circumstances in which Section 21(1) of the FSMA does not apply to us; and</w:t>
      </w:r>
    </w:p>
    <w:p>
      <w:pPr>
        <w:spacing w:after="0" w:line="92" w:lineRule="exact"/>
        <w:rPr>
          <w:rFonts w:ascii="Arial" w:cs="Arial" w:eastAsia="Arial" w:hAnsi="Arial"/>
          <w:sz w:val="18"/>
          <w:szCs w:val="18"/>
          <w:color w:val="auto"/>
        </w:rPr>
      </w:pPr>
    </w:p>
    <w:p>
      <w:pPr>
        <w:ind w:left="1000" w:right="520" w:hanging="432"/>
        <w:spacing w:after="0" w:line="277"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of our common shares in, from or otherwise involving the United Kingdom.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sale or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which are or are intended to be disposed of only to persons outside Hong Kong or only to “professional investors” as defined in the Securities and Futures Ordinance and any rules made under that Ordinance.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our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Accordingly, our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our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our shares. Our shares may only be transferred to QIIs.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our shares constitutes either a “small number private placement” or a “small number private secondary distribution” (each as is described in Paragraph 4, Article 23-13 of the FIEL).</w:t>
      </w:r>
    </w:p>
    <w:p>
      <w:pPr>
        <w:spacing w:after="0" w:line="184"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Disclosure regarding any such solicitation, as is otherwise prescribed in Paragraph 1, Article 4 of the FIEL, has not been made in relation to our shares. Our shares may only be transferred en bloc without subdivision to a single investor.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8"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and entities with shareholders’ equity in excess of NIS 50 million, each as defined in the Addendum (as it may be amended from time to time, collectively referred to as institutional investors). Institutional investors may be required to submit written confirmation that they fall within the scope of the Addendum. In addition, we may distribute and direct this prospectus in Israel, at our sole discretion, to certain other exempt investors or to investors who do not qualify as institutional or exempt investors, provided that the number of such non-qualified investors in Israel shall be no greater than 35 in any 12-month period.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60"/>
          </w:cols>
          <w:pgMar w:left="32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Certain legal matters in connection with this offering relating to U.S. law will be passed upon for us by Cooley LLP, Boston, Massachusetts. The validity of the issuance of our common shares offered in this prospectus and certain other matters of Canadian law will be passed upon for us by Stikeman Elliott LLP, Montréal, Québec, Canada. Certain legal matters in connection with this offering will be passed upon for the underwriters by Goodwin Procter LLP, Boston, Massachusetts, with respect to U.S. law.</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consolidated financial statements of Repare Therapeutics Inc. at December 31, 2018 and 2019 and for each of the three years in the period ended December 31, 2019, appearing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are incorporated under the laws of Canada and, immediately prior to the completion of the offering, will be continued under the laws of Québec. Substantially all of our assets are located outside the United States. In addition, several of our directors and officers are nationals and/or residents of countries other than the United States, and all or a substantial portion of such persons’ assets may be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 In addition, investors should not assume that the courts of Canada (i) would enforce judgments of U.S. courts obtained in actions against us, our officers or directors, or other said persons, predicated upon the civil liability provisions of the U.S. federal securities laws or other laws of the United States or (ii) would enforce, in original actions, liabilities against us or such directors, officers or experts predicated upon the United States federal securities laws or any securities or other laws of any state or jurisdiction of the United States.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there is doubt as to the applicability of the civil liability provisions of U.S. federal securities law to original actions instituted in Canada.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may be difficult for an investor, or any other person or entity, to assert U.S. securities laws claims in original actions instituted in Canada.</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common shares being offered by this prospectus. This prospectus, which constitutes part of the registration statement, does not contain all of the information in the registration statement and its exhibits. For further information with respect to us and the common shares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on the website of the SEC referred to</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00"/>
          </w:cols>
          <w:pgMar w:left="320" w:top="459" w:right="3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above. We also maintain a website at </w:t>
      </w:r>
      <w:r>
        <w:rPr>
          <w:rFonts w:ascii="Arial" w:cs="Arial" w:eastAsia="Arial" w:hAnsi="Arial"/>
          <w:sz w:val="17"/>
          <w:szCs w:val="17"/>
          <w:i w:val="1"/>
          <w:iCs w:val="1"/>
          <w:color w:val="auto"/>
        </w:rPr>
        <w:t>www.reparerx.com</w:t>
      </w:r>
      <w:r>
        <w:rPr>
          <w:rFonts w:ascii="Arial" w:cs="Arial" w:eastAsia="Arial" w:hAnsi="Arial"/>
          <w:sz w:val="17"/>
          <w:szCs w:val="17"/>
          <w:color w:val="auto"/>
        </w:rPr>
        <w:t>,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80"/>
          </w:cols>
          <w:pgMar w:left="320" w:top="459" w:right="3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780" w:type="dxa"/>
            <w:vAlign w:val="bottom"/>
            <w:gridSpan w:val="6"/>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Consolidated Balance Sheets as of December 31,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Consolidated Statements of Operations and Comprehensive Loss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w w:val="92"/>
              </w:rPr>
            </w:pPr>
            <w:hyperlink w:anchor="page228">
              <w:r>
                <w:rPr>
                  <w:rFonts w:ascii="Arial" w:cs="Arial" w:eastAsia="Arial" w:hAnsi="Arial"/>
                  <w:sz w:val="18"/>
                  <w:szCs w:val="18"/>
                  <w:u w:val="single" w:color="auto"/>
                  <w:color w:val="0000EE"/>
                  <w:w w:val="92"/>
                </w:rPr>
                <w:t>Consolidated Statements of Convertible Preferred Shares and Shareholders’ Deficit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Consolidated Statements of Cash Flows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10780" w:type="dxa"/>
            <w:vAlign w:val="bottom"/>
            <w:gridSpan w:val="6"/>
          </w:tcPr>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Notes to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64"/>
        </w:trPr>
        <w:tc>
          <w:tcPr>
            <w:tcW w:w="31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1"/>
              </w:rPr>
              <w:t>Unaudited Interim Financial Statements</w:t>
            </w:r>
          </w:p>
        </w:tc>
        <w:tc>
          <w:tcPr>
            <w:tcW w:w="7660" w:type="dxa"/>
            <w:vAlign w:val="bottom"/>
            <w:gridSpan w:val="2"/>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3120" w:type="dxa"/>
            <w:vAlign w:val="bottom"/>
            <w:tcBorders>
              <w:bottom w:val="single" w:sz="8" w:color="auto"/>
            </w:tcBorders>
            <w:gridSpan w:val="4"/>
            <w:vMerge w:val="continue"/>
          </w:tcPr>
          <w:p>
            <w:pPr>
              <w:spacing w:after="0"/>
              <w:rPr>
                <w:sz w:val="13"/>
                <w:szCs w:val="13"/>
                <w:color w:val="auto"/>
              </w:rPr>
            </w:pPr>
          </w:p>
        </w:tc>
        <w:tc>
          <w:tcPr>
            <w:tcW w:w="76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Condensed Consolidated Balance Sheets as of December 31, 2019 and March 31,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w w:val="97"/>
              </w:rPr>
            </w:pPr>
            <w:hyperlink w:anchor="page261">
              <w:r>
                <w:rPr>
                  <w:rFonts w:ascii="Arial" w:cs="Arial" w:eastAsia="Arial" w:hAnsi="Arial"/>
                  <w:sz w:val="18"/>
                  <w:szCs w:val="18"/>
                  <w:u w:val="single" w:color="auto"/>
                  <w:color w:val="0000EE"/>
                  <w:w w:val="97"/>
                </w:rPr>
                <w:t>Condensed Consolidated Statements of Operations and Comprehensive Loss for the three-month periods ended March 31, 2019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190"/>
        </w:trPr>
        <w:tc>
          <w:tcPr>
            <w:tcW w:w="10780" w:type="dxa"/>
            <w:vAlign w:val="bottom"/>
            <w:gridSpan w:val="6"/>
          </w:tcPr>
          <w:p>
            <w:pPr>
              <w:spacing w:after="0" w:line="190" w:lineRule="exact"/>
              <w:rPr>
                <w:rFonts w:ascii="Arial" w:cs="Arial" w:eastAsia="Arial" w:hAnsi="Arial"/>
                <w:sz w:val="18"/>
                <w:szCs w:val="18"/>
                <w:color w:val="0000EE"/>
                <w:w w:val="91"/>
              </w:rPr>
            </w:pPr>
            <w:hyperlink w:anchor="page262">
              <w:r>
                <w:rPr>
                  <w:rFonts w:ascii="Arial" w:cs="Arial" w:eastAsia="Arial" w:hAnsi="Arial"/>
                  <w:sz w:val="18"/>
                  <w:szCs w:val="18"/>
                  <w:color w:val="0000EE"/>
                  <w:w w:val="91"/>
                </w:rPr>
                <w:t>Condensed Consolidated Statements of Convertible Preferred Shares and Shareholders’ Deficit for the three-month periods ended March 31, 2019</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262">
              <w:r>
                <w:rPr>
                  <w:rFonts w:ascii="Arial" w:cs="Arial" w:eastAsia="Arial" w:hAnsi="Arial"/>
                  <w:sz w:val="18"/>
                  <w:szCs w:val="18"/>
                  <w:color w:val="0000EE"/>
                  <w:w w:val="87"/>
                </w:rPr>
                <w:t>and 2020</w:t>
              </w:r>
            </w:hyperlink>
          </w:p>
        </w:tc>
        <w:tc>
          <w:tcPr>
            <w:tcW w:w="9660" w:type="dxa"/>
            <w:vAlign w:val="bottom"/>
            <w:tcBorders>
              <w:top w:val="single" w:sz="8" w:color="0000EE"/>
            </w:tcBorders>
            <w:gridSpan w:val="3"/>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63">
              <w:r>
                <w:rPr>
                  <w:rFonts w:ascii="Arial" w:cs="Arial" w:eastAsia="Arial" w:hAnsi="Arial"/>
                  <w:sz w:val="18"/>
                  <w:szCs w:val="18"/>
                  <w:u w:val="single" w:color="auto"/>
                  <w:color w:val="0000EE"/>
                </w:rPr>
                <w:t>Condensed Consolidated Statements of Cash Flows for the three-month periods ended March 31, 2019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230"/>
        </w:trPr>
        <w:tc>
          <w:tcPr>
            <w:tcW w:w="10780" w:type="dxa"/>
            <w:vAlign w:val="bottom"/>
            <w:gridSpan w:val="6"/>
          </w:tcPr>
          <w:p>
            <w:pPr>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Notes to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60" w:type="dxa"/>
            <w:vAlign w:val="bottom"/>
            <w:gridSpan w:val="2"/>
          </w:tcPr>
          <w:p>
            <w:pPr>
              <w:ind w:left="23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Repare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Repare Therapeutics Inc. (the “Company”) as of December 31, 2018 and 2019, the related consolidated statements of operations and comprehensive loss, convertible preferred shares and shareholders’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2018 and 2019, and the results of its operations and its cash flows for each of the three years in the period ended December 31, 2019 in conformity with U.S. generally accepted accounting principles.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r>
        <w:rPr>
          <w:rFonts w:ascii="Arial" w:cs="Arial" w:eastAsia="Arial" w:hAnsi="Arial"/>
          <w:sz w:val="15"/>
          <w:szCs w:val="15"/>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Montréal,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 2020 except for Note 19(b)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June 15, 2020</w:t>
      </w:r>
    </w:p>
    <w:p>
      <w:pPr>
        <w:spacing w:after="0" w:line="200" w:lineRule="exact"/>
        <w:rPr>
          <w:sz w:val="20"/>
          <w:szCs w:val="20"/>
          <w:color w:val="auto"/>
        </w:rPr>
      </w:pPr>
    </w:p>
    <w:p>
      <w:pPr>
        <w:spacing w:after="0" w:line="227" w:lineRule="exact"/>
        <w:rPr>
          <w:sz w:val="20"/>
          <w:szCs w:val="20"/>
          <w:color w:val="auto"/>
        </w:rPr>
      </w:pPr>
    </w:p>
    <w:p>
      <w:pPr>
        <w:ind w:left="120" w:hanging="112"/>
        <w:spacing w:after="0"/>
        <w:tabs>
          <w:tab w:leader="none" w:pos="120" w:val="left"/>
        </w:tabs>
        <w:numPr>
          <w:ilvl w:val="0"/>
          <w:numId w:val="133"/>
        </w:numPr>
        <w:rPr>
          <w:rFonts w:ascii="Arial" w:cs="Arial" w:eastAsia="Arial" w:hAnsi="Arial"/>
          <w:sz w:val="15"/>
          <w:szCs w:val="15"/>
          <w:color w:val="auto"/>
        </w:rPr>
      </w:pPr>
      <w:r>
        <w:rPr>
          <w:rFonts w:ascii="Arial" w:cs="Arial" w:eastAsia="Arial" w:hAnsi="Arial"/>
          <w:sz w:val="18"/>
          <w:szCs w:val="18"/>
          <w:color w:val="auto"/>
        </w:rPr>
        <w:t>CPA auditor, CA, public accountancy permit no. A113209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459" w:right="3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94,797</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Research and development tax credits receivable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98,572</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102,695</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SHARES AND SHAREHOLDERS’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Tranche obligation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12,827</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A convertible Preferred Shares, no par value per share; unlimited shares authorized as of December 31, 2018 and 2019;</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6,813,340 shares and 11,090,135 shares issued and outstanding as of December 31, 2018 and 2019, respectively; liquidation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redemption value of $31,750 and $52,750 as of December 31, 2018 and 2019, respectively</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53,749</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4"/>
              </w:rPr>
              <w:t>Series B convertible Preferred Shares, no par value per share; 0 shares and unlimited shares authorized as of December 31,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80"/>
              <w:spacing w:after="0"/>
              <w:rPr>
                <w:sz w:val="20"/>
                <w:szCs w:val="20"/>
                <w:color w:val="auto"/>
              </w:rPr>
            </w:pPr>
            <w:r>
              <w:rPr>
                <w:rFonts w:ascii="Arial" w:cs="Arial" w:eastAsia="Arial" w:hAnsi="Arial"/>
                <w:sz w:val="18"/>
                <w:szCs w:val="18"/>
                <w:color w:val="auto"/>
                <w:w w:val="94"/>
              </w:rPr>
              <w:t>2018 and 2019, respectively; 0 shares and 10,468,258 shares issued and outstanding as of December 31, 2018 and 2019,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180"/>
              <w:spacing w:after="0"/>
              <w:rPr>
                <w:sz w:val="20"/>
                <w:szCs w:val="20"/>
                <w:color w:val="auto"/>
              </w:rPr>
            </w:pPr>
            <w:r>
              <w:rPr>
                <w:rFonts w:ascii="Arial" w:cs="Arial" w:eastAsia="Arial" w:hAnsi="Arial"/>
                <w:sz w:val="18"/>
                <w:szCs w:val="18"/>
                <w:color w:val="auto"/>
              </w:rPr>
              <w:t>respectively; liquidation and redemption value of $0 and $82,496 as of December 31, 2018 and 2019, respectively</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CONVERTIBLE PREFERRED SHARES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135,997</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shares, no par value per share; unlimited shares authorized as of December 31, 2018 and 2019; 1,528,374 shares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outstanding as of December 31, 2018, and 2019</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(49,941)</w:t>
            </w:r>
          </w:p>
        </w:tc>
        <w:tc>
          <w:tcPr>
            <w:tcW w:w="0" w:type="dxa"/>
            <w:vAlign w:val="bottom"/>
          </w:tcPr>
          <w:p>
            <w:pPr>
              <w:spacing w:after="0"/>
              <w:rPr>
                <w:sz w:val="1"/>
                <w:szCs w:val="1"/>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(22,384)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(46,129)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CONVERTIBLE PREFERRED SHARES AND SHAREHOLDERS’ 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102,695</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4,401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9,906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2,914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(12,820)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(26,377)</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(loss) gain on foreign exchange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(1,130)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(14,283</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(14,283)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1,522,544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7"/>
              </w:rPr>
              <w:t>1,528,374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1,528,374</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w w:val="93"/>
              </w:rPr>
              <w:t>Pro forma net loss per share attributable to common shareholders—basic and diluted (unaudited)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outstanding—basic and diluted (unaudited)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15,790,631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Shares and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20" w:type="dxa"/>
            <w:vAlign w:val="bottom"/>
          </w:tcPr>
          <w:p>
            <w:pPr>
              <w:spacing w:after="0"/>
              <w:rPr>
                <w:sz w:val="14"/>
                <w:szCs w:val="14"/>
                <w:color w:val="auto"/>
              </w:rPr>
            </w:pPr>
          </w:p>
        </w:tc>
        <w:tc>
          <w:tcPr>
            <w:tcW w:w="2440" w:type="dxa"/>
            <w:vAlign w:val="bottom"/>
            <w:tcBorders>
              <w:bottom w:val="single" w:sz="8" w:color="auto"/>
            </w:tcBorders>
            <w:gridSpan w:val="8"/>
          </w:tcPr>
          <w:p>
            <w:pPr>
              <w:ind w:left="700"/>
              <w:spacing w:after="0"/>
              <w:rPr>
                <w:sz w:val="20"/>
                <w:szCs w:val="20"/>
                <w:color w:val="auto"/>
              </w:rPr>
            </w:pPr>
            <w:r>
              <w:rPr>
                <w:rFonts w:ascii="Arial" w:cs="Arial" w:eastAsia="Arial" w:hAnsi="Arial"/>
                <w:sz w:val="13"/>
                <w:szCs w:val="13"/>
                <w:b w:val="1"/>
                <w:bCs w:val="1"/>
                <w:color w:val="auto"/>
                <w:w w:val="95"/>
              </w:rPr>
              <w:t>Convertible Preferred Shares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w w:val="87"/>
              </w:rPr>
              <w:t>Common Shares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1000" w:type="dxa"/>
            <w:vAlign w:val="bottom"/>
            <w:tcBorders>
              <w:bottom w:val="single" w:sz="8" w:color="auto"/>
            </w:tcBorders>
            <w:gridSpan w:val="4"/>
          </w:tcPr>
          <w:p>
            <w:pPr>
              <w:jc w:val="right"/>
              <w:spacing w:after="0" w:line="129" w:lineRule="exact"/>
              <w:rPr>
                <w:sz w:val="20"/>
                <w:szCs w:val="20"/>
                <w:color w:val="auto"/>
              </w:rPr>
            </w:pPr>
            <w:r>
              <w:rPr>
                <w:rFonts w:ascii="Arial" w:cs="Arial" w:eastAsia="Arial" w:hAnsi="Arial"/>
                <w:sz w:val="13"/>
                <w:szCs w:val="13"/>
                <w:b w:val="1"/>
                <w:bCs w:val="1"/>
                <w:color w:val="auto"/>
              </w:rPr>
              <w:t>Series A</w:t>
            </w: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auto"/>
            </w:tcBorders>
            <w:gridSpan w:val="3"/>
          </w:tcPr>
          <w:p>
            <w:pPr>
              <w:ind w:left="460"/>
              <w:spacing w:after="0" w:line="129" w:lineRule="exact"/>
              <w:rPr>
                <w:sz w:val="20"/>
                <w:szCs w:val="20"/>
                <w:color w:val="auto"/>
              </w:rPr>
            </w:pPr>
            <w:r>
              <w:rPr>
                <w:rFonts w:ascii="Arial" w:cs="Arial" w:eastAsia="Arial" w:hAnsi="Arial"/>
                <w:sz w:val="13"/>
                <w:szCs w:val="13"/>
                <w:b w:val="1"/>
                <w:bCs w:val="1"/>
                <w:color w:val="auto"/>
                <w:w w:val="88"/>
              </w:rPr>
              <w:t>Series B</w:t>
            </w:r>
          </w:p>
        </w:tc>
        <w:tc>
          <w:tcPr>
            <w:tcW w:w="44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bottom w:val="single" w:sz="8" w:color="auto"/>
            </w:tcBorders>
            <w:gridSpan w:val="4"/>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840" w:type="dxa"/>
            <w:vAlign w:val="bottom"/>
            <w:gridSpan w:val="3"/>
          </w:tcPr>
          <w:p>
            <w:pPr>
              <w:jc w:val="right"/>
              <w:ind w:right="140"/>
              <w:spacing w:after="0" w:line="129" w:lineRule="exact"/>
              <w:rPr>
                <w:sz w:val="20"/>
                <w:szCs w:val="20"/>
                <w:color w:val="auto"/>
              </w:rPr>
            </w:pPr>
            <w:r>
              <w:rPr>
                <w:rFonts w:ascii="Arial" w:cs="Arial" w:eastAsia="Arial" w:hAnsi="Arial"/>
                <w:sz w:val="13"/>
                <w:szCs w:val="13"/>
                <w:b w:val="1"/>
                <w:bCs w:val="1"/>
                <w:color w:val="auto"/>
                <w:w w:val="83"/>
              </w:rPr>
              <w:t>Accumulated</w:t>
            </w:r>
          </w:p>
        </w:tc>
        <w:tc>
          <w:tcPr>
            <w:tcW w:w="6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840" w:type="dxa"/>
            <w:vAlign w:val="bottom"/>
            <w:gridSpan w:val="2"/>
          </w:tcPr>
          <w:p>
            <w:pPr>
              <w:ind w:left="20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1"/>
                <w:szCs w:val="11"/>
                <w:color w:val="auto"/>
              </w:rPr>
            </w:pPr>
          </w:p>
        </w:tc>
        <w:tc>
          <w:tcPr>
            <w:tcW w:w="840" w:type="dxa"/>
            <w:vAlign w:val="bottom"/>
            <w:gridSpan w:val="2"/>
          </w:tcPr>
          <w:p>
            <w:pPr>
              <w:ind w:left="200"/>
              <w:spacing w:after="0" w:line="129" w:lineRule="exact"/>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1"/>
                <w:szCs w:val="11"/>
                <w:color w:val="auto"/>
              </w:rPr>
            </w:pPr>
          </w:p>
        </w:tc>
        <w:tc>
          <w:tcPr>
            <w:tcW w:w="4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w w:val="95"/>
              </w:rPr>
              <w:t>Deficit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January 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1,429,397</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Issuance of Series A convertible Preferred Shares,</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net of issuance costs of $42</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6,813,340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31,873</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shares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98,977</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(7,796)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(7,796)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2017</w:t>
            </w: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1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6,813,340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31,873</w:t>
            </w:r>
          </w:p>
        </w:tc>
        <w:tc>
          <w:tcPr>
            <w:tcW w:w="940" w:type="dxa"/>
            <w:vAlign w:val="bottom"/>
            <w:gridSpan w:val="3"/>
          </w:tcPr>
          <w:p>
            <w:pPr>
              <w:ind w:left="600"/>
              <w:spacing w:after="0"/>
              <w:rPr>
                <w:sz w:val="20"/>
                <w:szCs w:val="20"/>
                <w:color w:val="auto"/>
              </w:rPr>
            </w:pPr>
            <w:r>
              <w:rPr>
                <w:rFonts w:ascii="Arial" w:cs="Arial" w:eastAsia="Arial" w:hAnsi="Arial"/>
                <w:sz w:val="16"/>
                <w:szCs w:val="16"/>
                <w:color w:val="auto"/>
              </w:rPr>
              <w:t>— $</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1,528,374</w:t>
            </w: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(8,442)</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(8,407)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(14,283)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(14,283)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6,813,340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31,873</w:t>
            </w:r>
          </w:p>
        </w:tc>
        <w:tc>
          <w:tcPr>
            <w:tcW w:w="94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1,528,374</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(22,725)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(22,384)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color w:val="auto"/>
              </w:rPr>
              <w:t>Issuance of Series A convertible Preferred Shares, net of</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issuance costs of $5</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4,276,795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21,876</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Series A Tranche 3 termination</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Issuance of Series B convertible Preferred Shares, net of</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issuance costs of $248</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40"/>
              <w:spacing w:after="0"/>
              <w:rPr>
                <w:sz w:val="20"/>
                <w:szCs w:val="20"/>
                <w:color w:val="auto"/>
              </w:rPr>
            </w:pPr>
            <w:r>
              <w:rPr>
                <w:rFonts w:ascii="Arial" w:cs="Arial" w:eastAsia="Arial" w:hAnsi="Arial"/>
                <w:sz w:val="16"/>
                <w:szCs w:val="16"/>
                <w:color w:val="auto"/>
                <w:w w:val="97"/>
              </w:rPr>
              <w:t>10,468,258</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82,248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(27,216)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(27,216)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11,090,135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53,749</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10,468,258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82,248</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1,528,374</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(49,941)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Net loss and comprehensive loss for the year</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(7,796)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(27,216)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Shares tranche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Research and development tax credits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Operating lease liability,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liability,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(6,007)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(12,618)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(18,429)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A Preferred Shares,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28,958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Proceeds from issuance of Series B Preferred Shares,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82,248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30,458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103,243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fluctuations on cash held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23,302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(13,460)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84,076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24,389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Cash and restricted cash at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24,281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10,731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94,797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to Series A Preferred Shares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Right-of-use assets obtained in exchange for operating lease obligation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on September 6, 2016.</w:t>
      </w:r>
    </w:p>
    <w:p>
      <w:pPr>
        <w:spacing w:after="0" w:line="250" w:lineRule="exact"/>
        <w:rPr>
          <w:sz w:val="20"/>
          <w:szCs w:val="20"/>
          <w:color w:val="auto"/>
        </w:rPr>
      </w:pPr>
    </w:p>
    <w:p>
      <w:pPr>
        <w:ind w:right="7640" w:firstLine="8"/>
        <w:spacing w:after="0" w:line="377" w:lineRule="auto"/>
        <w:tabs>
          <w:tab w:leader="none" w:pos="1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consolidated financial statements of the Company include the accounts of the Company and its wholly-owned subsidiary, Repare Therapeutics USA Inc. (“Repare USA”), which was incorporated under the laws of Delaware on June 1, 2017. The financial statements of Repare USA are prepared for the same reporting period as the parent company, using consistent accounting policies. All intra-group transactions, balances, incomes and expenses are eliminated in full upon consolidation.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functional currency for the Company and Repare USA is the U.S. dollar (“USD”). Accordingly, transactions denominated in currencies other than the functional currency are measured and recorded in the functional currency at the exchange rate in effect on the date of the transactions. At each consolidated balance sheet date, monetary assets and liabilities denominated in currencies other than the functional currency are remeasured using the exchange rate in effect at that date. Non-monetary assets and liabilities and revenue and expense items denominated in foreign currencies are translated into the functional currency using the exchange rate prevailing at the dates of the respective transactions. Any gains or losses arising on remeasurement are included in the consolidated statement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manages its operations as a single operating segment for the purposes of assessing performance and making operating decisions. The Company’s singular focus is the research, development and commercialization of precision oncology drugs targeting specific vulnerabilities of tumors in genetically defined patient populations.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accrued research and development expenses, share-based compensation and the measurement of the fair value of the Company’s Series A Preferred Share Tranche Obligation (as defined in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320" w:top="459" w:right="3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Note 3). Estimates are periodically reviewed in light of changes in circumstances, facts and experience. Changes in estimates are recorded in the period in which they become known. Actual results could differ from those estimates.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2018 and 2019, restricted cash consisted of $198 and $208, respectively, used to secure a letter of credit denominated in a foreign currency for the benefit of the landlord in connection with one of the Company’s lease agreements (Note 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The Company maintains deposits in accredited financial institutions which may periodically exceed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Company’s exposure to foreign exchange risk is primarily related to fluctuations between the Canadian dollar and the USD. There are balances in Canadian dollars which are subject to foreign currency fluctuations relating to the impact of translating to USD for financial statement presentation.</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2018 and 2019, the Company had no significant off-balance sheet risk, such as foreign exchange contracts, option contracts or other foreign hedging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Comprehensive loss includes net loss as well as other changes in shareholders’ deficit that result from transactions and economic events other than those with shareholders. For each of the years ended December 31, 2017, 2018 and 2019, comprehensive loss was equal to net loss.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1000" w:hanging="439"/>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1000" w:hanging="439"/>
        <w:spacing w:after="0" w:line="263"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9" w:lineRule="exact"/>
        <w:rPr>
          <w:rFonts w:ascii="Arial" w:cs="Arial" w:eastAsia="Arial" w:hAnsi="Arial"/>
          <w:sz w:val="18"/>
          <w:szCs w:val="18"/>
          <w:color w:val="auto"/>
        </w:rPr>
      </w:pPr>
    </w:p>
    <w:p>
      <w:pPr>
        <w:ind w:left="1000" w:right="80" w:hanging="439"/>
        <w:spacing w:after="0" w:line="277"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60"/>
          </w:cols>
          <w:pgMar w:left="320" w:top="459"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Financial assets and liabilities are classified in their entirety based on the lowest level of input that is significant to the fair value measurement.</w:t>
      </w:r>
    </w:p>
    <w:p>
      <w:pPr>
        <w:spacing w:after="0" w:line="1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entity may choose to measure financial instruments and certain other items at fair value at specified election dates. Subsequent unrealized gains and losses on items for which the fair value option has been elected will be reported in earnings.</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estimated fair values of the Company’s cash, restricted cash, other assets, accounts payable and accrued expenses and other current liabilities approximate their carrying values.</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Company’s Series A Preferred Share Tranche Obligation liabilities are carried at fair value, determined according to Level 3 inputs in the fair value hierarchy described above. In January 2019, in connection with the closing of the second tranche of Series A Preferred Shares, the liability related to the Series A second tranche obligation was settled. In September 2019, in connection with the Company’s issuance and sale of Series B Preferred Shares, the liability related to the Series A third tranche obligation was terminated (Notes 3 and 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Property and equipment is stated at historical cost, net of accumulated depreciation. Depreciation is calculated using the straight-line method over the estimated useful lives of the assets, which are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Asset Category</w:t>
            </w:r>
          </w:p>
        </w:tc>
        <w:tc>
          <w:tcPr>
            <w:tcW w:w="2800" w:type="dxa"/>
            <w:vAlign w:val="bottom"/>
          </w:tcPr>
          <w:p>
            <w:pPr>
              <w:spacing w:after="0"/>
              <w:rPr>
                <w:sz w:val="16"/>
                <w:szCs w:val="16"/>
                <w:color w:val="auto"/>
              </w:rPr>
            </w:pPr>
          </w:p>
        </w:tc>
        <w:tc>
          <w:tcPr>
            <w:tcW w:w="6600" w:type="dxa"/>
            <w:vAlign w:val="bottom"/>
            <w:gridSpan w:val="2"/>
          </w:tcPr>
          <w:p>
            <w:pPr>
              <w:ind w:left="1940"/>
              <w:spacing w:after="0"/>
              <w:rPr>
                <w:sz w:val="20"/>
                <w:szCs w:val="20"/>
                <w:color w:val="auto"/>
              </w:rPr>
            </w:pPr>
            <w:r>
              <w:rPr>
                <w:rFonts w:ascii="Arial" w:cs="Arial" w:eastAsia="Arial" w:hAnsi="Arial"/>
                <w:sz w:val="14"/>
                <w:szCs w:val="14"/>
                <w:b w:val="1"/>
                <w:bCs w:val="1"/>
                <w:color w:val="auto"/>
              </w:rPr>
              <w:t>Estimated Useful Lives</w:t>
            </w: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Computer equipment</w:t>
            </w:r>
          </w:p>
        </w:tc>
        <w:tc>
          <w:tcPr>
            <w:tcW w:w="1940" w:type="dxa"/>
            <w:vAlign w:val="bottom"/>
            <w:tcBorders>
              <w:top w:val="single" w:sz="8" w:color="CCEEFF"/>
            </w:tcBorders>
            <w:shd w:val="clear" w:color="auto" w:fill="CCEEFF"/>
          </w:tcPr>
          <w:p>
            <w:pPr>
              <w:spacing w:after="0"/>
              <w:rPr>
                <w:sz w:val="17"/>
                <w:szCs w:val="17"/>
                <w:color w:val="auto"/>
              </w:rPr>
            </w:pPr>
          </w:p>
        </w:tc>
        <w:tc>
          <w:tcPr>
            <w:tcW w:w="4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3 years</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6600" w:type="dxa"/>
            <w:vAlign w:val="bottom"/>
            <w:gridSpan w:val="2"/>
          </w:tcPr>
          <w:p>
            <w:pPr>
              <w:ind w:left="1940"/>
              <w:spacing w:after="0"/>
              <w:rPr>
                <w:sz w:val="20"/>
                <w:szCs w:val="20"/>
                <w:color w:val="auto"/>
              </w:rPr>
            </w:pPr>
            <w:r>
              <w:rPr>
                <w:rFonts w:ascii="Arial" w:cs="Arial" w:eastAsia="Arial" w:hAnsi="Arial"/>
                <w:sz w:val="18"/>
                <w:szCs w:val="18"/>
                <w:color w:val="auto"/>
              </w:rPr>
              <w:t>5 years</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660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5 years</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6600" w:type="dxa"/>
            <w:vAlign w:val="bottom"/>
            <w:gridSpan w:val="2"/>
          </w:tcPr>
          <w:p>
            <w:pPr>
              <w:ind w:left="1940"/>
              <w:spacing w:after="0"/>
              <w:rPr>
                <w:sz w:val="20"/>
                <w:szCs w:val="20"/>
                <w:color w:val="auto"/>
              </w:rPr>
            </w:pPr>
            <w:r>
              <w:rPr>
                <w:rFonts w:ascii="Arial" w:cs="Arial" w:eastAsia="Arial" w:hAnsi="Arial"/>
                <w:sz w:val="18"/>
                <w:szCs w:val="18"/>
                <w:color w:val="auto"/>
              </w:rPr>
              <w:t>the shorter of the lease term and the useful life</w:t>
            </w:r>
          </w:p>
        </w:tc>
      </w:tr>
    </w:tbl>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When assets are retired or disposed of, the assets and related accumulated depreciation are derecognized from the accounts, and any resulting gain or loss is included in the determination of net loss. Expenditures for maintenance and repairs are recorded to expense as incurred.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The Company evaluates its finite-lived intangible assets for impairment whenever events or changes in circumstances indicate that the carrying value of assets may not be recoverable. Recoverability of these assets is measured by comparing their carrying value to the future net undiscounted cash flows the assets are expected to generate over their remaining economic life. If such assets are considered impaired, the impairment to be recognized is measured by the amount by which the carrying value of the assets exceeds their fair value. Indefinite-lived intangible assets are tested for impairment annually, or more frequently if indicators of impairment are present. To date, no such impairment losses have been recorded.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Convertible Notes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elected the fair value option to account for its convertible notes issued during 2017 (the “Convertible Notes”). The Company recorded the Convertible Notes at fair value and subsequently remeasured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them to fair value at each reporting date. Changes in fair value were recognized as a component of other income (expense), net in the consolidated statements of operations and comprehensive loss. As a result of applying the fair value option, direct costs and fees related to the Convertible Notes were recognized in earnings as incurred and not deferred.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Effective January 1, 2019, the Company elected to early adopt ASU No. 2016-02, Leases (Topic 842), (“ASU No. 2016-02” or “ASC 842”), using the modified retrospective approach and utilized the effective date as its date of initial application, with prior periods presented in accordance with the previous guidance under ASC 840, Leases (“ASC 840”).</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consolidated balance sheet as a right-of-use asset and current and non-current lease liabilities, as applicable.</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9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has elected not to recognize leases with an original term of one year or less on the consolidated balance sheet. The Company typically only includes an initial lease term in its assessment of a lease arrangement. Options to renew a lease are not included in the Company’s assessment unless there is reasonable certainty that the Company will renew.</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elected the following practical expedients, which must be elected as a package and applied consistently to all of its leases at the transition date (including those for which the entity is a lessee or a lessor):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are classified as operating leases, and all existing leases that were classified as capital leases in accordance with ASC 840 are classified as finance leases); and iii) the Company did not reassess initial direct costs for any existing leases.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leases that existed prior to the date of initial application of ASC 842 (which were previously classified as operating leases), a lessee may elect to use either the total lease term measured at lease inception under ASC 840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or the remaining lease term as of the date of initial application of ASC 842 in determining the period for which to measure its incremental borrowing rate. In transition to ASC 842, the Company utilized the remaining lease term of its leases in determining the appropriate incremental borrowing rates.</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accordance with ASC 842, components of a lease should be split into three categories: lease components, non-lease components and non-components. The fixed and in-substance fixed contract consideration (including any consideration related to non-components) must be allocated based on the respective relative fair values to the lease components and non-lease components.</w:t>
      </w:r>
    </w:p>
    <w:p>
      <w:pPr>
        <w:spacing w:after="0" w:line="18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Entities may elect not to separate lease and non-lease components. The Company has elected to account for lease and non-lease components together as a single lease component for all underlying assets and allocate all of the contract consideration to the lease component only.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Company recognizes revenue in accordance with ASC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w:t>
      </w:r>
    </w:p>
    <w:p>
      <w:pPr>
        <w:spacing w:after="0" w:line="2" w:lineRule="exact"/>
        <w:rPr>
          <w:sz w:val="20"/>
          <w:szCs w:val="20"/>
          <w:color w:val="auto"/>
        </w:rPr>
      </w:pPr>
    </w:p>
    <w:p>
      <w:pPr>
        <w:ind w:right="80" w:firstLine="8"/>
        <w:spacing w:after="0" w:line="252" w:lineRule="auto"/>
        <w:tabs>
          <w:tab w:leader="none" w:pos="26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enters into collaboration and license agreements, which are within the scope of ASC 606, to discover, develop, manufacture and commercialize product candidates. The terms of these agreements typically contain multiple promises or obligations, which may include: (i) licenses to compounds directed to specific targets (referred to as “exclusive licenses”) and (ii) research and development activities to be performed on behalf of the collaboration partner related to the licensed targets. Payments to the Company under these agreements may include non-refundable license fees, customer option exercise fees, payments for research activities, reimbursement of certain costs, payments based upon the achievement of certain milestones and royalties on any resulting net product sales.</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first evaluates license and/or collaboration arrangements to determine whether the arrangement (or part of the arrangement) represents a collaborative arrangement pursuant to ASC 808, Collaborative Arrangements (“ASC 808”), based on the risks and rewards and activities of the parties pursuant to the contractual arrangement. The Company accounts for collaborative arrangements (or elements within the contract that are deemed part of a collaborative arrangement), which represent a collaborative relationship and not a customer relationship, outside the scope of ASC 606. The Company’s collaborations primarily represent revenue arrangements. For the arrangements or arrangement components that are subject to revenue accounting guidance,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320" w:top="459" w:right="3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the Company applies the five-step model. As part of the accounting for these arrangements, the Company must use significant judgment to determine: a) the number of performance obligations based on the determination under step (ii) above and whether those performance obligations are distinct from other performance obligations in the contract;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sales-based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In determining the stand-alone selling price of a license to the Company’s proprietary technology or a material right provided by a customer option, the Company considers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its estimated stand-alone selling price, the Company evaluates whether changes in the key assumptions used to determine its estimated stand-alone selling price will have a significant effect on the allocation of arrangement consideration between performance obligations.</w:t>
      </w:r>
    </w:p>
    <w:p>
      <w:pPr>
        <w:spacing w:after="0" w:line="17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Amounts received prior to revenue recognition are recorded as deferred revenue. Amounts expected to be recognized as revenue within one year following the balance sheet date are classified as current portion of deferred revenue in the accompanying consolidated balance sheets. Amounts not expected to be recognized as revenue within one year following the balance sheet date are classified as deferred revenue, net of current portion. Amounts recognized as revenue, but not yet received or invoiced are generally recognized as contract assets.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 If the license to the Company’s intellectual property is determined to be distinct from the other promises or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74"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i w:val="1"/>
          <w:iCs w:val="1"/>
          <w:color w:val="auto"/>
        </w:rPr>
        <w:t xml:space="preserve">Research and Development Services </w:t>
      </w:r>
      <w:r>
        <w:rPr>
          <w:rFonts w:ascii="Arial" w:cs="Arial" w:eastAsia="Arial" w:hAnsi="Arial"/>
          <w:sz w:val="18"/>
          <w:szCs w:val="18"/>
          <w:color w:val="auto"/>
        </w:rPr>
        <w:t>– The obligations under the Company’s collaboration and license agreements generally include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services to be performed by the Company to benefit the collaboration partner. For performance obligations that include research and development services, the Company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320" w:top="459" w:right="3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 The Company’s arrangements may provide a collaborator with the right to acquire additional goods or services in the future.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these agreements, fees may be due to the Company (i) at the inception of the arrangement as an upfront fee or payment or (ii) upon the exercise of the customer option.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At the inception of each arrangement that includes development milestone payments, the Company evaluates whether the milestones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For arrangements that include sales-based royalties, including milestone payments based on a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7" w:lineRule="exact"/>
        <w:rPr>
          <w:sz w:val="20"/>
          <w:szCs w:val="20"/>
          <w:color w:val="auto"/>
        </w:rPr>
      </w:pPr>
    </w:p>
    <w:p>
      <w:pPr>
        <w:jc w:val="right"/>
        <w:ind w:right="5420"/>
        <w:spacing w:after="0" w:line="449" w:lineRule="auto"/>
        <w:rPr>
          <w:sz w:val="20"/>
          <w:szCs w:val="20"/>
          <w:color w:val="auto"/>
        </w:rPr>
      </w:pPr>
      <w:r>
        <w:rPr>
          <w:rFonts w:ascii="Arial" w:cs="Arial" w:eastAsia="Arial" w:hAnsi="Arial"/>
          <w:sz w:val="18"/>
          <w:szCs w:val="18"/>
          <w:color w:val="auto"/>
        </w:rPr>
        <w:t>For a complete discussion of accounting for collaboration revenues, see Note 10. F-13</w:t>
      </w:r>
    </w:p>
    <w:p>
      <w:pPr>
        <w:sectPr>
          <w:pgSz w:w="11900" w:h="16838" w:orient="portrait"/>
          <w:cols w:equalWidth="0" w:num="1">
            <w:col w:w="11240"/>
          </w:cols>
          <w:pgMar w:left="320" w:top="459"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right="460"/>
        <w:spacing w:after="0" w:line="287" w:lineRule="auto"/>
        <w:rPr>
          <w:sz w:val="20"/>
          <w:szCs w:val="20"/>
          <w:color w:val="auto"/>
        </w:rPr>
      </w:pPr>
      <w:r>
        <w:rPr>
          <w:rFonts w:ascii="Arial" w:cs="Arial" w:eastAsia="Arial" w:hAnsi="Arial"/>
          <w:sz w:val="16"/>
          <w:szCs w:val="16"/>
          <w:color w:val="auto"/>
        </w:rPr>
        <w:t>Research and development costs are expensed as incurred. The Company’s research and development expenses consist primarily of costs incurred in performing research and development activities, including salaries and other compensation, share-based compensation, fees paid to external service providers, laboratory supplies and costs for facilities and equipment, partially offset by fully-refundable research and development tax credits.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Non-refundable prepayments for goods or services that will be used or rendered for future research and development activities are deferred and capitalized. Such amounts are expensed as the goods are delivered or the services are performed, or until it is no longer expected that the goods will be delivered or the services rendered.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entered into various research and development contracts. The payments to these agreements are recorded as research and development expenses as incurred. The Company records accrued liabilities for estimated ongoing research costs. When evaluating the adequacy of the accrued liabilities, the Company analyzes progress of the studies, including the phase or completion of events, invoices received and contracted costs. Significant judgements and estimates are made in determining the accrued balances at the end of any reporting period. Actual results could differ from the Company’s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accounts for all share-based awards granted to employees and non-employees as share-based compensation expense at fair value.</w:t>
      </w:r>
    </w:p>
    <w:p>
      <w:pPr>
        <w:spacing w:after="0" w:line="2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engages an independent valuation firm to determine the fair value of the underlying common shares. The independent valuation firm uses valuation techniques and methods that comply with guidance provided by the American Institute of Certified Public Accountants in its Accounting &amp; Valuation Guide. Each valuation methodology includes estimates and assumptions that require the Company’s judgment. These estimates and assumptions include a number of objective and subjective factors in determining the value of the Company’s common shares at each grant date, including: (1) prices paid for the Company’s convertible preferred shares, which the Company has sold to outside investors in arm’s-length transactions, and the rights, preferences and privileges of the Company’s convertible preferred shares and common shares; (2) valuations performed by an independent valuation specialist; (3) the Company’s stage of development; (4) the fact that grants of share-based awards involved illiquid securities in a private company; and (5) the likelihood of achieving a liquidity event for the common shares underlying the share-based awards, such as an initial public offering or sale of the Company, given prevailing market conditions.</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measurement date for employee and non-employee awards is the date of grant, and share-based compensation costs are recognized over the employees’ requisite service period, which is the vesting period, on a straight-line basis.</w:t>
      </w:r>
    </w:p>
    <w:p>
      <w:pPr>
        <w:spacing w:after="0" w:line="17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the Company’s expected dividend yield. As there is no public market for its common shares, the Company determines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320" w:top="459" w:right="3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companies. The Company expects to continue to do so until such time as it has adequate historical data regarding the volatility of its own traded share price. The expected term of the Company’s stock options granted to employees and non-employees has been determined utilizing the “simplified” method for awards that qualify as “plain-vanilla” options. In connection with the adoption of ASU No. 2018-07, Compensation—Stock Compensation (“ASU No. 2018-07”), the Company calculated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shares; therefore, the expected dividend yield is assumed to be zero.</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Share-based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Convertible Preferred Shares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convertible preferred shares are classified outside of shareholders’ deficit because the holders of such shares have liquidation rights in the event of a deemed liquidation that, in certain situations, are not solely within the control of the Company. The Company records convertible preferred shares at fair value upon issuance, net of any issuance costs or discounts.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Issuance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 issuance costs applicable to the issuance of equity instruments are recorded as a reduction of the financing equity proceeds.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and Unaudited Pro Forma Loss per Share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Basic net loss per share attributable to common shareholders is computed by dividing the net loss attributable to common shareholders by the weighted-average number of common shares outstanding during the reporting period, without consideration for potentially dilutive securities. Diluted net loss per share is computed by dividing the net loss attributable to common shareholders by the weighted-average number of common shares and potentially dilutive securities outstanding during the period determined using the treasury-stock and if-converted methods. For purposes of the diluted net loss per share calculation, convertible preferred shares and stock options considered to be potentially dilutive securities were excluded from the calculation of diluted net loss per share because their effect would be anti-dilutive and therefore, basic and diluted net loss per share were the same for all reporting periods presented.</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2019, or the date of issuance, if later.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recognized in the Company’s consolidated financial statements. Under this method, deferred tax</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320" w:top="459" w:right="3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Tax Credits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recognizes the benefit of refundable Canadian research and development tax credits as a reduction of research and development costs when there is reasonable assurance that the amount claimed will be recovered.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2014, the FASB issued ASU No. 2014-09, Revenue from Contracts with Customers (Topic 606) (“ASU No. 2014-09”), which modifies how all entities recognize revenue, and consolidates into one ASC (ASC 606) the current guidance found in ASC Topic 605, and various other revenue accounting standards for specialized transactions and industries. ASU No. 2014-09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ASU No. 2014-09 may be applied using either a full retrospective approach, under which all years included in the consolidated financial statements will be presented under the revised guidance, or a modified retrospective approach, under which consolidated financial statements will be prepared under the revised guidance for the year of adoption, but not for prior years. The Company elected to early adopt this pronouncement as of January 1, 2017. The adoption of ASU No. 2014-09 had no impact on its consolidated financial statements.</w:t>
      </w:r>
    </w:p>
    <w:p>
      <w:pPr>
        <w:spacing w:after="0" w:line="1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February 2016, the FASB issued ASU No. 2016-02, which requires an entity to recognize assets and liabilities arising from a lease for both financing and operating leases on their balance sheet date. In July 2018,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9" w:right="3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amendment was made that allows companies the option of using the effective date of the new standard as the initial application date (at the beginning of the period in which the new standard is adopted, rather than at the beginning of the earliest comparative period). This update includes a short-term lease exception for leases with a term of 12 months or less, in which a lessee can make an accounting policy election not to recognize the associated lease assets and lease liabilities on its balance sheet. Additionally, in March 2019, the FASB issued ASU No. 2019-01, Leases (Topic 842): Codification Improvements (“ASU No. 2019-01”). ASU No. 2019-01 clarifies the transition guidance related to interim disclosures provided in the year of adoption. Lessees will continue to differentiate between finance leases (previously referred to as capital leases) and operating leases, using classification criteria that are substantially similar to the previous guidance. For lessees, the recognition, measurement and presentation of expenses and cash flows arising from a lease did not significantly change from previous U.S. GAAP. The modified retrospective method includes several optional practical expedients that entities may elect to apply, as well as transition guidance specific to nonstandard leasing transactions. The Company elected to early adopt Topic 842 on January 1, 2019 using a cumulative-effect adjustment on the effective date of the standard, for which comparative periods are presented in accordance with the previous guidance under ASC 840.</w:t>
      </w:r>
    </w:p>
    <w:p>
      <w:pPr>
        <w:spacing w:after="0" w:line="18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adopting ASC 842, the Company elected to utilize the available package of practical expedients permitted under the transition guidance within the new standard, which does not require the reassessment of the following: i) whether existing or expired arrangements are or contain a lease, ii) the lease classification of existing or expired leases, and iii) whether previous initial direct costs would qualify for capitalization under the new lease standard. Additionally, the Company made an accounting policy election to keep leases with a term of 12 months or less off its consolidated balance sheet.</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Adoption of this standard resulted in the recording of operating lease liabilities and right-of-use assets of $306 and $347, respectively, on the Company’s consolidated balance sheet on the effective date. The adoption of the standard did not have a material effect on the Company’s consolidated statements of operations and comprehensive loss, consolidated statements of cash flows or accumulated deficit. Refer to Note 7 for right-of-use asset and liabilities recorded during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August 2016, the FASB issued ASU No. 2016-15, Statement of Cash Flows: Classification of Certain Cash Receipts and Cash Payments (“ASU</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2016-15”), to address diversity in practice in how certain cash receipts and cash payments are presented and classified in the consolidated statement of cash flows. The Company elected to early adopt ASU No. 2016-15 as of January 1, 2019. The adoption of ASU No. 2016-15 did not have a material impact on its consolidated financial statements.</w:t>
      </w:r>
    </w:p>
    <w:p>
      <w:pPr>
        <w:spacing w:after="0" w:line="1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November 2016, FASB issued ASU No. 2016-18, Statements of Cash Flows (Topic 230): Restricted Cash (“ASU No. 2016-18”). The Amendments in ASU No.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 period total amounts shown on the statement of cash flows. The Company elected to early adopt ASU No. 2016-18 as of January 1, 2017. The adoption of ASU No. 2016-18 did not have a material impact on its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(“ASU</w:t>
      </w:r>
    </w:p>
    <w:p>
      <w:pPr>
        <w:spacing w:after="0" w:line="35"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No.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elected to early adopt ASU No. 2017-09 as of January 1, 2017. The adoption of ASU No. 2017-09 had no impact on its consolidated financial statements.</w:t>
      </w:r>
    </w:p>
    <w:p>
      <w:pPr>
        <w:spacing w:after="0" w:line="1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June 2018, the FASB issued ASU No. 2018-07, which aligns the measurement and classification guidance for share-based payments to non-employees with that for employees, with certain exceptions. It expands the scope of ASC 718 to include share-based payments granted to non-employees in exchange for goods or services used or consumed in the entity’s own operations and supersedes the guidance in ASC 505-50. ASU No. 2018-07 retains the existing cost attribution guidance, which requires entities to recognize compensation cost for non-employee awards in the same period and in the same manner (i.e., capitalize or expense) they would if they paid cash for the goods or services, but it moves the guidance to ASC 718. The guidance also allows nonpublic entities to account for non-employee awards using certain practical expedients that are already available for employee awards, but the same accounting policies must be used for awards to both employees and non-employees. ASU No. 2018-07 is effective for fiscal years beginning after December 15, 2018, and interim periods within those fiscal years. Early adoption is permitted. The Company elected to early adopt ASU No. 2018-07 as of January 1, 2017. The adoption of ASU No. 2018-07 did not have an impact on the Company’s consolidated financial statements as the Company had not yet granted any non-employee awards.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2019, the FASB issued ASU No. 2019-12, Income Taxes-Simplifying the Accounting for Income Taxes (“ASU No. 2019-12”). ASU No. 2019-12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public entities, ASU No. 2019-12 is effective for annual periods beginning after December 15, 2020, including interim periods within. For all other entities, this pronouncement is effective for fiscal years beginning after December 15, 2021, including interim periods within fiscal years beginning after December 15, 2022. Early adoption is permitted for all entities. Adoption of the standard requires certain changes to be made prospectively, with some changes to be made retrospectively. The Company is currently assessing the impact of this standard on its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Quoted Prices in</w:t>
            </w: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Significant Other</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Significant 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7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7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20" w:type="dxa"/>
            <w:vAlign w:val="bottom"/>
            <w:vMerge w:val="restart"/>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16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Observable</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5"/>
                <w:szCs w:val="15"/>
                <w:color w:val="auto"/>
              </w:rPr>
            </w:pPr>
          </w:p>
        </w:tc>
        <w:tc>
          <w:tcPr>
            <w:tcW w:w="1720" w:type="dxa"/>
            <w:vAlign w:val="bottom"/>
            <w:gridSpan w:val="3"/>
          </w:tcPr>
          <w:p>
            <w:pPr>
              <w:jc w:val="center"/>
              <w:ind w:right="680"/>
              <w:spacing w:after="0" w:line="158" w:lineRule="exact"/>
              <w:rPr>
                <w:sz w:val="20"/>
                <w:szCs w:val="20"/>
                <w:color w:val="auto"/>
              </w:rPr>
            </w:pPr>
            <w:r>
              <w:rPr>
                <w:rFonts w:ascii="Arial" w:cs="Arial" w:eastAsia="Arial" w:hAnsi="Arial"/>
                <w:sz w:val="14"/>
                <w:szCs w:val="14"/>
                <w:b w:val="1"/>
                <w:bCs w:val="1"/>
                <w:color w:val="auto"/>
                <w:w w:val="90"/>
              </w:rPr>
              <w:t>Assets (Level 1)</w:t>
            </w:r>
          </w:p>
        </w:tc>
        <w:tc>
          <w:tcPr>
            <w:tcW w:w="1740" w:type="dxa"/>
            <w:vAlign w:val="bottom"/>
            <w:gridSpan w:val="3"/>
          </w:tcPr>
          <w:p>
            <w:pPr>
              <w:jc w:val="center"/>
              <w:ind w:right="680"/>
              <w:spacing w:after="0" w:line="158" w:lineRule="exact"/>
              <w:rPr>
                <w:sz w:val="20"/>
                <w:szCs w:val="20"/>
                <w:color w:val="auto"/>
              </w:rPr>
            </w:pPr>
            <w:r>
              <w:rPr>
                <w:rFonts w:ascii="Arial" w:cs="Arial" w:eastAsia="Arial" w:hAnsi="Arial"/>
                <w:sz w:val="14"/>
                <w:szCs w:val="14"/>
                <w:b w:val="1"/>
                <w:bCs w:val="1"/>
                <w:color w:val="auto"/>
                <w:w w:val="95"/>
              </w:rPr>
              <w:t>Inputs (Level 2)</w:t>
            </w:r>
          </w:p>
        </w:tc>
        <w:tc>
          <w:tcPr>
            <w:tcW w:w="11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89"/>
        </w:trPr>
        <w:tc>
          <w:tcPr>
            <w:tcW w:w="5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Series A Preferred Share Tranche Obligation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2,490</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F-18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year ended December 31, 2018, there were no transfers between fair value measure levels. The Company’s Series A Preferred Share Tranche Obligation is carried at fair value measured using Level 3 inputs in the fair value hierarchy as described above. In connection with the Company’s issuance and sale of Series B Preferred Shares in September 2019, the Series A Preferred Share Tranche Obligation was terminated.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financial assets and liabilities carried at fair value as of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 Tranche Obligation</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determined that its obligation to issue, and the Company’s investors’ obligation to purchase, additional Series A Preferred Shares at a fixed price (i.e., the issuance price) in subsequent tranches following the initial closing of the Series A Preferred Share financing represented a freestanding financial instrument, the Series A Preferred Share Tranche Obligation. The freestanding financial instrument was classified as an asset or liability on the Company’s consolidated balance sheets and initially recorded at fair value, with changes in fair value for each reporting period recognized in other income (expense), net in the consolidated statements of operations and comprehensive loss (Note 8).</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the Company’s issuance of the Series A Preferred Shares in June 2017 (Note 8), the Company recognized the Series A Preferred Share Tranche Obligation at the initial fair value which was determined based on significant inputs not observable in the market, which represents a Level 3 measurement within the fair value hierarchy. The fair value of the obligation was estimated based on results of a third-party valuation. This obligation is remeasured prior to the issuance of subsequent tranches and at each subsequent reporting period. As such, the proceeds from the Series A Preferred Share financing were allocated between the Series A Preferred Share Tranche Obligation and Series A Preferred Shares using the residual method, with the Series A Preferred Share Tranche Obligation being recorded at its fair value and the Series A Preferred Shares at the residual value.</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tranche obligation is valued as a forward contract. The values were determined using a probability-weighted present value calculation. In determining the fair values of the tranche obligations, estimates and assumptions impacting fair value included the estimated future values of the Company’s Series A Preferred Shares, discount rates, estimated time to liquidity and probability of each tranche closing. The Company determined the per share future value of the Series A Preferred Shares by back-solving to the initial proceeds of the Series A Preferred Share financing. The Company remeasured each tranche obligation at each reporting period and prior to settlement. The following reflects the significant quantitative inputs used in the valuation of the Series A Preferred Share Tranche Obligation:</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5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future value of Series A Preferred Shares</w:t>
            </w:r>
          </w:p>
        </w:tc>
        <w:tc>
          <w:tcPr>
            <w:tcW w:w="1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4.85</w:t>
            </w: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Discount rate</w:t>
            </w: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30.00%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 (years)</w:t>
            </w:r>
          </w:p>
        </w:tc>
        <w:tc>
          <w:tcPr>
            <w:tcW w:w="2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Probability of tranche closing</w:t>
            </w:r>
          </w:p>
        </w:tc>
        <w:tc>
          <w:tcPr>
            <w:tcW w:w="1660" w:type="dxa"/>
            <w:vAlign w:val="bottom"/>
          </w:tcPr>
          <w:p>
            <w:pPr>
              <w:spacing w:after="0"/>
              <w:rPr>
                <w:sz w:val="17"/>
                <w:szCs w:val="17"/>
                <w:color w:val="auto"/>
              </w:rPr>
            </w:pPr>
          </w:p>
        </w:tc>
        <w:tc>
          <w:tcPr>
            <w:tcW w:w="7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90% –</w:t>
            </w:r>
          </w:p>
        </w:tc>
        <w:tc>
          <w:tcPr>
            <w:tcW w:w="980" w:type="dxa"/>
            <w:vAlign w:val="bottom"/>
          </w:tcPr>
          <w:p>
            <w:pPr>
              <w:spacing w:after="0"/>
              <w:rPr>
                <w:sz w:val="17"/>
                <w:szCs w:val="17"/>
                <w:color w:val="auto"/>
              </w:rPr>
            </w:pP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90% –</w:t>
            </w:r>
          </w:p>
        </w:tc>
      </w:tr>
      <w:tr>
        <w:trPr>
          <w:trHeight w:val="230"/>
        </w:trPr>
        <w:tc>
          <w:tcPr>
            <w:tcW w:w="5360" w:type="dxa"/>
            <w:vAlign w:val="bottom"/>
          </w:tcPr>
          <w:p>
            <w:pPr>
              <w:spacing w:after="0"/>
              <w:rPr>
                <w:sz w:val="20"/>
                <w:szCs w:val="20"/>
                <w:color w:val="auto"/>
              </w:rPr>
            </w:pP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change in the assumptions related to the valuation of the Series A Preferred Share Tranche Obligation could have a significant impact on the value of the obligation.</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recorded other income of $180 and other expense of $1,130 and $1,350 for changes in the fair value of the Series A Preferred Share Tranche Obligation in the consolidated statements of operations and comprehensive loss for the years ended December 31, 2017, 2018 and 2019, respectively.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459" w:right="3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elected the fair value option to account for its Convertible Notes issued during 2016 and 2017. The fair value of the Convertible Notes was determined based on significant inputs not observable in the market, which represents a Level 3 measurement within the fair value hierarchy.</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determined the fair value of the Convertible Notes based on the proceeds received for the Convertible Notes, the terms of the Convertible Notes, including the rate at which the notes convert into qualified equity financing securities, the probability and timing of a qualified equity financing and the fair value of the underlying preferred shares. Estimates and assumptions impacting the fair value measurement include the probability of a qualified equity financing as defined in the convertible notes agreement, the expected timing of such event and the then fair value of the Company’s Series A Preferred Shares. The Company estimated the probability and timing of the qualified equity financing based on management’s assumptions and knowledge of specified events at issuance and as of each reporting date. The Company determined the fair value per share of the Series A Preferred Shares as described above.</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2017, in connection with the Company’s issuance and sale of Series A Preferred Shares, the outstanding principal under the Convertible Notes was automatically converted into shares of Series A Preferred Shares and the Convertible Notes liability was extinguished. The Company recorded other expense of $1,615 for changes in the fair value of the Convertible Notes in the consolidated statements of operations and comprehensive loss for the year ended December 31, 2017.</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a roll forward of the aggregate fair value of the Company’s Series A Preferred Share Tranche Obligation and Convertible Notes, for which fair value was determined using Level 3 inputs:</w:t>
      </w:r>
    </w:p>
    <w:p>
      <w:pPr>
        <w:sectPr>
          <w:pgSz w:w="11900" w:h="16838" w:orient="portrait"/>
          <w:cols w:equalWidth="0" w:num="1">
            <w:col w:w="11180"/>
          </w:cols>
          <w:pgMar w:left="32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Balance as of January 1, 2017</w:t>
      </w:r>
    </w:p>
    <w:p>
      <w:pPr>
        <w:spacing w:after="0" w:line="2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Issuance of obligation</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Change in fair value plus accrued interest</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Settlement of obligation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Accrued interest to accounts payable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Series A</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3"/>
              </w:rPr>
              <w:t>Preferred Share</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Convertible Notes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Tranche Obligation</w:t>
            </w: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ind w:right="15"/>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1,540</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-693420</wp:posOffset>
            </wp:positionV>
            <wp:extent cx="5417820" cy="1454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417820" cy="145415"/>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-410845</wp:posOffset>
            </wp:positionV>
            <wp:extent cx="541782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417820" cy="13716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-136525</wp:posOffset>
            </wp:positionV>
            <wp:extent cx="54178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40" w:space="720"/>
            <w:col w:w="4620"/>
          </w:cols>
          <w:pgMar w:left="320" w:top="459" w:right="399" w:bottom="1440" w:gutter="0" w:footer="0" w:header="0"/>
          <w:type w:val="continuous"/>
        </w:sectPr>
      </w:pPr>
    </w:p>
    <w:tbl>
      <w:tblPr>
        <w:tblLayout w:type="fixed"/>
        <w:tblInd w:w="1360" w:type="dxa"/>
        <w:tblCellMar>
          <w:top w:w="0" w:type="dxa"/>
          <w:left w:w="0" w:type="dxa"/>
          <w:bottom w:w="0" w:type="dxa"/>
          <w:right w:w="0" w:type="dxa"/>
        </w:tblCellMar>
      </w:tblP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8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2220" w:type="dxa"/>
            <w:vAlign w:val="bottom"/>
            <w:gridSpan w:val="2"/>
          </w:tcPr>
          <w:p>
            <w:pPr>
              <w:jc w:val="right"/>
              <w:ind w:right="269"/>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1,360</w:t>
            </w:r>
          </w:p>
        </w:tc>
        <w:tc>
          <w:tcPr>
            <w:tcW w:w="900" w:type="dxa"/>
            <w:vAlign w:val="bottom"/>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3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8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Tranche 2 settlement of obligation</w:t>
            </w: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(880)</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Tranche 3 termination</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(2,960)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18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2220" w:type="dxa"/>
            <w:vAlign w:val="bottom"/>
            <w:gridSpan w:val="2"/>
          </w:tcPr>
          <w:p>
            <w:pPr>
              <w:jc w:val="right"/>
              <w:ind w:right="1109"/>
              <w:spacing w:after="0"/>
              <w:rPr>
                <w:sz w:val="20"/>
                <w:szCs w:val="20"/>
                <w:color w:val="auto"/>
              </w:rPr>
            </w:pPr>
            <w:r>
              <w:rPr>
                <w:rFonts w:ascii="Arial" w:cs="Arial" w:eastAsia="Arial" w:hAnsi="Arial"/>
                <w:sz w:val="18"/>
                <w:szCs w:val="18"/>
                <w:color w:val="auto"/>
              </w:rPr>
              <w:t>F-20</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type w:val="continuous"/>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as of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1,490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2,565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2,142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3,486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(1,096)</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1,652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2,390</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recognized depreciation expense of $102, of which $95 was included in research and development expense and $7 was included in general and administrative expense, $407, of which $380 was included in research and development expense and $27 was included in general and administrative expense, and $606, of which $539 was included in research and development expense and $67 was included in general and administrative expense, for the years ended December 31, 2017, 2018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as of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research and development expense</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111</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5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1,276</w:t>
            </w:r>
          </w:p>
        </w:tc>
      </w:tr>
      <w:tr>
        <w:trPr>
          <w:trHeight w:val="20"/>
        </w:trPr>
        <w:tc>
          <w:tcPr>
            <w:tcW w:w="5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License Agreements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2016, as further amended in February 2017 and amended and restated in July 2018, the Company entered into a license agreement (the “NYU Agreement”) with New York University, pursuant to which the Company obtained a worldwide, royalty-bearing, exclusive license under certain patents and know-how of New York University to research, develop and commercialize products covered by such licensed patents. The Company is required to pay New York University an annual non-refundable license fee, which is creditable against future milestone and royalty payments. The Company is required to pay amounts up to approximately $6,713 in the aggregate upon achievement of certain clinical and commercial milestones and pay a low single digit royalty on future net sales of any product covered by a licensed product and a lower-single digit royalty on future net sales of any product not covered by a licensed product. The NYU Agreement expires on the date of expiration of all royalty obligations.</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potential future milestone or royalty payment amounts have not been accrued at December 31, 2019 due to the uncertainty related to the successful achievement of these milestones.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320" w:top="459" w:right="3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historically entered into lease arrangements for its facilities and certain equipment. As of December 31, 2019, the Company had three operating leases with required future minimum payments. In applying the transition guidance under ASC 842, the Company determined the classifications of these leases to be operating leases and recorded right-of-use assets and leases liabilities as of the effective date. The Company’s leases generally do not include termination or purchase options.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June 2017, the Company entered into a lease agreement for office and laboratory space in Montreal, Quebec, for a four-year term, ending in July 2021. As required under the terms of the lease agreement, the lease requires a standby letter of credit in the amount of $208, which remains unused as of December 31, 2019.</w:t>
      </w:r>
    </w:p>
    <w:p>
      <w:pPr>
        <w:spacing w:after="0" w:line="18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November 2017, and further amended in April 2018, January 2019 and August 2019, the Company entered into a lease agreement for office and laboratory space located in Montreal, Quebec, for a three-year term ending in October 2020 with the option to extend through October 2022.</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June 2019, and further amended in August 2019, the Company entered into a lease agreement for office space in Cambridge, Massachusetts, for a two-year term, ending in May 2021.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2019, the Company entered into a lease agreement for office and laboratory space located in Montreal, Quebec that has not commenced as of December 31, 2019. As required under the terms of the lease agreement, the Company had prepaid rent of $522 as of December 31, 2019 and a commitment to prepay an additional $522 prior to lease commencement, which the current portion was accounted for within prepaid expenses and other current assets and the long-term portion was accounted for within other assets.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year ended December 31, 2019:</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700" w:type="dxa"/>
            <w:vAlign w:val="bottom"/>
          </w:tcPr>
          <w:p>
            <w:pPr>
              <w:spacing w:after="0"/>
              <w:rPr>
                <w:sz w:val="14"/>
                <w:szCs w:val="14"/>
                <w:color w:val="auto"/>
              </w:rPr>
            </w:pPr>
          </w:p>
        </w:tc>
        <w:tc>
          <w:tcPr>
            <w:tcW w:w="172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b w:val="1"/>
                <w:bCs w:val="1"/>
                <w:color w:val="auto"/>
              </w:rPr>
              <w:t>Lease Cost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cost</w:t>
            </w:r>
          </w:p>
        </w:tc>
        <w:tc>
          <w:tcPr>
            <w:tcW w:w="1440" w:type="dxa"/>
            <w:vAlign w:val="bottom"/>
            <w:gridSpan w:val="4"/>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Short-term lease cost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 lease cost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8"/>
                <w:szCs w:val="18"/>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671</w:t>
            </w:r>
          </w:p>
        </w:tc>
        <w:tc>
          <w:tcPr>
            <w:tcW w:w="4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5700" w:type="dxa"/>
            <w:vAlign w:val="bottom"/>
          </w:tcPr>
          <w:p>
            <w:pPr>
              <w:spacing w:after="0"/>
              <w:rPr>
                <w:sz w:val="24"/>
                <w:szCs w:val="24"/>
                <w:color w:val="auto"/>
              </w:rPr>
            </w:pPr>
          </w:p>
        </w:tc>
        <w:tc>
          <w:tcPr>
            <w:tcW w:w="19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70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Other Operating Lease Information</w:t>
            </w: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1440" w:type="dxa"/>
            <w:vAlign w:val="bottom"/>
            <w:gridSpan w:val="4"/>
          </w:tcPr>
          <w:p>
            <w:pPr>
              <w:jc w:val="right"/>
              <w:ind w:right="4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lease obligations</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Weighted-average remaining lease term</w:t>
            </w:r>
          </w:p>
        </w:tc>
        <w:tc>
          <w:tcPr>
            <w:tcW w:w="880" w:type="dxa"/>
            <w:vAlign w:val="bottom"/>
          </w:tcPr>
          <w:p>
            <w:pPr>
              <w:spacing w:after="0"/>
              <w:rPr>
                <w:sz w:val="18"/>
                <w:szCs w:val="18"/>
                <w:color w:val="auto"/>
              </w:rPr>
            </w:pPr>
          </w:p>
        </w:tc>
        <w:tc>
          <w:tcPr>
            <w:tcW w:w="1040" w:type="dxa"/>
            <w:vAlign w:val="bottom"/>
            <w:gridSpan w:val="6"/>
          </w:tcPr>
          <w:p>
            <w:pPr>
              <w:jc w:val="right"/>
              <w:ind w:right="200"/>
              <w:spacing w:after="0"/>
              <w:rPr>
                <w:sz w:val="20"/>
                <w:szCs w:val="20"/>
                <w:color w:val="auto"/>
              </w:rPr>
            </w:pPr>
            <w:r>
              <w:rPr>
                <w:rFonts w:ascii="Arial" w:cs="Arial" w:eastAsia="Arial" w:hAnsi="Arial"/>
                <w:sz w:val="18"/>
                <w:szCs w:val="18"/>
                <w:color w:val="auto"/>
                <w:w w:val="97"/>
              </w:rPr>
              <w:t>1.79 years</w:t>
            </w: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discount rate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7.6%</w:t>
            </w:r>
          </w:p>
        </w:tc>
        <w:tc>
          <w:tcPr>
            <w:tcW w:w="40" w:type="dxa"/>
            <w:vAlign w:val="bottom"/>
            <w:shd w:val="clear" w:color="auto" w:fill="CCEEFF"/>
          </w:tcPr>
          <w:p>
            <w:pPr>
              <w:spacing w:after="0"/>
              <w:rPr>
                <w:sz w:val="18"/>
                <w:szCs w:val="18"/>
                <w:color w:val="auto"/>
              </w:rPr>
            </w:pPr>
          </w:p>
        </w:tc>
      </w:tr>
      <w:tr>
        <w:trPr>
          <w:trHeight w:val="365"/>
        </w:trPr>
        <w:tc>
          <w:tcPr>
            <w:tcW w:w="5700" w:type="dxa"/>
            <w:vAlign w:val="bottom"/>
          </w:tcPr>
          <w:p>
            <w:pPr>
              <w:ind w:left="3640"/>
              <w:spacing w:after="0"/>
              <w:rPr>
                <w:sz w:val="20"/>
                <w:szCs w:val="20"/>
                <w:color w:val="auto"/>
              </w:rPr>
            </w:pPr>
            <w:r>
              <w:rPr>
                <w:rFonts w:ascii="Arial" w:cs="Arial" w:eastAsia="Arial" w:hAnsi="Arial"/>
                <w:sz w:val="18"/>
                <w:szCs w:val="18"/>
                <w:color w:val="auto"/>
              </w:rPr>
              <w:t>F-22</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variable lease costs for the year ended December 31, 2019 include contingent rental usage, common area maintenance and other operating charges. As the Company’s leases do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operating leases as of December 31, 2019 were as follows:</w:t>
      </w:r>
    </w:p>
    <w:p>
      <w:pPr>
        <w:spacing w:after="0" w:line="23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Maturity of Lease Liabilities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table above excludes $3,222 of legally binding minimum lease payments for the lease in Montreal, Quebec that has been executed but not yet commenced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future minimum lease payments under the Company’s lease obligations under ASC 840 were as follows:</w:t>
      </w:r>
    </w:p>
    <w:p>
      <w:pPr>
        <w:spacing w:after="0" w:line="244"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5560" w:type="dxa"/>
            <w:vAlign w:val="bottom"/>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Shares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June 2017, the Company authorized the issuance of an unlimited number of Series A Preferred Shares with no par value in connection with the sale and issuance of up to 13,237,696 Series A Preferred Shares. The Series A Preferred Share financing was structured to close in three tranches, each contingent upon the achievement of certain specified milestones.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June 2017, in connection with the closing of the first tranche of Series A Preferred Shares, the Company issued 5,906,049 Series A Preferred Shares at $4.91 per share for total proceeds of $28,958, net of issuance costs of $42 and converted previously issued and outstanding Convertible Notes amounting to $4,455 issued in October 2016 and April 2017 into 907,291 Series A Preferred Shares. The terms included the obligation of the investors to purchase, and the Company to sell, up to 7,331,647 additional Series A Preferred Shares contingent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320" w:top="459" w:right="3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achievement of certain specified milestones. The Company concluded that the obligation and right to make future issuances of Series A Preferred Shares met the definition of a freestanding financial instrument, as the rights were legally detachable from the Series A Preferred Shares (Note 3). In January 2019, in connection with the closing of the second tranche of Series A Preferred Shares, the Company issued 4,276,795 Series A Preferred Shares at $4.91 per share for total gross proceeds of $21,000, and the liability related to the Series A second tranche obligation was settled and recognized at fair value as Series A Preferred Shares.</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August 2019, the Company authorized the issuance of an unlimited number of Series B Preferred Shares with no par value. In September 2019, the Company issued 10,468,258 Series B Preferred Shares to existing and new investors at $7.88 per share for total proceeds of $82,496. In connection with the issuance and sale of Series B Preferred Shares, the Series A third tranche obligation liability was terminated and recognized as additional paid-in-capital.</w:t>
      </w:r>
    </w:p>
    <w:p>
      <w:pPr>
        <w:spacing w:after="0" w:line="18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carrying value of the Series A Preferred Shares is based on the net proceeds received at initial issuance net of the fair value of the Series A Preferred Share Tranche Obligation. At issuance of the first and second tranches, no beneficial conversion features were present. The carrying value of the Series B Preferred Shares is based on the net proceeds received. At initial issuance, no beneficial conversion features were present.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preferred shares consisted of the following in the table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center"/>
              <w:ind w:left="161"/>
              <w:spacing w:after="0"/>
              <w:rPr>
                <w:sz w:val="20"/>
                <w:szCs w:val="20"/>
                <w:color w:val="auto"/>
              </w:rPr>
            </w:pPr>
            <w:r>
              <w:rPr>
                <w:rFonts w:ascii="Arial" w:cs="Arial" w:eastAsia="Arial" w:hAnsi="Arial"/>
                <w:sz w:val="14"/>
                <w:szCs w:val="14"/>
                <w:b w:val="1"/>
                <w:bCs w:val="1"/>
                <w:color w:val="auto"/>
                <w:w w:val="91"/>
              </w:rPr>
              <w:t>December 31, 2017</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Preferred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gridSpan w:val="4"/>
            <w:vMerge w:val="restart"/>
          </w:tcPr>
          <w:p>
            <w:pPr>
              <w:jc w:val="center"/>
              <w:ind w:left="22"/>
              <w:spacing w:after="0"/>
              <w:rPr>
                <w:sz w:val="20"/>
                <w:szCs w:val="20"/>
                <w:color w:val="auto"/>
              </w:rPr>
            </w:pPr>
            <w:r>
              <w:rPr>
                <w:rFonts w:ascii="Arial" w:cs="Arial" w:eastAsia="Arial" w:hAnsi="Arial"/>
                <w:sz w:val="14"/>
                <w:szCs w:val="14"/>
                <w:b w:val="1"/>
                <w:bCs w:val="1"/>
                <w:color w:val="auto"/>
                <w:w w:val="89"/>
              </w:rPr>
              <w:t>Common Shares</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2"/>
                <w:szCs w:val="12"/>
                <w:color w:val="auto"/>
              </w:rPr>
            </w:pPr>
          </w:p>
        </w:tc>
        <w:tc>
          <w:tcPr>
            <w:tcW w:w="8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92"/>
              </w:rPr>
              <w:t>Liquidation</w:t>
            </w:r>
          </w:p>
        </w:tc>
        <w:tc>
          <w:tcPr>
            <w:tcW w:w="4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Outstanding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6,813,340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31,873</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6,813,340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31,873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31,750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6,813,340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center"/>
              <w:ind w:left="161"/>
              <w:spacing w:after="0"/>
              <w:rPr>
                <w:sz w:val="20"/>
                <w:szCs w:val="20"/>
                <w:color w:val="auto"/>
              </w:rPr>
            </w:pPr>
            <w:r>
              <w:rPr>
                <w:rFonts w:ascii="Arial" w:cs="Arial" w:eastAsia="Arial" w:hAnsi="Arial"/>
                <w:sz w:val="14"/>
                <w:szCs w:val="14"/>
                <w:b w:val="1"/>
                <w:bCs w:val="1"/>
                <w:color w:val="auto"/>
                <w:w w:val="91"/>
              </w:rPr>
              <w:t>December 31, 2018</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Preferred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gridSpan w:val="4"/>
            <w:vMerge w:val="restart"/>
          </w:tcPr>
          <w:p>
            <w:pPr>
              <w:jc w:val="center"/>
              <w:ind w:left="22"/>
              <w:spacing w:after="0"/>
              <w:rPr>
                <w:sz w:val="20"/>
                <w:szCs w:val="20"/>
                <w:color w:val="auto"/>
              </w:rPr>
            </w:pPr>
            <w:r>
              <w:rPr>
                <w:rFonts w:ascii="Arial" w:cs="Arial" w:eastAsia="Arial" w:hAnsi="Arial"/>
                <w:sz w:val="14"/>
                <w:szCs w:val="14"/>
                <w:b w:val="1"/>
                <w:bCs w:val="1"/>
                <w:color w:val="auto"/>
                <w:w w:val="89"/>
              </w:rPr>
              <w:t>Common Shares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2"/>
                <w:szCs w:val="12"/>
                <w:color w:val="auto"/>
              </w:rPr>
            </w:pPr>
          </w:p>
        </w:tc>
        <w:tc>
          <w:tcPr>
            <w:tcW w:w="8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92"/>
              </w:rPr>
              <w:t>Liquidation</w:t>
            </w:r>
          </w:p>
        </w:tc>
        <w:tc>
          <w:tcPr>
            <w:tcW w:w="4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Outstanding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6,813,340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31,873</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6,813,340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31,873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31,750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6,813,340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0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Preferred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7"/>
              </w:rPr>
              <w:t>Carrying</w:t>
            </w:r>
          </w:p>
        </w:tc>
        <w:tc>
          <w:tcPr>
            <w:tcW w:w="400" w:type="dxa"/>
            <w:vAlign w:val="bottom"/>
          </w:tcPr>
          <w:p>
            <w:pPr>
              <w:spacing w:after="0"/>
              <w:rPr>
                <w:sz w:val="12"/>
                <w:szCs w:val="12"/>
                <w:color w:val="auto"/>
              </w:rPr>
            </w:pPr>
          </w:p>
        </w:tc>
        <w:tc>
          <w:tcPr>
            <w:tcW w:w="8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5"/>
              </w:rPr>
              <w:t>Liquidation</w:t>
            </w:r>
          </w:p>
        </w:tc>
        <w:tc>
          <w:tcPr>
            <w:tcW w:w="4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Issued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94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86"/>
              </w:rPr>
              <w:t>11,090,135</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53,749</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ind w:right="4"/>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52,750</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11,090,135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86"/>
              </w:rPr>
              <w:t>10,468,258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82,248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82,496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10,468,258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21,558,393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135,997</w:t>
            </w:r>
          </w:p>
        </w:tc>
        <w:tc>
          <w:tcPr>
            <w:tcW w:w="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135,246</w:t>
            </w:r>
          </w:p>
        </w:tc>
        <w:tc>
          <w:tcPr>
            <w:tcW w:w="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21,558,393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rights and privileges of the holders of the preferred shares as of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holders of preferred shares are entitled to vote, together with the holders of common shares, on all matters submitted to the shareholders for a vote and are entitled to the number of votes equal to the number of whole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60"/>
          </w:cols>
          <w:pgMar w:left="320" w:top="459" w:right="4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common shares into which the preferred shares held by such holders could convert on the record date for determination of shareholders entitled to vote. Except for meetings at which only holders of another specified class are entitled to vote, the holders of preferred shares shall vote together with the holders of common shares and vote as a single class.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holders of the preferred shares are entitled to receive, prior and in preference to any dividends on any other common shares of the Company, noncumulative dividends of 8% per annum of the sum of the preferred shares issuance price and all declared but unpaid dividends accrued thereon only when and if declared by the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the preferred shares were convertible into common shares on a one-to-one basis.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preferred share is convertible into common shares, at any time, at the option of the holder, and without the payment of additional consideration, at the applicable conversion ratio in effect for preferred shares, which is initially one-to-one and subject to adjustment for certain anti-dilutive events. In addition, each preferred share will be automatically converted into common shares at the applicable conversion ratio in effect for preferred shares upon either (i) the closing of a qualified initial public offering of its common shares at a price per share of at least $15.76 per share (subject to adjustment for any share split, combination or dividend or distribution payable) resulting in $50,000 or more in gross proceeds to the Company, or (ii) the election to convert the preferred shares by at least 70% of the holders of preferred shares.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the event of any liquidation, dissolution or winding-up of the affairs of the Company, or unless waived by 70% of the holders of preferred shares, a sale of the Company that results in a change of control or a sale of substantially all of the Company’s assets or intellectual property, the holders of preferred shares are entitled to be paid, in priority to the holders of any other class of shares, a liquidation preference equal to the aggregate of all accrued but unpaid dividends on the preferred shares. After satisfying the liquidation preference, the holders of record of preferred shares shall be entitled to receive ratably with the holders of common shares the residual assets of the Company on an as-converted basis.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the authorized capital shares of the Company was unlimited with no par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historical common share transactions of the Company from its incorporation through December 31, 2019:</w:t>
      </w:r>
    </w:p>
    <w:p>
      <w:pPr>
        <w:spacing w:after="0" w:line="131" w:lineRule="exact"/>
        <w:rPr>
          <w:sz w:val="20"/>
          <w:szCs w:val="20"/>
          <w:color w:val="auto"/>
        </w:rPr>
      </w:pPr>
    </w:p>
    <w:p>
      <w:pPr>
        <w:ind w:left="1000" w:hanging="439"/>
        <w:spacing w:after="0"/>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2016, the Company issued 1,369,186 common shares for total proceeds of $1.</w:t>
      </w:r>
    </w:p>
    <w:p>
      <w:pPr>
        <w:spacing w:after="0" w:line="130" w:lineRule="exact"/>
        <w:rPr>
          <w:rFonts w:ascii="Arial" w:cs="Arial" w:eastAsia="Arial" w:hAnsi="Arial"/>
          <w:sz w:val="18"/>
          <w:szCs w:val="18"/>
          <w:color w:val="auto"/>
        </w:rPr>
      </w:pPr>
    </w:p>
    <w:p>
      <w:pPr>
        <w:ind w:left="1000" w:right="480" w:hanging="439"/>
        <w:spacing w:after="0" w:line="277"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2016, the Company issued 60,211 common shares in exchange for the license of certain intellectual property, which was recorded as research and development expense upon issuance.</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2017, the Company issued 98,977 common shares in exchange of no consideration.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320" w:top="459" w:right="3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Each common share entitles the holder to one vote, together with the holders of Series A Preferred Shares, on all matters submitted to the shareholders for a vote. The holders of common shares are entitled to receive dividends, as may be declared by the board of directors, if any, subject to the preferential dividend rights of convertible preferred shares. Through December 31, 2019, no cash dividends have been declared or paid.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2018 and 2019, the Company has reserved common shares for the potential conversion of outstanding Series A Preferred Shares, Series B Preferred Shares and exercise of stock options in the table below.</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11,090,135</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2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10,468,258</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822,658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907,315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3,505,119</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7,635,998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7,720,655</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25,063,512</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January 2019, the Company entered into a research services, license and collaboration agreement (the “Ono Agreement”) with Ono Pharmaceutical Co., Ltd. (“Ono”), a Japanese pharmaceutical company, pursuant to which the Company and Ono have agreed to collaborate in the research of potential product candidates targeting Polq and the development of the Company’s small molecule Polq inhibitor program. The Company is primarily responsible for carrying out research activities to identify a product candidate, to be licensed to Ono, in accordance with a mutually agreed upon research plan during a research term that will end upon the earlier of the date of the first submission of an Investigational New Drug application (“IND”) in the United States or Japan, or the end of the research term. In the event that Ono elects to collaborate on the subsequent development and commercialization of the proposed product candidate, Ono will be then responsible for such activities in Japan, South Korea, Taiwan, Hong-Kong, Macau and the Association of Southeast Asian Nations (collectively, the “Ono territory”), and the Company will be responsible for all such activities in the rest of the world outside the Ono territory, including the United States, Canada and European Union.</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terms of the Ono Agreement, the Company received non-refundable upfront payments of ¥900 million ($8,142), consisting of an initial upfront fee payment of ¥110 million ($995) and an initial upfront research service payment of ¥790 million ($7,147). Additionally, in connection with the research activities to be conducted pursuant to the Ono Agreement, the Company is eligible to receive additional research service payments of up to an aggregate of ¥750 million ($6,878) upon the occurrence of certain specified research triggers. The Company is also entitled to receive clinical, regulatory and commercial milestone payments of up to ¥17.21 billion ($157,818) in the aggregate, plus a tiered percentage royalty on annual net sales in Ono’s Territory ranging from high-single digits to low teens, subject to certain specified reductions. All future milestone payments and royalties are payable in USD. Additionally, upon election by Ono to collaborate on the proposed product candidate, Ono shall be responsible for a specified percentage of research and development costs for the IND-enabling studies of the selected product candidate.</w:t>
      </w:r>
    </w:p>
    <w:p>
      <w:pPr>
        <w:spacing w:after="0" w:line="17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assessed the arrangement in accordance with ASC 606 and concluded that Ono is a customer based on the arrangement structure. The Company identified a single performance obligation under the arrangement consisting of the combination of the license to develop and commercialize a selected product candidate targeting Polq and associated research services.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determined that the license and research services are not distinct within the context of the contract, and the license is the predominant good or service. Accordingly, revenue is recognized in accordance with guidance for licenses, and because the license represents functional IP, it is recognized at the point in time control of the license is transferred.</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determined that the transaction price at the onset of the arrangement is the total upfront payments received in the aggregate amount of $8,142 which is recorded as deferred revenue as of December 31, 2019. The future milestone payments represent variable consideration that is fully constrained at inception of the arrangement as the achievement of the milestone events are highly uncertain. The Company will reevaluate the likelihood of achievement of the milestones at the end of each reporting period and as uncertain events are resolved or other changes in circumstances occur, and, if necessary, adjust its estimate of the transaction price.</w:t>
      </w:r>
    </w:p>
    <w:p>
      <w:pPr>
        <w:spacing w:after="0" w:line="292" w:lineRule="exact"/>
        <w:rPr>
          <w:sz w:val="20"/>
          <w:szCs w:val="20"/>
          <w:color w:val="auto"/>
        </w:rPr>
      </w:pPr>
    </w:p>
    <w:p>
      <w:pPr>
        <w:ind w:right="8820" w:firstLine="8"/>
        <w:spacing w:after="0" w:line="378" w:lineRule="auto"/>
        <w:tabs>
          <w:tab w:leader="none" w:pos="2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Option Plan</w:t>
      </w:r>
    </w:p>
    <w:p>
      <w:pPr>
        <w:ind w:right="80"/>
        <w:spacing w:after="0" w:line="259"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stock options and other share-based awards to directors, officers, employees or consultants. The Option Plan authorized up to 4,074,135 shares of the Company’s common shares to be issued. At December 31, 2019, there were 569,016 shares available for future grant under the Option Plan.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Option Plan is administered by the board of directors. The exercise prices, vesting and other restrictions are determined by the board of directors, except that the exercise price per share of stock option may not be less than 100% of the fair value of the common share on the date of grant. Stock options awarded under the Option Plan expire 10 years after the grant and generally have vesting conditions of 25% on the first anniversary of the date of grant and 75% on a monthly basis at a rate of 1/36</w:t>
      </w:r>
      <w:r>
        <w:rPr>
          <w:rFonts w:ascii="Arial" w:cs="Arial" w:eastAsia="Arial" w:hAnsi="Arial"/>
          <w:sz w:val="15"/>
          <w:szCs w:val="15"/>
          <w:color w:val="auto"/>
        </w:rPr>
        <w:t>th</w:t>
      </w:r>
      <w:r>
        <w:rPr>
          <w:rFonts w:ascii="Arial" w:cs="Arial" w:eastAsia="Arial" w:hAnsi="Arial"/>
          <w:sz w:val="18"/>
          <w:szCs w:val="18"/>
          <w:color w:val="auto"/>
        </w:rPr>
        <w:t xml:space="preserve"> unless otherwise decided by the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assumptions that the Company used in the Black Scholes option-pricing model to determine the grant date fair value of stock options granted to employees and non-employees were as follows, presented on a weighted-average basis: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16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680" w:type="dxa"/>
            <w:vAlign w:val="bottom"/>
            <w:gridSpan w:val="3"/>
          </w:tcPr>
          <w:p>
            <w:pPr>
              <w:jc w:val="right"/>
              <w:ind w:right="460"/>
              <w:spacing w:after="0"/>
              <w:rPr>
                <w:sz w:val="20"/>
                <w:szCs w:val="20"/>
                <w:color w:val="auto"/>
              </w:rPr>
            </w:pPr>
            <w:r>
              <w:rPr>
                <w:rFonts w:ascii="Arial" w:cs="Arial" w:eastAsia="Arial" w:hAnsi="Arial"/>
                <w:sz w:val="18"/>
                <w:szCs w:val="18"/>
                <w:color w:val="auto"/>
              </w:rPr>
              <w:t>6.08</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6.08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67.77%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67.32%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71.41%</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680" w:type="dxa"/>
            <w:vAlign w:val="bottom"/>
            <w:gridSpan w:val="3"/>
          </w:tcPr>
          <w:p>
            <w:pPr>
              <w:jc w:val="right"/>
              <w:ind w:right="320"/>
              <w:spacing w:after="0"/>
              <w:rPr>
                <w:sz w:val="20"/>
                <w:szCs w:val="20"/>
                <w:color w:val="auto"/>
              </w:rPr>
            </w:pPr>
            <w:r>
              <w:rPr>
                <w:rFonts w:ascii="Arial" w:cs="Arial" w:eastAsia="Arial" w:hAnsi="Arial"/>
                <w:sz w:val="18"/>
                <w:szCs w:val="18"/>
                <w:color w:val="auto"/>
              </w:rPr>
              <w:t>0.00%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350"/>
        </w:trPr>
        <w:tc>
          <w:tcPr>
            <w:tcW w:w="3160" w:type="dxa"/>
            <w:vAlign w:val="bottom"/>
          </w:tcPr>
          <w:p>
            <w:pPr>
              <w:spacing w:after="0"/>
              <w:rPr>
                <w:sz w:val="24"/>
                <w:szCs w:val="24"/>
                <w:color w:val="auto"/>
              </w:rPr>
            </w:pPr>
          </w:p>
        </w:tc>
        <w:tc>
          <w:tcPr>
            <w:tcW w:w="4680" w:type="dxa"/>
            <w:vAlign w:val="bottom"/>
            <w:gridSpan w:val="3"/>
          </w:tcPr>
          <w:p>
            <w:pPr>
              <w:jc w:val="right"/>
              <w:ind w:right="2960"/>
              <w:spacing w:after="0"/>
              <w:rPr>
                <w:sz w:val="20"/>
                <w:szCs w:val="20"/>
                <w:color w:val="auto"/>
              </w:rPr>
            </w:pPr>
            <w:r>
              <w:rPr>
                <w:rFonts w:ascii="Arial" w:cs="Arial" w:eastAsia="Arial" w:hAnsi="Arial"/>
                <w:sz w:val="18"/>
                <w:szCs w:val="18"/>
                <w:color w:val="auto"/>
              </w:rPr>
              <w:t>F-27</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Weighted-</w:t>
            </w:r>
          </w:p>
        </w:tc>
        <w:tc>
          <w:tcPr>
            <w:tcW w:w="172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auto"/>
                <w:w w:val="92"/>
              </w:rPr>
              <w:t>Weighted-Average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Average</w:t>
            </w:r>
          </w:p>
        </w:tc>
        <w:tc>
          <w:tcPr>
            <w:tcW w:w="6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1180" w:type="dxa"/>
            <w:vAlign w:val="bottom"/>
            <w:gridSpan w:val="3"/>
          </w:tcPr>
          <w:p>
            <w:pPr>
              <w:ind w:left="300"/>
              <w:spacing w:after="0"/>
              <w:rPr>
                <w:sz w:val="20"/>
                <w:szCs w:val="20"/>
                <w:color w:val="auto"/>
              </w:rPr>
            </w:pPr>
            <w:r>
              <w:rPr>
                <w:rFonts w:ascii="Arial" w:cs="Arial" w:eastAsia="Arial" w:hAnsi="Arial"/>
                <w:sz w:val="14"/>
                <w:szCs w:val="14"/>
                <w:b w:val="1"/>
                <w:bCs w:val="1"/>
                <w:color w:val="auto"/>
                <w:w w:val="89"/>
              </w:rPr>
              <w:t>Exercise Price</w:t>
            </w:r>
          </w:p>
        </w:tc>
        <w:tc>
          <w:tcPr>
            <w:tcW w:w="6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580" w:type="dxa"/>
            <w:vAlign w:val="bottom"/>
            <w:gridSpan w:val="4"/>
          </w:tcPr>
          <w:p>
            <w:pPr>
              <w:ind w:left="6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822,658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822,658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1.81</w:t>
            </w:r>
          </w:p>
        </w:tc>
        <w:tc>
          <w:tcPr>
            <w:tcW w:w="6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95,014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(10,357)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907,315</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6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2,761,034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(163,230)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3,505,119</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as of December 31, 2018</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color w:val="auto"/>
              </w:rPr>
              <w:t>8.47</w:t>
            </w:r>
          </w:p>
        </w:tc>
        <w:tc>
          <w:tcPr>
            <w:tcW w:w="720" w:type="dxa"/>
            <w:vAlign w:val="bottom"/>
            <w:gridSpan w:val="2"/>
            <w:vMerge w:val="restart"/>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305,413</w:t>
            </w:r>
          </w:p>
        </w:tc>
        <w:tc>
          <w:tcPr>
            <w:tcW w:w="3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611,927</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Options unvested as of December 31, 2018</w:t>
            </w:r>
          </w:p>
        </w:tc>
        <w:tc>
          <w:tcPr>
            <w:tcW w:w="780" w:type="dxa"/>
            <w:vAlign w:val="bottom"/>
          </w:tcPr>
          <w:p>
            <w:pPr>
              <w:jc w:val="right"/>
              <w:spacing w:after="0"/>
              <w:rPr>
                <w:sz w:val="20"/>
                <w:szCs w:val="20"/>
                <w:color w:val="auto"/>
              </w:rPr>
            </w:pPr>
            <w:r>
              <w:rPr>
                <w:rFonts w:ascii="Arial" w:cs="Arial" w:eastAsia="Arial" w:hAnsi="Arial"/>
                <w:sz w:val="18"/>
                <w:szCs w:val="18"/>
                <w:color w:val="auto"/>
              </w:rPr>
              <w:t>601,902</w:t>
            </w:r>
          </w:p>
        </w:tc>
        <w:tc>
          <w:tcPr>
            <w:tcW w:w="34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Options unvested as of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2,893,192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shares for those stock options that had exercise prices lower than the fair value of the Company’s common shares.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grant date fair value of the Company’s stock options granted during the years ended December 31, 2017, 2018 and 2019 was $1.03, $1.33 and $1.27,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vested during the years ended December 31, 2017, 2018 and 2019 was $0, $314 and $284,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allocated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80" w:type="dxa"/>
            <w:vAlign w:val="bottom"/>
            <w:gridSpan w:val="2"/>
          </w:tcPr>
          <w:p>
            <w:pPr>
              <w:jc w:val="right"/>
              <w:ind w:right="1330"/>
              <w:spacing w:after="0"/>
              <w:rPr>
                <w:sz w:val="20"/>
                <w:szCs w:val="20"/>
                <w:color w:val="auto"/>
              </w:rPr>
            </w:pPr>
            <w:r>
              <w:rPr>
                <w:rFonts w:ascii="Arial" w:cs="Arial" w:eastAsia="Arial" w:hAnsi="Arial"/>
                <w:sz w:val="18"/>
                <w:szCs w:val="18"/>
                <w:color w:val="auto"/>
              </w:rPr>
              <w:t>F-28</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of December 31, 2017, 2018 and 2019, there was $814, $625 and $3,557 of unrecognized share-based compensation expense related to unvested stock options, respectively. The unrecognized share-based compensation expense is expected to be recognized over a weighted-average remaining vesting period of 3.5, 2.6 and 3.2 years at December 31, 2017, 2018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Loss before the provision for income taxes for the years ended December 31, 2017, 2018 and 2019 consisted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$(7,208)</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(27,355)</w:t>
            </w:r>
          </w:p>
        </w:tc>
        <w:tc>
          <w:tcPr>
            <w:tcW w:w="12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Foreign</w:t>
            </w:r>
          </w:p>
        </w:tc>
        <w:tc>
          <w:tcPr>
            <w:tcW w:w="2960" w:type="dxa"/>
            <w:vAlign w:val="bottom"/>
          </w:tcPr>
          <w:p>
            <w:pPr>
              <w:spacing w:after="0"/>
              <w:rPr>
                <w:sz w:val="18"/>
                <w:szCs w:val="18"/>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8"/>
                <w:szCs w:val="18"/>
                <w:color w:val="auto"/>
              </w:rPr>
              <w:t>(588)</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r>
      <w:tr>
        <w:trPr>
          <w:trHeight w:val="27"/>
        </w:trPr>
        <w:tc>
          <w:tcPr>
            <w:tcW w:w="3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520" w:type="dxa"/>
            <w:vAlign w:val="bottom"/>
            <w:shd w:val="clear" w:color="auto" w:fill="CCEEFF"/>
          </w:tcPr>
          <w:p>
            <w:pPr>
              <w:spacing w:after="0"/>
              <w:rPr>
                <w:sz w:val="18"/>
                <w:szCs w:val="18"/>
                <w:color w:val="auto"/>
              </w:rPr>
            </w:pPr>
          </w:p>
        </w:tc>
        <w:tc>
          <w:tcPr>
            <w:tcW w:w="400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(7,796)</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(27,021)</w:t>
            </w:r>
          </w:p>
        </w:tc>
      </w:tr>
      <w:tr>
        <w:trPr>
          <w:trHeight w:val="20"/>
        </w:trPr>
        <w:tc>
          <w:tcPr>
            <w:tcW w:w="3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between tax expense and the product of accounting income multiplied by the statutory income tax rate for years ended December 31, 2017, 2018 and 2019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(7,796)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(14,248)</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(27,021)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at statutory rate</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Computed income tax recovery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Effect on income tax resulting from:</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Federal investment tax credit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Accounting charges not deductible for tax purposes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2,525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3,515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2019, the Company had tax losses of approximately $31,481, which are available to offset future taxable income in Canada. The Company has not recognized the tax benefit of these losses. These losses expire as follows:</w:t>
      </w:r>
    </w:p>
    <w:p>
      <w:pPr>
        <w:spacing w:after="0" w:line="212"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82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w w:val="84"/>
              </w:rPr>
              <w:t>2039</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$ 19,550</w:t>
            </w:r>
          </w:p>
        </w:tc>
        <w:tc>
          <w:tcPr>
            <w:tcW w:w="60" w:type="dxa"/>
            <w:vAlign w:val="bottom"/>
            <w:shd w:val="clear" w:color="auto" w:fill="CCEEFF"/>
          </w:tcPr>
          <w:p>
            <w:pPr>
              <w:spacing w:after="0"/>
              <w:rPr>
                <w:sz w:val="18"/>
                <w:szCs w:val="18"/>
                <w:color w:val="auto"/>
              </w:rPr>
            </w:pPr>
          </w:p>
        </w:tc>
      </w:tr>
      <w:tr>
        <w:trPr>
          <w:trHeight w:val="216"/>
        </w:trPr>
        <w:tc>
          <w:tcPr>
            <w:tcW w:w="3820" w:type="dxa"/>
            <w:vAlign w:val="bottom"/>
          </w:tcPr>
          <w:p>
            <w:pPr>
              <w:jc w:val="right"/>
              <w:ind w:right="3370"/>
              <w:spacing w:after="0"/>
              <w:rPr>
                <w:sz w:val="20"/>
                <w:szCs w:val="20"/>
                <w:color w:val="auto"/>
              </w:rPr>
            </w:pPr>
            <w:r>
              <w:rPr>
                <w:rFonts w:ascii="Arial" w:cs="Arial" w:eastAsia="Arial" w:hAnsi="Arial"/>
                <w:sz w:val="18"/>
                <w:szCs w:val="18"/>
                <w:color w:val="auto"/>
                <w:w w:val="84"/>
              </w:rPr>
              <w:t>2038</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6,460</w:t>
            </w:r>
          </w:p>
        </w:tc>
        <w:tc>
          <w:tcPr>
            <w:tcW w:w="60" w:type="dxa"/>
            <w:vAlign w:val="bottom"/>
          </w:tcPr>
          <w:p>
            <w:pPr>
              <w:spacing w:after="0"/>
              <w:rPr>
                <w:sz w:val="18"/>
                <w:szCs w:val="18"/>
                <w:color w:val="auto"/>
              </w:rPr>
            </w:pPr>
          </w:p>
        </w:tc>
      </w:tr>
      <w:tr>
        <w:trPr>
          <w:trHeight w:val="216"/>
        </w:trPr>
        <w:tc>
          <w:tcPr>
            <w:tcW w:w="382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w w:val="84"/>
              </w:rPr>
              <w:t>2037</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60" w:type="dxa"/>
            <w:vAlign w:val="bottom"/>
            <w:shd w:val="clear" w:color="auto" w:fill="CCEEFF"/>
          </w:tcPr>
          <w:p>
            <w:pPr>
              <w:spacing w:after="0"/>
              <w:rPr>
                <w:sz w:val="18"/>
                <w:szCs w:val="18"/>
                <w:color w:val="auto"/>
              </w:rPr>
            </w:pPr>
          </w:p>
        </w:tc>
      </w:tr>
      <w:tr>
        <w:trPr>
          <w:trHeight w:val="223"/>
        </w:trPr>
        <w:tc>
          <w:tcPr>
            <w:tcW w:w="3820" w:type="dxa"/>
            <w:vAlign w:val="bottom"/>
          </w:tcPr>
          <w:p>
            <w:pPr>
              <w:jc w:val="right"/>
              <w:ind w:right="3370"/>
              <w:spacing w:after="0"/>
              <w:rPr>
                <w:sz w:val="20"/>
                <w:szCs w:val="20"/>
                <w:color w:val="auto"/>
              </w:rPr>
            </w:pPr>
            <w:r>
              <w:rPr>
                <w:rFonts w:ascii="Arial" w:cs="Arial" w:eastAsia="Arial" w:hAnsi="Arial"/>
                <w:sz w:val="18"/>
                <w:szCs w:val="18"/>
                <w:color w:val="auto"/>
                <w:w w:val="84"/>
              </w:rPr>
              <w:t>2036</w:t>
            </w:r>
          </w:p>
        </w:tc>
        <w:tc>
          <w:tcPr>
            <w:tcW w:w="3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r>
      <w:tr>
        <w:trPr>
          <w:trHeight w:val="216"/>
        </w:trPr>
        <w:tc>
          <w:tcPr>
            <w:tcW w:w="3820" w:type="dxa"/>
            <w:vAlign w:val="bottom"/>
            <w:shd w:val="clear" w:color="auto" w:fill="CCEEFF"/>
          </w:tcPr>
          <w:p>
            <w:pPr>
              <w:jc w:val="right"/>
              <w:ind w:right="3010"/>
              <w:spacing w:after="0"/>
              <w:rPr>
                <w:sz w:val="20"/>
                <w:szCs w:val="20"/>
                <w:color w:val="auto"/>
              </w:rPr>
            </w:pPr>
            <w:r>
              <w:rPr>
                <w:rFonts w:ascii="Arial" w:cs="Arial" w:eastAsia="Arial" w:hAnsi="Arial"/>
                <w:sz w:val="18"/>
                <w:szCs w:val="18"/>
                <w:color w:val="auto"/>
              </w:rPr>
              <w:t>Total</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$ 31,481</w:t>
            </w:r>
          </w:p>
        </w:tc>
        <w:tc>
          <w:tcPr>
            <w:tcW w:w="6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December 31, 2019, the Company had Scientific Research and Experimental Development (“SR&amp;ED”) expenditures of approximately $15,829, respectively, for Canadian federal and Quebec purposes, which have not been deducted. These expenditures are available to reduce future taxable income and have an unlimited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carryforward period. SR&amp;ED expenditures are subject to verification by the tax authorities and, accordingly, the amounts may vary.</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2019, the Company had non-refundable Canadian federal investment tax credits of approximately $2,553, which may be utilized to reduce Canadian federal income taxes payable. The Company has not recognized the tax benefits related to the non-refundable investment tax credits. The investment tax credits expire as follows:</w:t>
      </w:r>
    </w:p>
    <w:p>
      <w:pPr>
        <w:spacing w:after="0" w:line="225"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700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w w:val="84"/>
              </w:rPr>
              <w:t>2039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60" w:type="dxa"/>
            <w:vAlign w:val="bottom"/>
            <w:shd w:val="clear" w:color="auto" w:fill="CCEEFF"/>
          </w:tcPr>
          <w:p>
            <w:pPr>
              <w:spacing w:after="0"/>
              <w:rPr>
                <w:sz w:val="18"/>
                <w:szCs w:val="18"/>
                <w:color w:val="auto"/>
              </w:rPr>
            </w:pPr>
          </w:p>
        </w:tc>
      </w:tr>
      <w:tr>
        <w:trPr>
          <w:trHeight w:val="216"/>
        </w:trPr>
        <w:tc>
          <w:tcPr>
            <w:tcW w:w="7000" w:type="dxa"/>
            <w:vAlign w:val="bottom"/>
          </w:tcPr>
          <w:p>
            <w:pPr>
              <w:jc w:val="right"/>
              <w:ind w:right="6550"/>
              <w:spacing w:after="0"/>
              <w:rPr>
                <w:sz w:val="20"/>
                <w:szCs w:val="20"/>
                <w:color w:val="auto"/>
              </w:rPr>
            </w:pPr>
            <w:r>
              <w:rPr>
                <w:rFonts w:ascii="Arial" w:cs="Arial" w:eastAsia="Arial" w:hAnsi="Arial"/>
                <w:sz w:val="18"/>
                <w:szCs w:val="18"/>
                <w:color w:val="auto"/>
                <w:w w:val="84"/>
              </w:rPr>
              <w:t>2038</w:t>
            </w:r>
          </w:p>
        </w:tc>
        <w:tc>
          <w:tcPr>
            <w:tcW w:w="5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w w:val="84"/>
              </w:rPr>
              <w:t>2037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CEEFF"/>
          </w:tcPr>
          <w:p>
            <w:pPr>
              <w:spacing w:after="0"/>
              <w:rPr>
                <w:sz w:val="18"/>
                <w:szCs w:val="18"/>
                <w:color w:val="auto"/>
              </w:rPr>
            </w:pPr>
          </w:p>
        </w:tc>
      </w:tr>
      <w:tr>
        <w:trPr>
          <w:trHeight w:val="223"/>
        </w:trPr>
        <w:tc>
          <w:tcPr>
            <w:tcW w:w="7000" w:type="dxa"/>
            <w:vAlign w:val="bottom"/>
          </w:tcPr>
          <w:p>
            <w:pPr>
              <w:jc w:val="right"/>
              <w:ind w:right="6550"/>
              <w:spacing w:after="0"/>
              <w:rPr>
                <w:sz w:val="20"/>
                <w:szCs w:val="20"/>
                <w:color w:val="auto"/>
              </w:rPr>
            </w:pPr>
            <w:r>
              <w:rPr>
                <w:rFonts w:ascii="Arial" w:cs="Arial" w:eastAsia="Arial" w:hAnsi="Arial"/>
                <w:sz w:val="18"/>
                <w:szCs w:val="18"/>
                <w:color w:val="auto"/>
                <w:w w:val="84"/>
              </w:rPr>
              <w:t>2036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216"/>
        </w:trPr>
        <w:tc>
          <w:tcPr>
            <w:tcW w:w="7000" w:type="dxa"/>
            <w:vAlign w:val="bottom"/>
            <w:shd w:val="clear" w:color="auto" w:fill="CCEEFF"/>
          </w:tcPr>
          <w:p>
            <w:pPr>
              <w:jc w:val="right"/>
              <w:ind w:right="619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60" w:type="dxa"/>
            <w:vAlign w:val="bottom"/>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for the years ended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6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research and development expenditures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1,830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4,195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federal investment tax credits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Tax basis of property and equipment in excess of carrying values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Accrued expense and other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7"/>
        </w:trPr>
        <w:tc>
          <w:tcPr>
            <w:tcW w:w="5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5,810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14,557</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(5,810)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(14,425)</w:t>
            </w:r>
          </w:p>
        </w:tc>
        <w:tc>
          <w:tcPr>
            <w:tcW w:w="100" w:type="dxa"/>
            <w:vAlign w:val="bottom"/>
          </w:tcPr>
          <w:p>
            <w:pPr>
              <w:spacing w:after="0"/>
              <w:rPr>
                <w:sz w:val="20"/>
                <w:szCs w:val="20"/>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0"/>
        </w:trPr>
        <w:tc>
          <w:tcPr>
            <w:tcW w:w="5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files income tax returns in Canada and in the United States. In the normal course of business, the Company could be subject to examination by federal and provincial or state jurisdictions, where applicable. There are currently no pending tax examinations. The Company may be subject to tax examination for 2016, 2017, 2018 and 2019 due to unexpired statute of limitation periods.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laws and regulations for both federal taxes and the provinces and states in which the Company operates or does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records uncertain tax positions as liabilities in accordance with ASC 740 and adjusts these liabilities when the Company’s judgment changes as a result of the evaluation of new information not previously available. Because of the complexity of some of these uncertainties, the ultimate resolution may result in a payment that is materially different from the current estimate of the unrecognized tax benefit liabilities. These differences will be reflected as increases or decreases to income tax expense in the period in which new</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320" w:top="459" w:right="3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information is available. As of December 31, 2018 and 2019, no uncertain tax positions have been recorded in the consolidated financial statements.</w:t>
      </w:r>
    </w:p>
    <w:p>
      <w:pPr>
        <w:spacing w:after="0" w:line="23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and comprehensive loss. As of December 31, 2018 and 2019, no accrued interest or penalties are included on the related tax liability line in the consolidated balance sheet.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and Unaudited Pro Forma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(7,796)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(14,283)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 common shares outstanding—basic</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1,522,544</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7"/>
              </w:rPr>
              <w:t>1,528,374</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1,528,374</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(5.12)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potentially dilutive securities, which include Convertible Preferred Shares and stock options,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62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5"/>
              </w:rPr>
              <w:t>Year Ended 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11,090,135</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10,468,258</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822,658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907,315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3,505,119</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2019, or the date of issuance, if later.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320" w:top="459" w:right="3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basic and diluted net loss per share attributable to common shareholders was calculated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8400" w:type="dxa"/>
            <w:vAlign w:val="bottom"/>
          </w:tcPr>
          <w:p>
            <w:pPr>
              <w:spacing w:after="0"/>
              <w:rPr>
                <w:sz w:val="14"/>
                <w:szCs w:val="14"/>
                <w:color w:val="auto"/>
              </w:rPr>
            </w:pPr>
          </w:p>
        </w:tc>
        <w:tc>
          <w:tcPr>
            <w:tcW w:w="102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8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(27,216)</w:t>
            </w: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Reversal of the change in fair value of the Series A Tranche Obligation due to the assumed conversion of</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convertible preferred shares to common shares upon the completion of the proposed initial public offering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1,350</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1,528,374</w:t>
            </w: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 forma adjustment to reflect assumed conversion of convertible preferred shares to common shares upon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completion of the proposed initial public offering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14,262,257</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15,790,631</w:t>
            </w:r>
          </w:p>
        </w:tc>
        <w:tc>
          <w:tcPr>
            <w:tcW w:w="12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Government Assistance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incurred research and development expenditures which are eligible for investment tax credits. The investment tax credits recorded are based on management’s estimates of amounts expected to be recovered and are subject to audit by the taxation authorities. These amounts have been recorded as a reduction of research and development expenditures for an amount of $162, $330 and $566 for the years ended December 31, 2017, 2018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25, 2019, the Company entered into an agreement with The Broad Institute, Inc. (“Broad”). Broad will perform specialty screening services at the Company’s request over the course of a three-year term. In exchange for the specialty screening services, the Company will pay Broad $500 per year, beginning on February 25, 2019, for a total of $1,500.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commitments for the Broad and other agreements as of December 31, 2019 are as follows:</w:t>
      </w:r>
    </w:p>
    <w:p>
      <w:pPr>
        <w:spacing w:after="0" w:line="244"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r>
      <w:tr>
        <w:trPr>
          <w:trHeight w:val="223"/>
        </w:trPr>
        <w:tc>
          <w:tcPr>
            <w:tcW w:w="1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1,125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520" w:type="dxa"/>
            <w:vAlign w:val="bottom"/>
            <w:gridSpan w:val="2"/>
          </w:tcPr>
          <w:p>
            <w:pPr>
              <w:jc w:val="right"/>
              <w:ind w:right="3107"/>
              <w:spacing w:after="0"/>
              <w:rPr>
                <w:sz w:val="20"/>
                <w:szCs w:val="20"/>
                <w:color w:val="auto"/>
              </w:rPr>
            </w:pPr>
            <w:r>
              <w:rPr>
                <w:rFonts w:ascii="Arial" w:cs="Arial" w:eastAsia="Arial" w:hAnsi="Arial"/>
                <w:sz w:val="18"/>
                <w:szCs w:val="18"/>
                <w:color w:val="auto"/>
              </w:rPr>
              <w:t>F-32</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Currency Risk</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is exposed to the financial risk related to the fluctuation of foreign exchange rates and the degree of volatility of those rates. The foreign currency risk is limited to the portion of the Company’s business transactions denominated in currency other than USD.</w:t>
      </w:r>
    </w:p>
    <w:p>
      <w:pPr>
        <w:spacing w:after="0" w:line="14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Company incurs a portion of its expenses in Canadian dollars, as well as other currencies to a lesser extent. A change in the currency exchange rates between the USD relative to the Canadian dollar could have a significant effect on the Company’s results of operations, financial position or cash flows. The Company does not enter into arrangements to hedge its currency risk exposure, although it maintains expected Canadian dollar cash requirements in Canadian dollars to form a natural hedge.</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is exposed to currency risk through its cash, research and development tax credits receivable, other receivables, accounts payable and accrued expenses and other current liabilities denominated in thousands of Canadian dollars as follows: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$6,142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$29,983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Restricted cash</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270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 receivable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receivables</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800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(183)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7"/>
        </w:trPr>
        <w:tc>
          <w:tcPr>
            <w:tcW w:w="6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financial position exposure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6,861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32,913</w:t>
            </w:r>
          </w:p>
        </w:tc>
      </w:tr>
      <w:tr>
        <w:trPr>
          <w:trHeight w:val="20"/>
        </w:trPr>
        <w:tc>
          <w:tcPr>
            <w:tcW w:w="6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above net exposure at December 31, 2019, and assuming that all other variables remain constant, a 10% depreciation of the USD against the Canadian dollar would result in an increase of $2,304 in the Company’s net loss for the year ended December 31, 2019.</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is also exposed to currency risk through the Ono Agreement as future payments receivable under its collaboration with Ono,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Details of transactions between the Company and other related parties are disclosed below and in other notes according to the nature of the transactions. All transactions are measured at the exchange amount, which is the amount of consideration determined and agreed to by the related parties.</w:t>
      </w:r>
    </w:p>
    <w:p>
      <w:pPr>
        <w:spacing w:after="0" w:line="12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For the years ended December 31, 2017, 2018 and 2019, the Company recorded expenses of $0, $322 and $1,271, respectively, for research services and rent paid by the Company to entities affiliated with a shareholder. As of December 31, 2017, 2018 and 2019, there was a total of $0, $122 and $170, respectively, in accounts payable and accrued expenses and other current liabilities owed to an entity affiliated with a shareholder.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320" w:top="459" w:right="3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property and equipment, net by location as of December 31, 2018 and 2019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spacing w:after="0"/>
              <w:rPr>
                <w:sz w:val="18"/>
                <w:szCs w:val="18"/>
                <w:color w:val="auto"/>
              </w:rPr>
            </w:pPr>
          </w:p>
        </w:tc>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The Company’s right-of-use assets by location were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409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625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right-of-use assets,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Subsequent events have been evaluated through the date of filing of this prospectus. The Company has concluded that no subsequent events have occurred that require disclosure, except as disclosed within these consolidated financial statements and as described below.</w:t>
      </w:r>
    </w:p>
    <w:p>
      <w:pPr>
        <w:spacing w:after="0" w:line="197"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Subsequent events through April 3, 2020:</w:t>
      </w:r>
    </w:p>
    <w:p>
      <w:pPr>
        <w:spacing w:after="0" w:line="225" w:lineRule="exact"/>
        <w:rPr>
          <w:rFonts w:ascii="Arial" w:cs="Arial" w:eastAsia="Arial" w:hAnsi="Arial"/>
          <w:sz w:val="18"/>
          <w:szCs w:val="18"/>
          <w:color w:val="auto"/>
        </w:rPr>
      </w:pPr>
    </w:p>
    <w:p>
      <w:pPr>
        <w:ind w:left="460" w:right="280"/>
        <w:spacing w:after="0" w:line="277" w:lineRule="auto"/>
        <w:rPr>
          <w:rFonts w:ascii="Arial" w:cs="Arial" w:eastAsia="Arial" w:hAnsi="Arial"/>
          <w:sz w:val="18"/>
          <w:szCs w:val="18"/>
          <w:color w:val="auto"/>
        </w:rPr>
      </w:pPr>
      <w:r>
        <w:rPr>
          <w:rFonts w:ascii="Arial" w:cs="Arial" w:eastAsia="Arial" w:hAnsi="Arial"/>
          <w:sz w:val="18"/>
          <w:szCs w:val="18"/>
          <w:color w:val="auto"/>
        </w:rPr>
        <w:t>In the first quarter of 2020, an aggregate of 181,318 options were exercised at a weighted average exercise price of $1.79 per share, for aggregate proceeds of $324.</w:t>
      </w:r>
    </w:p>
    <w:p>
      <w:pPr>
        <w:spacing w:after="0" w:line="170"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On April 2, 2020, the board of directors of the Company authorized the issuance of an aggregate of 51,139 stock options to employees, at an exercise price of $5.15 per share.</w:t>
      </w:r>
    </w:p>
    <w:p>
      <w:pPr>
        <w:spacing w:after="0" w:line="170" w:lineRule="exact"/>
        <w:rPr>
          <w:rFonts w:ascii="Arial" w:cs="Arial" w:eastAsia="Arial" w:hAnsi="Arial"/>
          <w:sz w:val="18"/>
          <w:szCs w:val="18"/>
          <w:color w:val="auto"/>
        </w:rPr>
      </w:pPr>
    </w:p>
    <w:p>
      <w:pPr>
        <w:ind w:left="460" w:right="300"/>
        <w:spacing w:after="0" w:line="259" w:lineRule="auto"/>
        <w:rPr>
          <w:rFonts w:ascii="Arial" w:cs="Arial" w:eastAsia="Arial" w:hAnsi="Arial"/>
          <w:sz w:val="18"/>
          <w:szCs w:val="18"/>
          <w:color w:val="auto"/>
        </w:rPr>
      </w:pPr>
      <w:r>
        <w:rPr>
          <w:rFonts w:ascii="Arial" w:cs="Arial" w:eastAsia="Arial" w:hAnsi="Arial"/>
          <w:sz w:val="18"/>
          <w:szCs w:val="18"/>
          <w:color w:val="auto"/>
        </w:rPr>
        <w:t>In March 2020, the Company executed a strategic collaboration with The University of Texas M. D. Anderson Cancer Center (“MDACC”), a comprehensive cancer research, treatment and prevention center. The collaboration will consist of preclinical and clinical studies designed by the Company and MDACC with the research completed by MDACC. The Company has agreed to commit a total of $10,000 in funding for the performance of the study over a period of five years.</w:t>
      </w:r>
    </w:p>
    <w:p>
      <w:pPr>
        <w:spacing w:after="0" w:line="213"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Subsequent events through June 15, 2020:</w:t>
      </w:r>
    </w:p>
    <w:p>
      <w:pPr>
        <w:spacing w:after="0" w:line="2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Reverse Stock Split</w:t>
      </w:r>
    </w:p>
    <w:p>
      <w:pPr>
        <w:spacing w:after="0" w:line="121" w:lineRule="exact"/>
        <w:rPr>
          <w:rFonts w:ascii="Arial" w:cs="Arial" w:eastAsia="Arial" w:hAnsi="Arial"/>
          <w:sz w:val="18"/>
          <w:szCs w:val="18"/>
          <w:color w:val="auto"/>
        </w:rPr>
      </w:pPr>
    </w:p>
    <w:p>
      <w:pPr>
        <w:ind w:left="460"/>
        <w:spacing w:after="0" w:line="293" w:lineRule="auto"/>
        <w:rPr>
          <w:rFonts w:ascii="Arial" w:cs="Arial" w:eastAsia="Arial" w:hAnsi="Arial"/>
          <w:sz w:val="18"/>
          <w:szCs w:val="18"/>
          <w:color w:val="auto"/>
        </w:rPr>
      </w:pPr>
      <w:r>
        <w:rPr>
          <w:rFonts w:ascii="Arial" w:cs="Arial" w:eastAsia="Arial" w:hAnsi="Arial"/>
          <w:sz w:val="16"/>
          <w:szCs w:val="16"/>
          <w:color w:val="auto"/>
        </w:rPr>
        <w:t>On June 10, 2020, the Company’s shareholders and board of directors approved an amendment to the Company’s articles of amendment to effect a 1-for-6.062 reverse stock split of the Company’s common shares, Series A Preferred Shares and Series B Preferred Shares. The Company’s outstanding stock options were also adjusted to reflect the 1-for-6.062 reverse stock split of the Company’s common shares. Accordingly, all common shares, Series A Preferred Shares, Series B Preferred Shares, stock options and per share amounts in these consolidated financial statements have been retroactively adjusted for all periods presented to give effect to the reverse stock split. Outstanding stock options were proportionately reduced and the respective exercise prices, if applicable, were proportionately increased. The reverse stock split was effected on June 12, 2020.</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00"/>
          </w:cols>
          <w:pgMar w:left="320" w:top="459" w:right="3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60" w:right="20"/>
        <w:spacing w:after="0" w:line="269" w:lineRule="auto"/>
        <w:rPr>
          <w:sz w:val="20"/>
          <w:szCs w:val="20"/>
          <w:color w:val="auto"/>
        </w:rPr>
      </w:pPr>
      <w:r>
        <w:rPr>
          <w:rFonts w:ascii="Arial" w:cs="Arial" w:eastAsia="Arial" w:hAnsi="Arial"/>
          <w:sz w:val="17"/>
          <w:szCs w:val="17"/>
          <w:color w:val="auto"/>
        </w:rPr>
        <w:t>The Company’s 2020 Equity Incentive Plan (the “2020 Plan”) was approved by the Company’s shareholders and board of directors on June 10, 2020, and will become effective upon the effectiveness of this prospectus. The 2020 Plan will replace the Option Plan as the board of directors determined not to make additional awards under the Option Plan following the effectiveness of this prospectus. The 2020 Plan allows the Company’s compensation committee to make equity-based and cash-based incentive awards to our officers, employees, directors and other key persons (including consultants). The Company initially reserved up to 3,600,000 new common shares for issuance under the 2020 Plan, plus the number of shares (not to exceed 3,807,448 shares) (i) that remain available for the issuance of awards under the Option Plan at the time the 2020 Plan becomes effective, and (ii) any shares subject to outstanding options or other share awards that were granted under the Option Plan that terminate or expire prior to exercise or settlement; are forfeited because of the failure to vest; or are reacquired or withheld (or not issued) to satisfy a tax withholding obligation or the purchase or exercise price. The 2020 Plan provides that the number of shares reserved and available for issuance under the plan will automatically increase each January 1, beginning on January 1, 2021 and each January 1 thereafter through January 31, 2030, by 5% of the outstanding number of common shares on the immediately preceding December 31, or such lesser number of shares as determined by our board of directors.</w:t>
      </w:r>
    </w:p>
    <w:p>
      <w:pPr>
        <w:spacing w:after="0" w:line="71"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In May 2020, the board of directors of the Company authorized the issuance of an aggregate of 227,234 stock options to employees at a weighted average exercise price of $9.38.</w:t>
      </w:r>
    </w:p>
    <w:p>
      <w:pPr>
        <w:spacing w:after="0" w:line="62"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In May and June 2020, an aggregate of 85,369 options were exercised at a weighted average exercise price of $1.92 per share, for aggregate proceeds of $164.</w:t>
      </w:r>
    </w:p>
    <w:p>
      <w:pPr>
        <w:spacing w:after="0" w:line="62" w:lineRule="exact"/>
        <w:rPr>
          <w:sz w:val="20"/>
          <w:szCs w:val="20"/>
          <w:color w:val="auto"/>
        </w:rPr>
      </w:pPr>
    </w:p>
    <w:p>
      <w:pPr>
        <w:jc w:val="both"/>
        <w:ind w:left="460" w:right="420"/>
        <w:spacing w:after="0" w:line="263" w:lineRule="auto"/>
        <w:rPr>
          <w:sz w:val="20"/>
          <w:szCs w:val="20"/>
          <w:color w:val="auto"/>
        </w:rPr>
      </w:pPr>
      <w:r>
        <w:rPr>
          <w:rFonts w:ascii="Arial" w:cs="Arial" w:eastAsia="Arial" w:hAnsi="Arial"/>
          <w:sz w:val="18"/>
          <w:szCs w:val="18"/>
          <w:color w:val="auto"/>
        </w:rPr>
        <w:t>Contingent and effective upon the execution of the underwriting agreement for the Company’s initial public offering, in June 2020 the board of directors of the Company authorized the issuance of an aggregate of 590,702 stock options to employees, at an exercise price equal to the initial public offering price per share.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2020 Employee Share Purchase Plan</w:t>
      </w:r>
    </w:p>
    <w:p>
      <w:pPr>
        <w:spacing w:after="0" w:line="12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2020 Employee Share Purchase Plan (the “ESPP”) was approved by the Company’s shareholders and board of directors on June 10, 2020, and will become effective upon the effectiveness of this prospectus. The ESPP initially reserved and authorized the issuance of up to 327,000 common shares to participating employees. The ESPP provides that the number of shares reserved and available for issuance will automatically increase each January 1, beginning on January 1, 2021 and each January 1 thereafter through January 31, 2030, by the lesser of 1.0% of the total number of common shares outstanding on December 31 of the preceding calendar year, 3,300,000 common shares, or such smaller number of common shares as the board of directors may designate.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Collaboration and License Agreement</w:t>
      </w:r>
    </w:p>
    <w:p>
      <w:pPr>
        <w:spacing w:after="0" w:line="121"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color w:val="auto"/>
        </w:rPr>
        <w:t>In May 2020, the Company entered into a collaboration and license agreement with Bristol-Myers Squibb Company, or Bristol Myers Squibb, pursuant to which the Company and Bristol Myers Squibb have agreed to collaborate in the research and development of potential new product candidates for the treatment of cancer. Bristol Myers Squibb paid the Company an initial upfront fee payment of $50,000 in June 2020. The Company is entitled to receive up to $301,000 in total milestones on a program-by-program basis, consisting of $176,000 in the aggregate for certain specified research, development and regulatory milestones and $125,000 in the aggregate for certain specified commercial milestones. The Company is also entitled to a tiered percentage royalty on annual net sales ranging from high-single digits to low-double digits, subject to certain specified reductions. In conjunction with the collaboration and license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59" w:right="3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the Company entered into a warrant agreement with an affiliate of Bristol Myers Squibb pursuant to which the Company issued a warrant for total proceeds of $15,000. This warrant will automatically convert into common shares at the subscription price of $15,000 divided by the initial public offering price of the Company’s common shares in an initial public offering; provided that, in the event that the initial public offering is not consummated by December 31, 2020, the warrant will be automatically exercised for a specified number of preferred shares.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980"/>
          </w:cols>
          <w:pgMar w:left="320" w:top="459" w:right="5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906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94,797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Research and development tax credits receivable</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98,572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87,885</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102,695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93,569</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SHARES AND SHAREHOLDERS’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2,127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15,707</w:t>
            </w:r>
          </w:p>
        </w:tc>
        <w:tc>
          <w:tcPr>
            <w:tcW w:w="0" w:type="dxa"/>
            <w:vAlign w:val="bottom"/>
          </w:tcPr>
          <w:p>
            <w:pPr>
              <w:spacing w:after="0"/>
              <w:rPr>
                <w:sz w:val="1"/>
                <w:szCs w:val="1"/>
                <w:color w:val="auto"/>
              </w:rPr>
            </w:pPr>
          </w:p>
        </w:tc>
      </w:tr>
      <w:tr>
        <w:trPr>
          <w:trHeight w:val="209"/>
        </w:trPr>
        <w:tc>
          <w:tcPr>
            <w:tcW w:w="9060" w:type="dxa"/>
            <w:vAlign w:val="bottom"/>
          </w:tcPr>
          <w:p>
            <w:pPr>
              <w:spacing w:after="0"/>
              <w:rPr>
                <w:sz w:val="20"/>
                <w:szCs w:val="20"/>
                <w:color w:val="auto"/>
              </w:rPr>
            </w:pPr>
            <w:r>
              <w:rPr>
                <w:rFonts w:ascii="Arial" w:cs="Arial" w:eastAsia="Arial" w:hAnsi="Arial"/>
                <w:sz w:val="18"/>
                <w:szCs w:val="18"/>
                <w:color w:val="auto"/>
                <w:w w:val="96"/>
              </w:rPr>
              <w:t>Series A convertible Preferred Shares, no par value per share; unlimited shares authorized; 11,090,135 shares issues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w w:val="99"/>
              </w:rPr>
              <w:t>and outstanding as of December 31, 2019 and March 31, 2020; liquidation value of $52,750 as of December 31,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2019 and March 31, 2020</w:t>
            </w:r>
          </w:p>
        </w:tc>
        <w:tc>
          <w:tcPr>
            <w:tcW w:w="16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53,749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53,749</w:t>
            </w:r>
          </w:p>
        </w:tc>
        <w:tc>
          <w:tcPr>
            <w:tcW w:w="0" w:type="dxa"/>
            <w:vAlign w:val="bottom"/>
          </w:tcPr>
          <w:p>
            <w:pPr>
              <w:spacing w:after="0"/>
              <w:rPr>
                <w:sz w:val="1"/>
                <w:szCs w:val="1"/>
                <w:color w:val="auto"/>
              </w:rPr>
            </w:pPr>
          </w:p>
        </w:tc>
      </w:tr>
      <w:tr>
        <w:trPr>
          <w:trHeight w:val="202"/>
        </w:trPr>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B convertible Preferred Shares, no par value per share; unlimited shares authorized; 10,468,258 shares issued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and outstanding as of December 31, 2019 and March 31, 2020; liquidation and redemption value of $82,496 as of</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 and March 31, 2020</w:t>
            </w: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82,248</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82,248</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Arial" w:cs="Arial" w:eastAsia="Arial" w:hAnsi="Arial"/>
                <w:sz w:val="18"/>
                <w:szCs w:val="18"/>
                <w:b w:val="1"/>
                <w:bCs w:val="1"/>
                <w:color w:val="auto"/>
              </w:rPr>
              <w:t>TOTAL CONVERTIBLE PREFERRED SHARES</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135,997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135,997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60" w:type="dxa"/>
            <w:vAlign w:val="bottom"/>
          </w:tcPr>
          <w:p>
            <w:pPr>
              <w:ind w:left="360"/>
              <w:spacing w:after="0" w:line="201" w:lineRule="exact"/>
              <w:rPr>
                <w:sz w:val="20"/>
                <w:szCs w:val="20"/>
                <w:color w:val="auto"/>
              </w:rPr>
            </w:pPr>
            <w:r>
              <w:rPr>
                <w:rFonts w:ascii="Arial" w:cs="Arial" w:eastAsia="Arial" w:hAnsi="Arial"/>
                <w:sz w:val="18"/>
                <w:szCs w:val="18"/>
                <w:color w:val="auto"/>
                <w:w w:val="98"/>
              </w:rPr>
              <w:t>Common shares, no par value per share; unlimited shares authorized as of December 31, 2019 and March 31,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540"/>
              <w:spacing w:after="0"/>
              <w:rPr>
                <w:sz w:val="20"/>
                <w:szCs w:val="20"/>
                <w:color w:val="auto"/>
              </w:rPr>
            </w:pPr>
            <w:r>
              <w:rPr>
                <w:rFonts w:ascii="Arial" w:cs="Arial" w:eastAsia="Arial" w:hAnsi="Arial"/>
                <w:sz w:val="18"/>
                <w:szCs w:val="18"/>
                <w:color w:val="auto"/>
                <w:w w:val="96"/>
              </w:rPr>
              <w:t>2020; 1,528,374 and 1,709,692 shares issued and outstanding as of December 31, 2019, and March 31, 2020,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(49,941)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(62,542)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(46,129)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(58,135)</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b w:val="1"/>
                <w:bCs w:val="1"/>
                <w:color w:val="auto"/>
              </w:rPr>
              <w:t>TOTAL LIABILITIES, CONVERTIBLE PREFERRED SHARES AND SHAREHOLDERS’ DEFICIT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102,695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459" w:right="3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5"/>
              <w:spacing w:after="0"/>
              <w:rPr>
                <w:sz w:val="20"/>
                <w:szCs w:val="20"/>
                <w:color w:val="auto"/>
              </w:rPr>
            </w:pPr>
            <w:r>
              <w:rPr>
                <w:rFonts w:ascii="Arial" w:cs="Arial" w:eastAsia="Arial" w:hAnsi="Arial"/>
                <w:sz w:val="18"/>
                <w:szCs w:val="18"/>
                <w:color w:val="auto"/>
              </w:rPr>
              <w:t>3,703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1,076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(4,779)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5"/>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(4,729)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(12,548)</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5"/>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(4,838)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340" w:type="dxa"/>
            <w:vAlign w:val="bottom"/>
          </w:tcPr>
          <w:p>
            <w:pPr>
              <w:jc w:val="right"/>
              <w:ind w:right="205"/>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(3.17)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1,528,374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1,634,056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23,192,449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459" w:right="3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Consolidated Statements of Convertible Preferred Shares and Shareholders’ Deficit</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Three months ended March 31, 2019 and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data)</w:t>
      </w:r>
    </w:p>
    <w:p>
      <w:pPr>
        <w:sectPr>
          <w:pgSz w:w="11900" w:h="16838" w:orient="portrait"/>
          <w:cols w:equalWidth="0" w:num="1">
            <w:col w:w="11180"/>
          </w:cols>
          <w:pgMar w:left="320" w:top="459" w:right="399" w:bottom="1440"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40" w:type="dxa"/>
            <w:vAlign w:val="bottom"/>
          </w:tcPr>
          <w:p>
            <w:pPr>
              <w:spacing w:after="0"/>
              <w:rPr>
                <w:sz w:val="13"/>
                <w:szCs w:val="13"/>
                <w:color w:val="auto"/>
              </w:rPr>
            </w:pPr>
          </w:p>
        </w:tc>
        <w:tc>
          <w:tcPr>
            <w:tcW w:w="24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3"/>
                <w:szCs w:val="13"/>
                <w:b w:val="1"/>
                <w:bCs w:val="1"/>
                <w:color w:val="auto"/>
              </w:rPr>
              <w:t>Convertible Preferred Shares</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40" w:type="dxa"/>
            <w:vAlign w:val="bottom"/>
          </w:tcPr>
          <w:p>
            <w:pPr>
              <w:spacing w:after="0"/>
              <w:rPr>
                <w:sz w:val="10"/>
                <w:szCs w:val="10"/>
                <w:color w:val="auto"/>
              </w:rPr>
            </w:pPr>
          </w:p>
        </w:tc>
        <w:tc>
          <w:tcPr>
            <w:tcW w:w="1600" w:type="dxa"/>
            <w:vAlign w:val="bottom"/>
            <w:gridSpan w:val="4"/>
          </w:tcPr>
          <w:p>
            <w:pPr>
              <w:jc w:val="right"/>
              <w:ind w:right="660"/>
              <w:spacing w:after="0" w:line="124" w:lineRule="exact"/>
              <w:rPr>
                <w:sz w:val="20"/>
                <w:szCs w:val="20"/>
                <w:color w:val="auto"/>
              </w:rPr>
            </w:pPr>
            <w:r>
              <w:rPr>
                <w:rFonts w:ascii="Arial" w:cs="Arial" w:eastAsia="Arial" w:hAnsi="Arial"/>
                <w:sz w:val="13"/>
                <w:szCs w:val="13"/>
                <w:b w:val="1"/>
                <w:bCs w:val="1"/>
                <w:color w:val="auto"/>
              </w:rPr>
              <w:t>Series A</w:t>
            </w:r>
          </w:p>
        </w:tc>
        <w:tc>
          <w:tcPr>
            <w:tcW w:w="92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January 1, 2019</w:t>
            </w:r>
          </w:p>
        </w:tc>
        <w:tc>
          <w:tcPr>
            <w:tcW w:w="780" w:type="dxa"/>
            <w:vAlign w:val="bottom"/>
          </w:tcPr>
          <w:p>
            <w:pPr>
              <w:jc w:val="right"/>
              <w:ind w:right="123"/>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3"/>
              </w:rPr>
              <w:t>Amount</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6,813,340</w:t>
            </w:r>
          </w:p>
        </w:tc>
        <w:tc>
          <w:tcPr>
            <w:tcW w:w="140" w:type="dxa"/>
            <w:vAlign w:val="bottom"/>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$31,873</w:t>
            </w:r>
          </w:p>
        </w:tc>
        <w:tc>
          <w:tcPr>
            <w:tcW w:w="16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w w:val="99"/>
              </w:rPr>
              <w:t>Issuance of Series A convertible Preferred Shares, net of</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180"/>
              <w:spacing w:after="0"/>
              <w:rPr>
                <w:sz w:val="20"/>
                <w:szCs w:val="20"/>
                <w:color w:val="auto"/>
              </w:rPr>
            </w:pPr>
            <w:r>
              <w:rPr>
                <w:rFonts w:ascii="Arial" w:cs="Arial" w:eastAsia="Arial" w:hAnsi="Arial"/>
                <w:sz w:val="16"/>
                <w:szCs w:val="16"/>
                <w:color w:val="auto"/>
              </w:rPr>
              <w:t>issuance costs of $5</w:t>
            </w:r>
          </w:p>
        </w:tc>
        <w:tc>
          <w:tcPr>
            <w:tcW w:w="780" w:type="dxa"/>
            <w:vAlign w:val="bottom"/>
          </w:tcPr>
          <w:p>
            <w:pPr>
              <w:jc w:val="right"/>
              <w:spacing w:after="0"/>
              <w:rPr>
                <w:sz w:val="20"/>
                <w:szCs w:val="20"/>
                <w:color w:val="auto"/>
              </w:rPr>
            </w:pPr>
            <w:r>
              <w:rPr>
                <w:rFonts w:ascii="Arial" w:cs="Arial" w:eastAsia="Arial" w:hAnsi="Arial"/>
                <w:sz w:val="16"/>
                <w:szCs w:val="16"/>
                <w:color w:val="auto"/>
              </w:rPr>
              <w:t>4,276,795</w:t>
            </w:r>
          </w:p>
        </w:tc>
        <w:tc>
          <w:tcPr>
            <w:tcW w:w="820" w:type="dxa"/>
            <w:vAlign w:val="bottom"/>
            <w:gridSpan w:val="3"/>
          </w:tcPr>
          <w:p>
            <w:pPr>
              <w:jc w:val="right"/>
              <w:ind w:right="160"/>
              <w:spacing w:after="0"/>
              <w:rPr>
                <w:sz w:val="20"/>
                <w:szCs w:val="20"/>
                <w:color w:val="auto"/>
              </w:rPr>
            </w:pPr>
            <w:r>
              <w:rPr>
                <w:rFonts w:ascii="Arial" w:cs="Arial" w:eastAsia="Arial" w:hAnsi="Arial"/>
                <w:sz w:val="16"/>
                <w:szCs w:val="16"/>
                <w:color w:val="auto"/>
              </w:rPr>
              <w:t>21,876</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March 31, 2019</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11,090,135</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53,749</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40" w:type="dxa"/>
            <w:vAlign w:val="bottom"/>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11,090,135</w:t>
            </w:r>
          </w:p>
        </w:tc>
        <w:tc>
          <w:tcPr>
            <w:tcW w:w="820" w:type="dxa"/>
            <w:vAlign w:val="bottom"/>
            <w:gridSpan w:val="3"/>
          </w:tcPr>
          <w:p>
            <w:pPr>
              <w:jc w:val="right"/>
              <w:ind w:right="160"/>
              <w:spacing w:after="0"/>
              <w:rPr>
                <w:sz w:val="20"/>
                <w:szCs w:val="20"/>
                <w:color w:val="auto"/>
              </w:rPr>
            </w:pPr>
            <w:r>
              <w:rPr>
                <w:rFonts w:ascii="Arial" w:cs="Arial" w:eastAsia="Arial" w:hAnsi="Arial"/>
                <w:sz w:val="16"/>
                <w:szCs w:val="16"/>
                <w:color w:val="auto"/>
              </w:rPr>
              <w:t>$53,749</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10,468,258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82,248</w:t>
            </w:r>
          </w:p>
        </w:tc>
        <w:tc>
          <w:tcPr>
            <w:tcW w:w="0" w:type="dxa"/>
            <w:vAlign w:val="bottom"/>
          </w:tcPr>
          <w:p>
            <w:pPr>
              <w:spacing w:after="0"/>
              <w:rPr>
                <w:sz w:val="1"/>
                <w:szCs w:val="1"/>
                <w:color w:val="auto"/>
              </w:rPr>
            </w:pPr>
          </w:p>
        </w:tc>
      </w:tr>
      <w:tr>
        <w:trPr>
          <w:trHeight w:val="202"/>
        </w:trPr>
        <w:tc>
          <w:tcPr>
            <w:tcW w:w="40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March 31, 2020</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4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11,090,135</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53,749</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10,468,258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82,248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18002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40" w:type="dxa"/>
            <w:vAlign w:val="bottom"/>
            <w:gridSpan w:val="5"/>
            <w:vMerge w:val="restart"/>
          </w:tcPr>
          <w:p>
            <w:pPr>
              <w:ind w:left="180"/>
              <w:spacing w:after="0"/>
              <w:rPr>
                <w:sz w:val="20"/>
                <w:szCs w:val="20"/>
                <w:color w:val="auto"/>
              </w:rPr>
            </w:pPr>
            <w:r>
              <w:rPr>
                <w:rFonts w:ascii="Arial" w:cs="Arial" w:eastAsia="Arial" w:hAnsi="Arial"/>
                <w:sz w:val="13"/>
                <w:szCs w:val="13"/>
                <w:b w:val="1"/>
                <w:bCs w:val="1"/>
                <w:color w:val="auto"/>
              </w:rPr>
              <w:t>Common Shares</w:t>
            </w:r>
          </w:p>
        </w:tc>
        <w:tc>
          <w:tcPr>
            <w:tcW w:w="8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0"/>
        </w:trPr>
        <w:tc>
          <w:tcPr>
            <w:tcW w:w="13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0" w:lineRule="exact"/>
              <w:rPr>
                <w:sz w:val="20"/>
                <w:szCs w:val="20"/>
                <w:color w:val="auto"/>
              </w:rPr>
            </w:pPr>
            <w:r>
              <w:rPr>
                <w:rFonts w:ascii="Arial" w:cs="Arial" w:eastAsia="Arial" w:hAnsi="Arial"/>
                <w:sz w:val="13"/>
                <w:szCs w:val="13"/>
                <w:b w:val="1"/>
                <w:bCs w:val="1"/>
                <w:color w:val="auto"/>
                <w:w w:val="87"/>
              </w:rPr>
              <w:t>Paid-in</w:t>
            </w:r>
          </w:p>
        </w:tc>
        <w:tc>
          <w:tcPr>
            <w:tcW w:w="60" w:type="dxa"/>
            <w:vAlign w:val="bottom"/>
          </w:tcPr>
          <w:p>
            <w:pPr>
              <w:spacing w:after="0"/>
              <w:rPr>
                <w:sz w:val="12"/>
                <w:szCs w:val="12"/>
                <w:color w:val="auto"/>
              </w:rPr>
            </w:pPr>
          </w:p>
        </w:tc>
        <w:tc>
          <w:tcPr>
            <w:tcW w:w="84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82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w w:val="89"/>
              </w:rPr>
              <w:t>Shareholders’</w:t>
            </w:r>
          </w:p>
        </w:tc>
        <w:tc>
          <w:tcPr>
            <w:tcW w:w="0" w:type="dxa"/>
            <w:vAlign w:val="bottom"/>
          </w:tcPr>
          <w:p>
            <w:pPr>
              <w:spacing w:after="0"/>
              <w:rPr>
                <w:sz w:val="1"/>
                <w:szCs w:val="1"/>
                <w:color w:val="auto"/>
              </w:rPr>
            </w:pPr>
          </w:p>
        </w:tc>
      </w:tr>
      <w:tr>
        <w:trPr>
          <w:trHeight w:val="128"/>
        </w:trPr>
        <w:tc>
          <w:tcPr>
            <w:tcW w:w="70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w w:val="95"/>
              </w:rPr>
              <w:t>Deficit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00"/>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1,528,374</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(22,725)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9"/>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(4,838)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(4,838)</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jc w:val="right"/>
              <w:spacing w:after="0"/>
              <w:rPr>
                <w:sz w:val="20"/>
                <w:szCs w:val="20"/>
                <w:color w:val="auto"/>
              </w:rPr>
            </w:pPr>
            <w:r>
              <w:rPr>
                <w:rFonts w:ascii="Arial" w:cs="Arial" w:eastAsia="Arial" w:hAnsi="Arial"/>
                <w:sz w:val="16"/>
                <w:szCs w:val="16"/>
                <w:color w:val="auto"/>
                <w:w w:val="92"/>
              </w:rPr>
              <w:t>1,528,374</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405</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(27,563)</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(27,157)</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0" w:type="dxa"/>
            <w:vAlign w:val="bottom"/>
          </w:tcPr>
          <w:p>
            <w:pPr>
              <w:jc w:val="right"/>
              <w:spacing w:after="0"/>
              <w:rPr>
                <w:sz w:val="20"/>
                <w:szCs w:val="20"/>
                <w:color w:val="auto"/>
              </w:rPr>
            </w:pPr>
            <w:r>
              <w:rPr>
                <w:rFonts w:ascii="Arial" w:cs="Arial" w:eastAsia="Arial" w:hAnsi="Arial"/>
                <w:sz w:val="16"/>
                <w:szCs w:val="16"/>
                <w:color w:val="auto"/>
                <w:w w:val="92"/>
              </w:rPr>
              <w:t>1,528,374</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3,811</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(49,941)</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202"/>
        </w:trPr>
        <w:tc>
          <w:tcPr>
            <w:tcW w:w="700" w:type="dxa"/>
            <w:vAlign w:val="bottom"/>
          </w:tcPr>
          <w:p>
            <w:pPr>
              <w:jc w:val="right"/>
              <w:spacing w:after="0"/>
              <w:rPr>
                <w:sz w:val="20"/>
                <w:szCs w:val="20"/>
                <w:color w:val="auto"/>
              </w:rPr>
            </w:pPr>
            <w:r>
              <w:rPr>
                <w:rFonts w:ascii="Arial" w:cs="Arial" w:eastAsia="Arial" w:hAnsi="Arial"/>
                <w:sz w:val="16"/>
                <w:szCs w:val="16"/>
                <w:color w:val="auto"/>
              </w:rPr>
              <w:t>181,318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520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(196)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3"/>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271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9"/>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(12,601)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(12,601)</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jc w:val="right"/>
              <w:spacing w:after="0"/>
              <w:rPr>
                <w:sz w:val="20"/>
                <w:szCs w:val="20"/>
                <w:color w:val="auto"/>
              </w:rPr>
            </w:pPr>
            <w:r>
              <w:rPr>
                <w:rFonts w:ascii="Arial" w:cs="Arial" w:eastAsia="Arial" w:hAnsi="Arial"/>
                <w:sz w:val="16"/>
                <w:szCs w:val="16"/>
                <w:color w:val="auto"/>
                <w:w w:val="92"/>
              </w:rPr>
              <w:t>1,709,692</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3,886</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(62,542)</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(58,135)</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20" w:space="220"/>
            <w:col w:w="3940"/>
          </w:cols>
          <w:pgMar w:left="320" w:top="459" w:right="399" w:bottom="1440" w:gutter="0" w:footer="0" w:header="0"/>
          <w:type w:val="continuous"/>
        </w:sectPr>
      </w:pP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80"/>
          </w:cols>
          <w:pgMar w:left="320" w:top="459" w:right="399" w:bottom="1440" w:gutter="0" w:footer="0" w:header="0"/>
          <w:type w:val="continuous"/>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Net loss and comprehensive loss for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(4,838)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(12,601)</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Change in fair value of the Series A Preferred Shares tranche obligation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Foreign exchange loss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1,772</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Research and development tax credits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1,187</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Operating lease liability, current portion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Operating lease liability, net of current portion</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8,142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(9,717)</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7"/>
        </w:trPr>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23"/>
        </w:trPr>
        <w:tc>
          <w:tcPr>
            <w:tcW w:w="9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A Preferred Shares,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20,995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Payment of deferred offering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20,995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fluctuations on cash held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w:t>
            </w:r>
          </w:p>
        </w:tc>
      </w:tr>
      <w:tr>
        <w:trPr>
          <w:trHeight w:val="216"/>
        </w:trPr>
        <w:tc>
          <w:tcPr>
            <w:tcW w:w="954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Restricted Cash</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23,721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(11,102)</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10,929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95,005</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Cash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34,650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83,903</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34,448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83,711</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34,650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83,903</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w:t>
            </w: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9" w:right="3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on September 6, 2016.</w:t>
      </w:r>
    </w:p>
    <w:p>
      <w:pPr>
        <w:spacing w:after="0" w:line="250" w:lineRule="exact"/>
        <w:rPr>
          <w:sz w:val="20"/>
          <w:szCs w:val="20"/>
          <w:color w:val="auto"/>
        </w:rPr>
      </w:pPr>
    </w:p>
    <w:p>
      <w:pPr>
        <w:ind w:right="7680" w:firstLine="8"/>
        <w:spacing w:after="0" w:line="377" w:lineRule="auto"/>
        <w:tabs>
          <w:tab w:leader="none" w:pos="1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unaudited condensed consolidated interim financial statements have been prepared on the same basis as the audited annual consolidated financial statements as of and for the year ended December 31, 2019, and, in the opinion of management, reflect all adjustments, consisting of normal recurring adjustments, necessary for the fair presentation of the Company’s consolidated financial position as of March 31, 2020, and the consolidated results of its operations and its consolidated cash flows for the three months ended March 31, 2020 and 2019.</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accompanying condensed consolidated financial statements should be read in conjunction with the Company’s audited consolidated financial statements and the accompanying notes for the year ended December 31, 2019, which are included elsewhere in this prospectus. The condensed consolidated balance sheet data as of December 31, 2019 presented for comparative purposes was derived from the Company’s audited consolidated financial statements but does not include all disclosures required by U.S. GAAP. The results for the three months ended March 31, 2020 are not necessarily indicative of the operating results to be expected for the full year or for any other subsequent interim period.</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2019, included elsewhere in this prospectus. Since the date of those financial statements, there have been no changes to its significant accounting policies except as noted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accrued research and development expenses and share-based compensation. Estimates are periodically reviewed in light of changes in circumstances, facts and experience. Changes in estimates are recorded in the period in which they become known.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With the global spread of the ongoing COVID-19 pandemic in the first quarter of 2020, the Company has established a cross-functional task force and has implemented business continuity plans designed to address and mitigate the impact of the COVID-19 pandemic on its employees and its business, including its preclinical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459" w:right="3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studies and its planned clinical trials. The Company’s operations are considered as an essential business and the Company is continuing to operate during this period. The Company has taken measures to secure its research and development activities, while work in its laboratories and facilities has been organized to reduce risk of COVID-19 transmission. While the Company is experiencing limited financial impacts at this time, given the global economic slowdown, the overall disruption of global healthcare systems and the other risks and uncertainties associated the with pandemic, the Company’s business, consolidated financial condition and results of operations could be materially adversely affected. The Company continues to closely monitor the COVID-19 pandemic as it evolves its business continuity plans, clinical development plans and response strategy.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shareholders’ deficit as a reduction of proceeds generated as a result of the offering. Deferred offering costs of $1,186 are capitalized and classified with other assets on the condensed consolidated balance sheet as of March 31, 2020. There were no deferred offering costs as of December 31,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as of December 31, 2019 and March 31, 2020 consisted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Accrued research and development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Accrued offering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Significant Agreements</w:t>
      </w:r>
    </w:p>
    <w:p>
      <w:pPr>
        <w:spacing w:after="0" w:line="121" w:lineRule="exact"/>
        <w:rPr>
          <w:sz w:val="20"/>
          <w:szCs w:val="20"/>
          <w:color w:val="auto"/>
        </w:rPr>
      </w:pPr>
    </w:p>
    <w:p>
      <w:pPr>
        <w:ind w:right="700"/>
        <w:spacing w:after="0" w:line="311" w:lineRule="auto"/>
        <w:rPr>
          <w:sz w:val="20"/>
          <w:szCs w:val="20"/>
          <w:color w:val="auto"/>
        </w:rPr>
      </w:pPr>
      <w:r>
        <w:rPr>
          <w:rFonts w:ascii="Arial" w:cs="Arial" w:eastAsia="Arial" w:hAnsi="Arial"/>
          <w:sz w:val="16"/>
          <w:szCs w:val="16"/>
          <w:color w:val="auto"/>
        </w:rPr>
        <w:t>In March 2020, the Company executed a strategic collaboration with The University of Texas M. D. Anderson Cancer Center (“MDACC”). The collaboration will consist of preclinical and clinical studies designed by the Company and MDACC with the research conducted by MDACC. The Company has agreed to commit $10,000 in funding for various studies over a period of five years, of which $2,000 was paid in April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 has historically entered into lease arrangements for its facilities. As of March 31, 2020, the Company had three operating leases with required future minimum payments. The Company’s leases generally do not include termination or purchase options.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459" w:right="3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three months ended March 31, 2020:</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6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Lease Cost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cost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Short-term lease cost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 lease cost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6620" w:type="dxa"/>
            <w:vAlign w:val="bottom"/>
          </w:tcPr>
          <w:p>
            <w:pPr>
              <w:spacing w:after="0"/>
              <w:rPr>
                <w:sz w:val="24"/>
                <w:szCs w:val="24"/>
                <w:color w:val="auto"/>
              </w:rPr>
            </w:pPr>
          </w:p>
        </w:tc>
        <w:tc>
          <w:tcPr>
            <w:tcW w:w="1000" w:type="dxa"/>
            <w:vAlign w:val="bottom"/>
            <w:gridSpan w:val="6"/>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6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66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Other Operating Lease Information</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$167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remaining lease term</w:t>
            </w:r>
          </w:p>
        </w:tc>
        <w:tc>
          <w:tcPr>
            <w:tcW w:w="100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1.55 years</w:t>
            </w:r>
          </w:p>
        </w:tc>
      </w:tr>
      <w:tr>
        <w:trPr>
          <w:trHeight w:val="230"/>
        </w:trPr>
        <w:tc>
          <w:tcPr>
            <w:tcW w:w="6620" w:type="dxa"/>
            <w:vAlign w:val="bottom"/>
          </w:tcPr>
          <w:p>
            <w:pPr>
              <w:ind w:left="360"/>
              <w:spacing w:after="0"/>
              <w:rPr>
                <w:sz w:val="20"/>
                <w:szCs w:val="20"/>
                <w:color w:val="auto"/>
              </w:rPr>
            </w:pPr>
            <w:r>
              <w:rPr>
                <w:rFonts w:ascii="Arial" w:cs="Arial" w:eastAsia="Arial" w:hAnsi="Arial"/>
                <w:sz w:val="18"/>
                <w:szCs w:val="18"/>
                <w:color w:val="auto"/>
              </w:rPr>
              <w:t>Weighted-average discount rate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0"/>
                <w:szCs w:val="20"/>
                <w:color w:val="auto"/>
              </w:rPr>
            </w:pPr>
          </w:p>
        </w:tc>
      </w:tr>
    </w:tbl>
    <w:p>
      <w:pPr>
        <w:spacing w:after="0" w:line="291" w:lineRule="exact"/>
        <w:rPr>
          <w:sz w:val="20"/>
          <w:szCs w:val="20"/>
          <w:color w:val="auto"/>
        </w:rPr>
      </w:pPr>
    </w:p>
    <w:p>
      <w:pPr>
        <w:ind w:right="8860" w:firstLine="8"/>
        <w:spacing w:after="0" w:line="400" w:lineRule="auto"/>
        <w:tabs>
          <w:tab w:leader="none" w:pos="18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 Option Plan</w:t>
      </w:r>
    </w:p>
    <w:p>
      <w:pPr>
        <w:ind w:right="40"/>
        <w:spacing w:after="0" w:line="259"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share options and other share-based awards to directors, officers, employees or consultants. The Option Plan authorized up to 4,074,135 shares of the Company’s common shares to be issued. At March 31, 2020, there were 569,016 shares available for future grant under the Option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allocated as follows:</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w:t>
            </w:r>
          </w:p>
        </w:tc>
        <w:tc>
          <w:tcPr>
            <w:tcW w:w="40" w:type="dxa"/>
            <w:vAlign w:val="bottom"/>
            <w:shd w:val="clear" w:color="auto" w:fill="CCEEFF"/>
          </w:tcPr>
          <w:p>
            <w:pPr>
              <w:spacing w:after="0"/>
              <w:rPr>
                <w:sz w:val="18"/>
                <w:szCs w:val="18"/>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w:t>
            </w:r>
          </w:p>
        </w:tc>
        <w:tc>
          <w:tcPr>
            <w:tcW w:w="1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138</w:t>
            </w:r>
          </w:p>
        </w:tc>
        <w:tc>
          <w:tcPr>
            <w:tcW w:w="4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w w:val="89"/>
              </w:rPr>
              <w:t>65</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271</w:t>
            </w:r>
          </w:p>
        </w:tc>
      </w:tr>
      <w:tr>
        <w:trPr>
          <w:trHeight w:val="20"/>
        </w:trPr>
        <w:tc>
          <w:tcPr>
            <w:tcW w:w="5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three months ended March 31, 2020, the Company did not grant options to purchase common shares. During the three months ended March 31, 2019 and 2020, the Company recorded share-based compensation expense for options granted of $65 and $271, respectively.</w:t>
      </w:r>
    </w:p>
    <w:p>
      <w:pPr>
        <w:spacing w:after="0" w:line="14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During the three months ended March 31, 2020, an aggregate of 181,318 options were exercised at a weighted-average exercise price of $1.79 per share, for aggregate proceeds of $324. As a result, an amount of $196 previously included in additional paid-in capital related to the exercised options has been credited to common shares and deducted from additional paid-in capital.</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60"/>
          </w:cols>
          <w:pgMar w:left="320" w:top="459" w:right="41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March 31, 2020, there were 3,323,801 options outstanding. As of March 31, 2020, there was $3,286 of unrecognized share-based compensation expense related to unvested stock options to be recognized over a period of 3.0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 and Unaudited Pro Forma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gridSpan w:val="4"/>
          </w:tcPr>
          <w:p>
            <w:pPr>
              <w:jc w:val="center"/>
              <w:ind w:right="54"/>
              <w:spacing w:after="0" w:line="123" w:lineRule="exact"/>
              <w:rPr>
                <w:sz w:val="20"/>
                <w:szCs w:val="20"/>
                <w:color w:val="auto"/>
              </w:rPr>
            </w:pPr>
            <w:r>
              <w:rPr>
                <w:rFonts w:ascii="Arial" w:cs="Arial" w:eastAsia="Arial" w:hAnsi="Arial"/>
                <w:sz w:val="14"/>
                <w:szCs w:val="14"/>
                <w:i w:val="1"/>
                <w:iCs w:val="1"/>
                <w:color w:val="auto"/>
                <w:w w:val="91"/>
              </w:rPr>
              <w:t>(in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i w:val="1"/>
                <w:iCs w:val="1"/>
                <w:color w:val="auto"/>
                <w:w w:val="92"/>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(4,838)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1,528,374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1,634,056</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7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potentially dilutive securities, which include convertible preferred shares and options,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211"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w:t>
      </w:r>
    </w:p>
    <w:p>
      <w:pPr>
        <w:jc w:val="center"/>
        <w:ind w:left="58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360" w:type="dxa"/>
        <w:tblCellMar>
          <w:top w:w="0" w:type="dxa"/>
          <w:left w:w="0" w:type="dxa"/>
          <w:bottom w:w="0" w:type="dxa"/>
          <w:right w:w="0" w:type="dxa"/>
        </w:tblCellMar>
      </w:tblPr>
      <w:tr>
        <w:trPr>
          <w:trHeight w:val="142"/>
        </w:trPr>
        <w:tc>
          <w:tcPr>
            <w:tcW w:w="59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11,090,135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11,090,135</w:t>
            </w: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10,468,258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1,920,950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3,323,801</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2020, or the date of issuance, if later.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320" w:top="459" w:right="3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basic and diluted net loss per share attributable to common shareholders was calculated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6"/>
              <w:spacing w:after="0" w:line="123" w:lineRule="exact"/>
              <w:rPr>
                <w:sz w:val="20"/>
                <w:szCs w:val="20"/>
                <w:color w:val="auto"/>
              </w:rPr>
            </w:pPr>
            <w:r>
              <w:rPr>
                <w:rFonts w:ascii="Arial" w:cs="Arial" w:eastAsia="Arial" w:hAnsi="Arial"/>
                <w:sz w:val="14"/>
                <w:szCs w:val="14"/>
                <w:i w:val="1"/>
                <w:iCs w:val="1"/>
                <w:color w:val="auto"/>
                <w:w w:val="90"/>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i w:val="1"/>
                <w:iCs w:val="1"/>
                <w:color w:val="auto"/>
                <w:w w:val="89"/>
              </w:rPr>
              <w:t>except share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i w:val="1"/>
                <w:iCs w:val="1"/>
                <w:color w:val="auto"/>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spacing w:after="0" w:line="201" w:lineRule="exact"/>
              <w:rPr>
                <w:sz w:val="20"/>
                <w:szCs w:val="20"/>
                <w:color w:val="auto"/>
              </w:rPr>
            </w:pPr>
            <w:r>
              <w:rPr>
                <w:rFonts w:ascii="Arial" w:cs="Arial" w:eastAsia="Arial" w:hAnsi="Arial"/>
                <w:sz w:val="18"/>
                <w:szCs w:val="18"/>
                <w:color w:val="auto"/>
              </w:rPr>
              <w:t>Pro forma adjustment to reflect assumed conversion of convertible preferred shares to common shares upon the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ind w:left="160"/>
              <w:spacing w:after="0"/>
              <w:rPr>
                <w:sz w:val="20"/>
                <w:szCs w:val="20"/>
                <w:color w:val="auto"/>
              </w:rPr>
            </w:pPr>
            <w:r>
              <w:rPr>
                <w:rFonts w:ascii="Arial" w:cs="Arial" w:eastAsia="Arial" w:hAnsi="Arial"/>
                <w:sz w:val="18"/>
                <w:szCs w:val="18"/>
                <w:color w:val="auto"/>
              </w:rPr>
              <w:t>completion of the proposed initial public offering</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21,558,393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23,192,449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Subsequent events have been evaluated through the date of filing of this prospectus. The Company has concluded that no subsequent events have occurred that require disclosure, except as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June 10, 2020, the Company’s shareholders and board of directors approved an amendment to the Company’s articles of amendment to effect a 1-for-6.062 reverse stock split of the Company’s common shares, Series A Preferred Shares and Series B Preferred Shares. The Company’s outstanding stock options were also adjusted to reflect the 1-for-6.062 reverse stock split of the Company’s common shares. Accordingly, all common shares, Series A Preferred Shares, Series B Preferred Shares, stock options and per share amounts in these consolidated financial statements have been retroactively adjusted for all periods presented to give effect to the reverse stock split. Outstanding stock options were proportionately reduced and the respective exercise prices, if applicable, were proportionately increased. The reverse stock split was effected on June 12,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2020 Equity Incentive Plan (the “2020 Plan”) was approved by the Company’s shareholders and board of directors on June 10, 2020, and will become effective upon the effectiveness of this prospectus. The 2020 Plan will replace the Option Plan as the board of directors determined not to make additional awards under the Option Plan following the effectiveness of this prospectus. The 2020 Plan allows the Company’s compensation committee to make equity-based and cash-based incentive awards to our officers, employees, directors and other key persons (including consultants). The Company initially reserved up to 3,600,000 new common shares for issuance under the 2020 Plan, plus the number of shares (not to exceed 3,807,448 shares) (i) that remain available for the issuance of awards under the Option Plan at the time the 2020 Plan becomes effective, and (ii) any shares subject to outstanding options or other share awards that were granted under the Option Plan that terminate or expire prior to exercise or settlement; are forfeited because of the failure to vest;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459" w:right="3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are reacquired or withheld (or not issued) to satisfy a tax withholding obligation or the purchase or exercise price. The 2020 Plan provides that the number of shares reserved and available for issuance under the plan will automatically increase each January 1, beginning on January 1, 2021 and each January 1 thereafter through January 31, 2030, by 5% of the outstanding number of common shares on the immediately preceding December 31, or such lesser number of shares as determined by our board of directors.</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April and May 2020, the board of directors of the Company authorized the issuance of an aggregate of 278,373 stock options to employees, at a weighted average exercise price of $8.60 per share.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May and June 2020, an aggregate of 85,369 options were exercised at a weighted average price of $1.92 per share, for aggregate proceeds of $164.</w:t>
      </w:r>
    </w:p>
    <w:p>
      <w:pPr>
        <w:spacing w:after="0" w:line="24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Contingent and effective upon the execution of the underwriting agreement for the Company’s initial public offering, in June 2020 the board of directors of the Company authorized the issuance of an aggregate of 590,702 stock options to employees, at an exercise price equal to the initial public offering price per share.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Employee Share Purchase Plan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2020 Employee Share Purchase Plan (the “ESPP”) was approved by the Company’s shareholders and board of directors on June 10, 2020, and will become effective upon the effectiveness of this prospectus. The ESPP initially reserved and authorized the issuance of up to 327,000 common shares to participating employees. The ESPP provides that the number of shares reserved and available for issuance will automatically increase each January 1, beginning on January 1, 2021 and each January 1 thereafter through January 31, 2030, by the lesser of 1.0% of the total number of common shares outstanding on December 31 of the preceding calendar year, 3,300,000 common shares, or such smaller number of common shares as the board of directors may designate.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2020, the Company entered into a collaboration and license agreement with Bristol-Myers Squibb Company, or Bristol Myers Squibb, pursuant to which the Company and Bristol Myers Squibb have agreed to collaborate in the research and development of potential new product candidates for the treatment of cancer. Bristol Myers Squibb paid the Company an initial upfront fee payment of $50,000 in June 2020. The Company is entitled to receive up to $301,000 in total milestones on a program-by-program basis, consisting of $176,000 in the aggregate for certain specified research, development and regulatory milestones and $125,000 in the aggregate for certain specified commercial milestones. The Company is also entitled to a tiered percentage royalty on annual net sales ranging from high-single digits to low-double digits, subject to certain specified reductions. In conjunction with the collaboration and license agreement, the Company entered into a warrant agreement with an affiliate of Bristol Myers Squibb pursuant to which the Company issued a warrant for total proceeds of $15,000. This warrant will automatically convert into common shares at the subscription price of $15,000 divided by the initial public offering price of the Company’s common shares in an initial public offering; provided that, in the event that the initial public offering is not consummated by December 31, 2020, the warrant will be automatically exercised for a specified number of preferred shares.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00"/>
          </w:cols>
          <w:pgMar w:left="320" w:top="459" w:right="3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32"/>
          <w:szCs w:val="32"/>
          <w:i w:val="1"/>
          <w:iCs w:val="1"/>
          <w:color w:val="auto"/>
        </w:rPr>
        <w:t>11,000,000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335915</wp:posOffset>
            </wp:positionV>
            <wp:extent cx="1654175" cy="4972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6541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1824355</wp:posOffset>
            </wp:positionV>
            <wp:extent cx="41319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9"/>
          <w:szCs w:val="29"/>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163830</wp:posOffset>
            </wp:positionV>
            <wp:extent cx="41319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Joint Book-Running Managers</w:t>
      </w:r>
    </w:p>
    <w:p>
      <w:pPr>
        <w:spacing w:after="0" w:line="245" w:lineRule="exact"/>
        <w:rPr>
          <w:sz w:val="20"/>
          <w:szCs w:val="20"/>
          <w:color w:val="auto"/>
        </w:rPr>
      </w:pPr>
    </w:p>
    <w:p>
      <w:pPr>
        <w:ind w:left="560"/>
        <w:spacing w:after="0"/>
        <w:tabs>
          <w:tab w:leader="none" w:pos="3660" w:val="left"/>
          <w:tab w:leader="none" w:pos="7740" w:val="left"/>
          <w:tab w:leader="none" w:pos="950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Goldman Sachs &amp; Co. LLC</w:t>
      </w:r>
      <w:r>
        <w:rPr>
          <w:sz w:val="20"/>
          <w:szCs w:val="20"/>
          <w:color w:val="auto"/>
        </w:rPr>
        <w:tab/>
      </w:r>
      <w:r>
        <w:rPr>
          <w:rFonts w:ascii="Arial" w:cs="Arial" w:eastAsia="Arial" w:hAnsi="Arial"/>
          <w:sz w:val="22"/>
          <w:szCs w:val="22"/>
          <w:i w:val="1"/>
          <w:iCs w:val="1"/>
          <w:color w:val="auto"/>
        </w:rPr>
        <w:t>Cowen</w:t>
      </w:r>
      <w:r>
        <w:rPr>
          <w:sz w:val="20"/>
          <w:szCs w:val="20"/>
          <w:color w:val="auto"/>
        </w:rPr>
        <w:tab/>
      </w:r>
      <w:r>
        <w:rPr>
          <w:rFonts w:ascii="Arial" w:cs="Arial" w:eastAsia="Arial" w:hAnsi="Arial"/>
          <w:sz w:val="19"/>
          <w:szCs w:val="19"/>
          <w:i w:val="1"/>
          <w:iCs w:val="1"/>
          <w:color w:val="auto"/>
        </w:rPr>
        <w:t>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June 18, 2020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Through and including July 13, 2020 (the 25</w:t>
      </w:r>
      <w:r>
        <w:rPr>
          <w:rFonts w:ascii="Arial" w:cs="Arial" w:eastAsia="Arial" w:hAnsi="Arial"/>
          <w:sz w:val="14"/>
          <w:szCs w:val="14"/>
          <w:b w:val="1"/>
          <w:bCs w:val="1"/>
          <w:i w:val="1"/>
          <w:iCs w:val="1"/>
          <w:color w:val="auto"/>
        </w:rPr>
        <w:t>th</w:t>
      </w:r>
      <w:r>
        <w:rPr>
          <w:rFonts w:ascii="Arial" w:cs="Arial" w:eastAsia="Arial" w:hAnsi="Arial"/>
          <w:sz w:val="17"/>
          <w:szCs w:val="17"/>
          <w:b w:val="1"/>
          <w:bCs w:val="1"/>
          <w:i w:val="1"/>
          <w:iCs w:val="1"/>
          <w:color w:val="auto"/>
        </w:rPr>
        <w:t xml:space="preserve"> day after the commencement of this offering), all dealers that buy, sell or trade common shares, whether or not participating in this offering, may be required to deliver a prospectus. This delivery requirement is in addition to the dealers’ obligation to deliver a prospectus when acting as underwriters and with respect to their unsold allotments or subscriptions.</w:t>
      </w:r>
    </w:p>
    <w:sectPr>
      <w:pgSz w:w="11900" w:h="16838" w:orient="portrait"/>
      <w:cols w:equalWidth="0" w:num="1">
        <w:col w:w="11240"/>
      </w:cols>
      <w:pgMar w:left="32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1)"/>
      <w:numFmt w:val="decimal"/>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1."/>
      <w:numFmt w:val="decimal"/>
      <w:start w:val="1"/>
    </w:lvl>
  </w:abstractNum>
  <w:abstractNum w:abstractNumId="3">
    <w:nsid w:val="168E121F"/>
    <w:multiLevelType w:val="hybridMultilevel"/>
    <w:lvl w:ilvl="0">
      <w:lvlJc w:val="left"/>
      <w:lvlText w:val="(%1)"/>
      <w:numFmt w:val="decimal"/>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1)"/>
      <w:numFmt w:val="decimal"/>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1)"/>
      <w:numFmt w:val="decimal"/>
      <w:start w:val="1"/>
    </w:lvl>
  </w:abstractNum>
  <w:abstractNum w:abstractNumId="14">
    <w:nsid w:val="A0382C5"/>
    <w:multiLevelType w:val="hybridMultilevel"/>
    <w:lvl w:ilvl="0">
      <w:lvlJc w:val="left"/>
      <w:lvlText w:val="(%1)"/>
      <w:numFmt w:val="decimal"/>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1)"/>
      <w:numFmt w:val="lowerRoman"/>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1)"/>
      <w:numFmt w:val="decimal"/>
      <w:start w:val="1"/>
    </w:lvl>
  </w:abstractNum>
  <w:abstractNum w:abstractNumId="56">
    <w:nsid w:val="7672BD23"/>
    <w:multiLevelType w:val="hybridMultilevel"/>
    <w:lvl w:ilvl="0">
      <w:lvlJc w:val="left"/>
      <w:lvlText w:val="(%1)"/>
      <w:numFmt w:val="decimal"/>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
      <w:numFmt w:val="bullet"/>
      <w:start w:val="1"/>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
      <w:numFmt w:val="bullet"/>
      <w:start w:val="1"/>
    </w:lvl>
  </w:abstractNum>
  <w:abstractNum w:abstractNumId="63">
    <w:nsid w:val="555C55B5"/>
    <w:multiLevelType w:val="hybridMultilevel"/>
    <w:lvl w:ilvl="0">
      <w:lvlJc w:val="left"/>
      <w:lvlText w:val="•"/>
      <w:numFmt w:val="bullet"/>
      <w:start w:val="1"/>
    </w:lvl>
  </w:abstractNum>
  <w:abstractNum w:abstractNumId="64">
    <w:nsid w:val="3FA62ACA"/>
    <w:multiLevelType w:val="hybridMultilevel"/>
    <w:lvl w:ilvl="0">
      <w:lvlJc w:val="left"/>
      <w:lvlText w:val="•"/>
      <w:numFmt w:val="bullet"/>
      <w:start w:val="1"/>
    </w:lvl>
  </w:abstractNum>
  <w:abstractNum w:abstractNumId="65">
    <w:nsid w:val="14FCE74E"/>
    <w:multiLevelType w:val="hybridMultilevel"/>
    <w:lvl w:ilvl="0">
      <w:lvlJc w:val="left"/>
      <w:lvlText w:val="•"/>
      <w:numFmt w:val="bullet"/>
      <w:start w:val="1"/>
    </w:lvl>
  </w:abstractNum>
  <w:abstractNum w:abstractNumId="66">
    <w:nsid w:val="6A3DD3E8"/>
    <w:multiLevelType w:val="hybridMultilevel"/>
    <w:lvl w:ilvl="0">
      <w:lvlJc w:val="left"/>
      <w:lvlText w:val="•"/>
      <w:numFmt w:val="bullet"/>
      <w:start w:val="1"/>
    </w:lvl>
  </w:abstractNum>
  <w:abstractNum w:abstractNumId="67">
    <w:nsid w:val="71C91298"/>
    <w:multiLevelType w:val="hybridMultilevel"/>
    <w:lvl w:ilvl="0">
      <w:lvlJc w:val="left"/>
      <w:lvlText w:val="(%1)"/>
      <w:numFmt w:val="decimal"/>
      <w:start w:val="1"/>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1."/>
      <w:numFmt w:val="decimal"/>
      <w:start w:val="1"/>
    </w:lvl>
  </w:abstractNum>
  <w:abstractNum w:abstractNumId="70">
    <w:nsid w:val="1FBFE8E0"/>
    <w:multiLevelType w:val="hybridMultilevel"/>
    <w:lvl w:ilvl="0">
      <w:lvlJc w:val="left"/>
      <w:lvlText w:val="(%1)"/>
      <w:numFmt w:val="decimal"/>
      <w:start w:val="1"/>
    </w:lvl>
  </w:abstractNum>
  <w:abstractNum w:abstractNumId="71">
    <w:nsid w:val="5092CA79"/>
    <w:multiLevelType w:val="hybridMultilevel"/>
    <w:lvl w:ilvl="0">
      <w:lvlJc w:val="left"/>
      <w:lvlText w:val="•"/>
      <w:numFmt w:val="bullet"/>
      <w:start w:val="1"/>
    </w:lvl>
  </w:abstractNum>
  <w:abstractNum w:abstractNumId="72">
    <w:nsid w:val="1D545C4D"/>
    <w:multiLevelType w:val="hybridMultilevel"/>
    <w:lvl w:ilvl="0">
      <w:lvlJc w:val="left"/>
      <w:lvlText w:val="•"/>
      <w:numFmt w:val="bullet"/>
      <w:start w:val="1"/>
    </w:lvl>
  </w:abstractNum>
  <w:abstractNum w:abstractNumId="73">
    <w:nsid w:val="59ADEA3D"/>
    <w:multiLevelType w:val="hybridMultilevel"/>
    <w:lvl w:ilvl="0">
      <w:lvlJc w:val="left"/>
      <w:lvlText w:val="•"/>
      <w:numFmt w:val="bullet"/>
      <w:start w:val="1"/>
    </w:lvl>
  </w:abstractNum>
  <w:abstractNum w:abstractNumId="74">
    <w:nsid w:val="288F1A34"/>
    <w:multiLevelType w:val="hybridMultilevel"/>
    <w:lvl w:ilvl="0">
      <w:lvlJc w:val="left"/>
      <w:lvlText w:val="•"/>
      <w:numFmt w:val="bullet"/>
      <w:start w:val="1"/>
    </w:lvl>
  </w:abstractNum>
  <w:abstractNum w:abstractNumId="75">
    <w:nsid w:val="2A155DBC"/>
    <w:multiLevelType w:val="hybridMultilevel"/>
    <w:lvl w:ilvl="0">
      <w:lvlJc w:val="left"/>
      <w:lvlText w:val="%1."/>
      <w:numFmt w:val="upperLetter"/>
      <w:start w:val="1"/>
    </w:lvl>
  </w:abstractNum>
  <w:abstractNum w:abstractNumId="76">
    <w:nsid w:val="1D9F6E5F"/>
    <w:multiLevelType w:val="hybridMultilevel"/>
    <w:lvl w:ilvl="0">
      <w:lvlJc w:val="left"/>
      <w:lvlText w:val="%1."/>
      <w:numFmt w:val="upperLetter"/>
      <w:start w:val="2"/>
    </w:lvl>
  </w:abstractNum>
  <w:abstractNum w:abstractNumId="77">
    <w:nsid w:val="97E1B4E"/>
    <w:multiLevelType w:val="hybridMultilevel"/>
    <w:lvl w:ilvl="0">
      <w:lvlJc w:val="left"/>
      <w:lvlText w:val="(%1)"/>
      <w:numFmt w:val="lowerRoman"/>
      <w:start w:val="1"/>
    </w:lvl>
  </w:abstractNum>
  <w:abstractNum w:abstractNumId="78">
    <w:nsid w:val="51088277"/>
    <w:multiLevelType w:val="hybridMultilevel"/>
    <w:lvl w:ilvl="0">
      <w:lvlJc w:val="left"/>
      <w:lvlText w:val="(%1)"/>
      <w:numFmt w:val="lowerRoman"/>
      <w:start w:val="3"/>
    </w:lvl>
  </w:abstractNum>
  <w:abstractNum w:abstractNumId="79">
    <w:nsid w:val="1CA0C5FA"/>
    <w:multiLevelType w:val="hybridMultilevel"/>
    <w:lvl w:ilvl="0">
      <w:lvlJc w:val="left"/>
      <w:lvlText w:val="(%1)"/>
      <w:numFmt w:val="lowerRoman"/>
      <w:start w:val="1"/>
    </w:lvl>
  </w:abstractNum>
  <w:abstractNum w:abstractNumId="80">
    <w:nsid w:val="53584BCB"/>
    <w:multiLevelType w:val="hybridMultilevel"/>
    <w:lvl w:ilvl="0">
      <w:lvlJc w:val="left"/>
      <w:lvlText w:val="•"/>
      <w:numFmt w:val="bullet"/>
      <w:start w:val="1"/>
    </w:lvl>
  </w:abstractNum>
  <w:abstractNum w:abstractNumId="81">
    <w:nsid w:val="415E286C"/>
    <w:multiLevelType w:val="hybridMultilevel"/>
    <w:lvl w:ilvl="0">
      <w:lvlJc w:val="left"/>
      <w:lvlText w:val="•"/>
      <w:numFmt w:val="bullet"/>
      <w:start w:val="1"/>
    </w:lvl>
  </w:abstractNum>
  <w:abstractNum w:abstractNumId="82">
    <w:nsid w:val="7C58FD05"/>
    <w:multiLevelType w:val="hybridMultilevel"/>
    <w:lvl w:ilvl="0">
      <w:lvlJc w:val="left"/>
      <w:lvlText w:val="(%1)"/>
      <w:numFmt w:val="decimal"/>
      <w:start w:val="1"/>
    </w:lvl>
  </w:abstractNum>
  <w:abstractNum w:abstractNumId="83">
    <w:nsid w:val="23D86AAC"/>
    <w:multiLevelType w:val="hybridMultilevel"/>
    <w:lvl w:ilvl="0">
      <w:lvlJc w:val="left"/>
      <w:lvlText w:val="•"/>
      <w:numFmt w:val="bullet"/>
      <w:start w:val="1"/>
    </w:lvl>
  </w:abstractNum>
  <w:abstractNum w:abstractNumId="84">
    <w:nsid w:val="45E6D486"/>
    <w:multiLevelType w:val="hybridMultilevel"/>
    <w:lvl w:ilvl="0">
      <w:lvlJc w:val="left"/>
      <w:lvlText w:val="•"/>
      <w:numFmt w:val="bullet"/>
      <w:start w:val="1"/>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
      <w:numFmt w:val="bullet"/>
      <w:start w:val="1"/>
    </w:lvl>
  </w:abstractNum>
  <w:abstractNum w:abstractNumId="87">
    <w:nsid w:val="3C5991AA"/>
    <w:multiLevelType w:val="hybridMultilevel"/>
    <w:lvl w:ilvl="0">
      <w:lvlJc w:val="left"/>
      <w:lvlText w:val="•"/>
      <w:numFmt w:val="bullet"/>
      <w:start w:val="1"/>
    </w:lvl>
  </w:abstractNum>
  <w:abstractNum w:abstractNumId="88">
    <w:nsid w:val="4BD8591A"/>
    <w:multiLevelType w:val="hybridMultilevel"/>
    <w:lvl w:ilvl="0">
      <w:lvlJc w:val="left"/>
      <w:lvlText w:val="(%1)"/>
      <w:numFmt w:val="decimal"/>
      <w:start w:val="1"/>
    </w:lvl>
  </w:abstractNum>
  <w:abstractNum w:abstractNumId="89">
    <w:nsid w:val="78DF6A55"/>
    <w:multiLevelType w:val="hybridMultilevel"/>
    <w:lvl w:ilvl="0">
      <w:lvlJc w:val="left"/>
      <w:lvlText w:val="•"/>
      <w:numFmt w:val="bullet"/>
      <w:start w:val="1"/>
    </w:lvl>
  </w:abstractNum>
  <w:abstractNum w:abstractNumId="90">
    <w:nsid w:val="39B7AAA2"/>
    <w:multiLevelType w:val="hybridMultilevel"/>
    <w:lvl w:ilvl="0">
      <w:lvlJc w:val="left"/>
      <w:lvlText w:val="(%1)"/>
      <w:numFmt w:val="decimal"/>
      <w:start w:val="1"/>
    </w:lvl>
  </w:abstractNum>
  <w:abstractNum w:abstractNumId="91">
    <w:nsid w:val="2B0D8DBE"/>
    <w:multiLevelType w:val="hybridMultilevel"/>
    <w:lvl w:ilvl="0">
      <w:lvlJc w:val="left"/>
      <w:lvlText w:val="(%1)"/>
      <w:numFmt w:val="decimal"/>
      <w:start w:val="5"/>
    </w:lvl>
  </w:abstractNum>
  <w:abstractNum w:abstractNumId="92">
    <w:nsid w:val="6C80EC70"/>
    <w:multiLevelType w:val="hybridMultilevel"/>
    <w:lvl w:ilvl="0">
      <w:lvlJc w:val="left"/>
      <w:lvlText w:val="(%1)"/>
      <w:numFmt w:val="decimal"/>
      <w:start w:val="1"/>
    </w:lvl>
  </w:abstractNum>
  <w:abstractNum w:abstractNumId="93">
    <w:nsid w:val="379E21B5"/>
    <w:multiLevelType w:val="hybridMultilevel"/>
    <w:lvl w:ilvl="0">
      <w:lvlJc w:val="left"/>
      <w:lvlText w:val="(%1)"/>
      <w:numFmt w:val="decimal"/>
      <w:start w:val="1"/>
    </w:lvl>
  </w:abstractNum>
  <w:abstractNum w:abstractNumId="94">
    <w:nsid w:val="69E373"/>
    <w:multiLevelType w:val="hybridMultilevel"/>
    <w:lvl w:ilvl="0">
      <w:lvlJc w:val="left"/>
      <w:lvlText w:val="(%1)"/>
      <w:numFmt w:val="decimal"/>
      <w:start w:val="1"/>
    </w:lvl>
  </w:abstractNum>
  <w:abstractNum w:abstractNumId="95">
    <w:nsid w:val="2C27173B"/>
    <w:multiLevelType w:val="hybridMultilevel"/>
    <w:lvl w:ilvl="0">
      <w:lvlJc w:val="left"/>
      <w:lvlText w:val="•"/>
      <w:numFmt w:val="bullet"/>
      <w:start w:val="1"/>
    </w:lvl>
  </w:abstractNum>
  <w:abstractNum w:abstractNumId="96">
    <w:nsid w:val="4C9B0904"/>
    <w:multiLevelType w:val="hybridMultilevel"/>
    <w:lvl w:ilvl="0">
      <w:lvlJc w:val="left"/>
      <w:lvlText w:val="•"/>
      <w:numFmt w:val="bullet"/>
      <w:start w:val="1"/>
    </w:lvl>
  </w:abstractNum>
  <w:abstractNum w:abstractNumId="97">
    <w:nsid w:val="6AA7B75C"/>
    <w:multiLevelType w:val="hybridMultilevel"/>
    <w:lvl w:ilvl="0">
      <w:lvlJc w:val="left"/>
      <w:lvlText w:val="•"/>
      <w:numFmt w:val="bullet"/>
      <w:start w:val="1"/>
    </w:lvl>
  </w:abstractNum>
  <w:abstractNum w:abstractNumId="98">
    <w:nsid w:val="1DF029D3"/>
    <w:multiLevelType w:val="hybridMultilevel"/>
    <w:lvl w:ilvl="0">
      <w:lvlJc w:val="left"/>
      <w:lvlText w:val="(%1)"/>
      <w:numFmt w:val="lowerRoman"/>
      <w:start w:val="8"/>
    </w:lvl>
  </w:abstractNum>
  <w:abstractNum w:abstractNumId="99">
    <w:nsid w:val="5675FF36"/>
    <w:multiLevelType w:val="hybridMultilevel"/>
    <w:lvl w:ilvl="0">
      <w:lvlJc w:val="left"/>
      <w:lvlText w:val="(%1)"/>
      <w:numFmt w:val="lowerRoman"/>
      <w:start w:val="11"/>
    </w:lvl>
  </w:abstractNum>
  <w:abstractNum w:abstractNumId="100">
    <w:nsid w:val="3DD15094"/>
    <w:multiLevelType w:val="hybridMultilevel"/>
    <w:lvl w:ilvl="0">
      <w:lvlJc w:val="left"/>
      <w:lvlText w:val="(%1)"/>
      <w:numFmt w:val="lowerRoman"/>
      <w:start w:val="17"/>
    </w:lvl>
  </w:abstractNum>
  <w:abstractNum w:abstractNumId="101">
    <w:nsid w:val="3DB012B3"/>
    <w:multiLevelType w:val="hybridMultilevel"/>
    <w:lvl w:ilvl="0">
      <w:lvlJc w:val="left"/>
      <w:lvlText w:val="•"/>
      <w:numFmt w:val="bullet"/>
      <w:start w:val="1"/>
    </w:lvl>
  </w:abstractNum>
  <w:abstractNum w:abstractNumId="102">
    <w:nsid w:val="2708C9AF"/>
    <w:multiLevelType w:val="hybridMultilevel"/>
    <w:lvl w:ilvl="0">
      <w:lvlJc w:val="left"/>
      <w:lvlText w:val="•"/>
      <w:numFmt w:val="bullet"/>
      <w:start w:val="1"/>
    </w:lvl>
  </w:abstractNum>
  <w:abstractNum w:abstractNumId="103">
    <w:nsid w:val="5B25ACE2"/>
    <w:multiLevelType w:val="hybridMultilevel"/>
    <w:lvl w:ilvl="0">
      <w:lvlJc w:val="left"/>
      <w:lvlText w:val="•"/>
      <w:numFmt w:val="bullet"/>
      <w:start w:val="1"/>
    </w:lvl>
  </w:abstractNum>
  <w:abstractNum w:abstractNumId="104">
    <w:nsid w:val="175DFCF0"/>
    <w:multiLevelType w:val="hybridMultilevel"/>
    <w:lvl w:ilvl="0">
      <w:lvlJc w:val="left"/>
      <w:lvlText w:val="(%1)"/>
      <w:numFmt w:val="decimal"/>
      <w:start w:val="1"/>
    </w:lvl>
  </w:abstractNum>
  <w:abstractNum w:abstractNumId="105">
    <w:nsid w:val="4F97E3E4"/>
    <w:multiLevelType w:val="hybridMultilevel"/>
    <w:lvl w:ilvl="0">
      <w:lvlJc w:val="left"/>
      <w:lvlText w:val="(%1)"/>
      <w:numFmt w:val="decimal"/>
      <w:start w:val="3"/>
    </w:lvl>
  </w:abstractNum>
  <w:abstractNum w:abstractNumId="106">
    <w:nsid w:val="53B0A9E"/>
    <w:multiLevelType w:val="hybridMultilevel"/>
    <w:lvl w:ilvl="0">
      <w:lvlJc w:val="left"/>
      <w:lvlText w:val="(%1)"/>
      <w:numFmt w:val="decimal"/>
      <w:start w:val="1"/>
    </w:lvl>
  </w:abstractNum>
  <w:abstractNum w:abstractNumId="107">
    <w:nsid w:val="34FD6B4F"/>
    <w:multiLevelType w:val="hybridMultilevel"/>
    <w:lvl w:ilvl="0">
      <w:lvlJc w:val="left"/>
      <w:lvlText w:val="(%1)"/>
      <w:numFmt w:val="decimal"/>
      <w:start w:val="4"/>
    </w:lvl>
  </w:abstractNum>
  <w:abstractNum w:abstractNumId="108">
    <w:nsid w:val="5915FF32"/>
    <w:multiLevelType w:val="hybridMultilevel"/>
    <w:lvl w:ilvl="0">
      <w:lvlJc w:val="left"/>
      <w:lvlText w:val="•"/>
      <w:numFmt w:val="bullet"/>
      <w:start w:val="1"/>
    </w:lvl>
  </w:abstractNum>
  <w:abstractNum w:abstractNumId="109">
    <w:nsid w:val="56438D15"/>
    <w:multiLevelType w:val="hybridMultilevel"/>
    <w:lvl w:ilvl="0">
      <w:lvlJc w:val="left"/>
      <w:lvlText w:val="•"/>
      <w:numFmt w:val="bullet"/>
      <w:start w:val="1"/>
    </w:lvl>
  </w:abstractNum>
  <w:abstractNum w:abstractNumId="110">
    <w:nsid w:val="519E3149"/>
    <w:multiLevelType w:val="hybridMultilevel"/>
    <w:lvl w:ilvl="0">
      <w:lvlJc w:val="left"/>
      <w:lvlText w:val="*"/>
      <w:numFmt w:val="bullet"/>
      <w:start w:val="1"/>
    </w:lvl>
  </w:abstractNum>
  <w:abstractNum w:abstractNumId="111">
    <w:nsid w:val="2C6E4AFD"/>
    <w:multiLevelType w:val="hybridMultilevel"/>
    <w:lvl w:ilvl="0">
      <w:lvlJc w:val="left"/>
      <w:lvlText w:val="(%1)"/>
      <w:numFmt w:val="decimal"/>
      <w:start w:val="1"/>
    </w:lvl>
  </w:abstractNum>
  <w:abstractNum w:abstractNumId="112">
    <w:nsid w:val="17A1B582"/>
    <w:multiLevelType w:val="hybridMultilevel"/>
    <w:lvl w:ilvl="0">
      <w:lvlJc w:val="left"/>
      <w:lvlText w:val="(%1)"/>
      <w:numFmt w:val="decimal"/>
      <w:start w:val="2"/>
    </w:lvl>
  </w:abstractNum>
  <w:abstractNum w:abstractNumId="113">
    <w:nsid w:val="4DF72E4E"/>
    <w:multiLevelType w:val="hybridMultilevel"/>
    <w:lvl w:ilvl="0">
      <w:lvlJc w:val="left"/>
      <w:lvlText w:val="(%1)"/>
      <w:numFmt w:val="decimal"/>
      <w:start w:val="6"/>
    </w:lvl>
  </w:abstractNum>
  <w:abstractNum w:abstractNumId="114">
    <w:nsid w:val="5046B5A9"/>
    <w:multiLevelType w:val="hybridMultilevel"/>
    <w:lvl w:ilvl="0">
      <w:lvlJc w:val="left"/>
      <w:lvlText w:val="•"/>
      <w:numFmt w:val="bullet"/>
      <w:start w:val="1"/>
    </w:lvl>
  </w:abstractNum>
  <w:abstractNum w:abstractNumId="115">
    <w:nsid w:val="5D888A08"/>
    <w:multiLevelType w:val="hybridMultilevel"/>
    <w:lvl w:ilvl="0">
      <w:lvlJc w:val="left"/>
      <w:lvlText w:val="(%1)"/>
      <w:numFmt w:val="lowerRoman"/>
      <w:start w:val="1"/>
    </w:lvl>
  </w:abstractNum>
  <w:abstractNum w:abstractNumId="116">
    <w:nsid w:val="2A082C70"/>
    <w:multiLevelType w:val="hybridMultilevel"/>
    <w:lvl w:ilvl="0">
      <w:lvlJc w:val="left"/>
      <w:lvlText w:val="(%1)"/>
      <w:numFmt w:val="lowerRoman"/>
      <w:start w:val="3"/>
    </w:lvl>
  </w:abstractNum>
  <w:abstractNum w:abstractNumId="117">
    <w:nsid w:val="5EC6AFD4"/>
    <w:multiLevelType w:val="hybridMultilevel"/>
    <w:lvl w:ilvl="0">
      <w:lvlJc w:val="left"/>
      <w:lvlText w:val="•"/>
      <w:numFmt w:val="bullet"/>
      <w:start w:val="1"/>
    </w:lvl>
  </w:abstractNum>
  <w:abstractNum w:abstractNumId="118">
    <w:nsid w:val="19E21BB2"/>
    <w:multiLevelType w:val="hybridMultilevel"/>
    <w:lvl w:ilvl="0">
      <w:lvlJc w:val="left"/>
      <w:lvlText w:val="•"/>
      <w:numFmt w:val="bullet"/>
      <w:start w:val="1"/>
    </w:lvl>
  </w:abstractNum>
  <w:abstractNum w:abstractNumId="119">
    <w:nsid w:val="75E0858A"/>
    <w:multiLevelType w:val="hybridMultilevel"/>
    <w:lvl w:ilvl="0">
      <w:lvlJc w:val="left"/>
      <w:lvlText w:val="•"/>
      <w:numFmt w:val="bullet"/>
      <w:start w:val="1"/>
    </w:lvl>
  </w:abstractNum>
  <w:abstractNum w:abstractNumId="120">
    <w:nsid w:val="57A61A29"/>
    <w:multiLevelType w:val="hybridMultilevel"/>
    <w:lvl w:ilvl="0">
      <w:lvlJc w:val="left"/>
      <w:lvlText w:val="•"/>
      <w:numFmt w:val="bullet"/>
      <w:start w:val="1"/>
    </w:lvl>
  </w:abstractNum>
  <w:abstractNum w:abstractNumId="121">
    <w:nsid w:val="5399C654"/>
    <w:multiLevelType w:val="hybridMultilevel"/>
    <w:lvl w:ilvl="0">
      <w:lvlJc w:val="left"/>
      <w:lvlText w:val="•"/>
      <w:numFmt w:val="bullet"/>
      <w:start w:val="1"/>
    </w:lvl>
  </w:abstractNum>
  <w:abstractNum w:abstractNumId="122">
    <w:nsid w:val="20EE1348"/>
    <w:multiLevelType w:val="hybridMultilevel"/>
    <w:lvl w:ilvl="0">
      <w:lvlJc w:val="left"/>
      <w:lvlText w:val="•"/>
      <w:numFmt w:val="bullet"/>
      <w:start w:val="1"/>
    </w:lvl>
  </w:abstractNum>
  <w:abstractNum w:abstractNumId="123">
    <w:nsid w:val="4427069A"/>
    <w:multiLevelType w:val="hybridMultilevel"/>
    <w:lvl w:ilvl="0">
      <w:lvlJc w:val="left"/>
      <w:lvlText w:val="(%1)"/>
      <w:numFmt w:val="lowerRoman"/>
      <w:start w:val="1"/>
    </w:lvl>
  </w:abstractNum>
  <w:abstractNum w:abstractNumId="124">
    <w:nsid w:val="B37E80A"/>
    <w:multiLevelType w:val="hybridMultilevel"/>
    <w:lvl w:ilvl="0">
      <w:lvlJc w:val="left"/>
      <w:lvlText w:val="•"/>
      <w:numFmt w:val="bullet"/>
      <w:start w:val="1"/>
    </w:lvl>
  </w:abstractNum>
  <w:abstractNum w:abstractNumId="125">
    <w:nsid w:val="2157F6BC"/>
    <w:multiLevelType w:val="hybridMultilevel"/>
    <w:lvl w:ilvl="0">
      <w:lvlJc w:val="left"/>
      <w:lvlText w:val="•"/>
      <w:numFmt w:val="bullet"/>
      <w:start w:val="1"/>
    </w:lvl>
  </w:abstractNum>
  <w:abstractNum w:abstractNumId="126">
    <w:nsid w:val="704E1DD5"/>
    <w:multiLevelType w:val="hybridMultilevel"/>
    <w:lvl w:ilvl="0">
      <w:lvlJc w:val="left"/>
      <w:lvlText w:val="•"/>
      <w:numFmt w:val="bullet"/>
      <w:start w:val="1"/>
    </w:lvl>
  </w:abstractNum>
  <w:abstractNum w:abstractNumId="127">
    <w:nsid w:val="57D2F10E"/>
    <w:multiLevelType w:val="hybridMultilevel"/>
    <w:lvl w:ilvl="0">
      <w:lvlJc w:val="left"/>
      <w:lvlText w:val="(%1)"/>
      <w:numFmt w:val="lowerRoman"/>
      <w:start w:val="1"/>
    </w:lvl>
  </w:abstractNum>
  <w:abstractNum w:abstractNumId="128">
    <w:nsid w:val="BFFAE18"/>
    <w:multiLevelType w:val="hybridMultilevel"/>
    <w:lvl w:ilvl="0">
      <w:lvlJc w:val="left"/>
      <w:lvlText w:val="(%1)"/>
      <w:numFmt w:val="lowerRoman"/>
      <w:start w:val="3"/>
    </w:lvl>
  </w:abstractNum>
  <w:abstractNum w:abstractNumId="129">
    <w:nsid w:val="E3E47A8"/>
    <w:multiLevelType w:val="hybridMultilevel"/>
    <w:lvl w:ilvl="0">
      <w:lvlJc w:val="left"/>
      <w:lvlText w:val="(%1)"/>
      <w:numFmt w:val="lowerRoman"/>
      <w:start w:val="8"/>
    </w:lvl>
  </w:abstractNum>
  <w:abstractNum w:abstractNumId="130">
    <w:nsid w:val="2E48F044"/>
    <w:multiLevelType w:val="hybridMultilevel"/>
    <w:lvl w:ilvl="0">
      <w:lvlJc w:val="left"/>
      <w:lvlText w:val="(%1)"/>
      <w:numFmt w:val="lowerRoman"/>
      <w:start w:val="1"/>
    </w:lvl>
  </w:abstractNum>
  <w:abstractNum w:abstractNumId="131">
    <w:nsid w:val="49D0FEAC"/>
    <w:multiLevelType w:val="hybridMultilevel"/>
    <w:lvl w:ilvl="0">
      <w:lvlJc w:val="left"/>
      <w:lvlText w:val="(%1)"/>
      <w:numFmt w:val="lowerLetter"/>
      <w:start w:val="1"/>
    </w:lvl>
  </w:abstractNum>
  <w:abstractNum w:abstractNumId="132">
    <w:nsid w:val="4BEE5A5B"/>
    <w:multiLevelType w:val="hybridMultilevel"/>
    <w:lvl w:ilvl="0">
      <w:lvlJc w:val="left"/>
      <w:lvlText w:val="1"/>
      <w:numFmt w:val="bullet"/>
      <w:start w:val="1"/>
    </w:lvl>
  </w:abstractNum>
  <w:abstractNum w:abstractNumId="133">
    <w:nsid w:val="5551B9F3"/>
    <w:multiLevelType w:val="hybridMultilevel"/>
    <w:lvl w:ilvl="0">
      <w:lvlJc w:val="left"/>
      <w:lvlText w:val="%1."/>
      <w:numFmt w:val="decimal"/>
      <w:start w:val="2"/>
    </w:lvl>
  </w:abstractNum>
  <w:abstractNum w:abstractNumId="134">
    <w:nsid w:val="24F6AB8E"/>
    <w:multiLevelType w:val="hybridMultilevel"/>
    <w:lvl w:ilvl="0">
      <w:lvlJc w:val="left"/>
      <w:lvlText w:val="•"/>
      <w:numFmt w:val="bullet"/>
      <w:start w:val="1"/>
    </w:lvl>
  </w:abstractNum>
  <w:abstractNum w:abstractNumId="135">
    <w:nsid w:val="634C574C"/>
    <w:multiLevelType w:val="hybridMultilevel"/>
    <w:lvl w:ilvl="0">
      <w:lvlJc w:val="left"/>
      <w:lvlText w:val="(%1)"/>
      <w:numFmt w:val="lowerRoman"/>
      <w:start w:val="2"/>
    </w:lvl>
  </w:abstractNum>
  <w:abstractNum w:abstractNumId="136">
    <w:nsid w:val="24E99DD7"/>
    <w:multiLevelType w:val="hybridMultilevel"/>
    <w:lvl w:ilvl="0">
      <w:lvlJc w:val="left"/>
      <w:lvlText w:val="•"/>
      <w:numFmt w:val="bullet"/>
      <w:start w:val="1"/>
    </w:lvl>
  </w:abstractNum>
  <w:abstractNum w:abstractNumId="137">
    <w:nsid w:val="2A31B62D"/>
    <w:multiLevelType w:val="hybridMultilevel"/>
    <w:lvl w:ilvl="0">
      <w:lvlJc w:val="left"/>
      <w:lvlText w:val="%1."/>
      <w:numFmt w:val="decimal"/>
      <w:start w:val="11"/>
    </w:lvl>
  </w:abstractNum>
  <w:abstractNum w:abstractNumId="138">
    <w:nsid w:val="1849C29B"/>
    <w:multiLevelType w:val="hybridMultilevel"/>
    <w:lvl w:ilvl="0">
      <w:lvlJc w:val="left"/>
      <w:lvlText w:val="%1)"/>
      <w:numFmt w:val="lowerLetter"/>
      <w:start w:val="1"/>
    </w:lvl>
  </w:abstractNum>
  <w:abstractNum w:abstractNumId="139">
    <w:nsid w:val="7DFF9D09"/>
    <w:multiLevelType w:val="hybridMultilevel"/>
    <w:lvl w:ilvl="0">
      <w:lvlJc w:val="left"/>
      <w:lvlText w:val="%1."/>
      <w:numFmt w:val="decimal"/>
      <w:start w:val="2"/>
    </w:lvl>
  </w:abstractNum>
  <w:abstractNum w:abstractNumId="140">
    <w:nsid w:val="75434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2020-06-19T15:41:41Z</dcterms:created>
  <dcterms:modified xsi:type="dcterms:W3CDTF">2020-06-19T15:41:41Z</dcterms:modified>
</cp:coreProperties>
</file>