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174625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132715</wp:posOffset>
            </wp:positionV>
            <wp:extent cx="142303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337"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161290</wp:posOffset>
            </wp:positionV>
            <wp:extent cx="142303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382"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152"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 of the Securities Exchange Act of 1934</w:t>
      </w:r>
    </w:p>
    <w:p>
      <w:pPr>
        <w:spacing w:after="0" w:line="107"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Date of Report (Date of earliest event reported): February 28, 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222885</wp:posOffset>
            </wp:positionV>
            <wp:extent cx="142303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200" w:lineRule="exact"/>
        <w:rPr>
          <w:sz w:val="24"/>
          <w:szCs w:val="24"/>
          <w:color w:val="auto"/>
        </w:rPr>
      </w:pPr>
    </w:p>
    <w:p>
      <w:pPr>
        <w:spacing w:after="0" w:line="398"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Repare Therapeutics Inc.</w:t>
      </w:r>
    </w:p>
    <w:p>
      <w:pPr>
        <w:spacing w:after="0" w:line="90"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247650</wp:posOffset>
            </wp:positionV>
            <wp:extent cx="14230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381" w:lineRule="exact"/>
        <w:rPr>
          <w:sz w:val="24"/>
          <w:szCs w:val="24"/>
          <w:color w:val="auto"/>
        </w:rPr>
      </w:pPr>
    </w:p>
    <w:tbl>
      <w:tblPr>
        <w:tblLayout w:type="fixed"/>
        <w:tblInd w:w="1000" w:type="dxa"/>
        <w:tblCellMar>
          <w:top w:w="0" w:type="dxa"/>
          <w:left w:w="0" w:type="dxa"/>
          <w:bottom w:w="0" w:type="dxa"/>
          <w:right w:w="0" w:type="dxa"/>
        </w:tblCellMar>
      </w:tblPr>
      <w:tr>
        <w:trPr>
          <w:trHeight w:val="234"/>
        </w:trPr>
        <w:tc>
          <w:tcPr>
            <w:tcW w:w="3240" w:type="dxa"/>
            <w:vAlign w:val="bottom"/>
          </w:tcPr>
          <w:p>
            <w:pPr>
              <w:jc w:val="center"/>
              <w:ind w:right="541"/>
              <w:spacing w:after="0"/>
              <w:rPr>
                <w:sz w:val="20"/>
                <w:szCs w:val="20"/>
                <w:color w:val="auto"/>
              </w:rPr>
            </w:pPr>
            <w:r>
              <w:rPr>
                <w:rFonts w:ascii="Arial" w:cs="Arial" w:eastAsia="Arial" w:hAnsi="Arial"/>
                <w:sz w:val="18"/>
                <w:szCs w:val="18"/>
                <w:b w:val="1"/>
                <w:bCs w:val="1"/>
                <w:color w:val="auto"/>
                <w:w w:val="87"/>
              </w:rPr>
              <w:t>Quebec</w:t>
            </w:r>
          </w:p>
        </w:tc>
        <w:tc>
          <w:tcPr>
            <w:tcW w:w="3160" w:type="dxa"/>
            <w:vAlign w:val="bottom"/>
          </w:tcPr>
          <w:p>
            <w:pPr>
              <w:jc w:val="right"/>
              <w:ind w:right="1301"/>
              <w:spacing w:after="0"/>
              <w:rPr>
                <w:sz w:val="20"/>
                <w:szCs w:val="20"/>
                <w:color w:val="auto"/>
              </w:rPr>
            </w:pPr>
            <w:r>
              <w:rPr>
                <w:rFonts w:ascii="Arial" w:cs="Arial" w:eastAsia="Arial" w:hAnsi="Arial"/>
                <w:sz w:val="18"/>
                <w:szCs w:val="18"/>
                <w:b w:val="1"/>
                <w:bCs w:val="1"/>
                <w:color w:val="auto"/>
              </w:rPr>
              <w:t>001-39335</w:t>
            </w:r>
          </w:p>
        </w:tc>
        <w:tc>
          <w:tcPr>
            <w:tcW w:w="2100" w:type="dxa"/>
            <w:vAlign w:val="bottom"/>
          </w:tcPr>
          <w:p>
            <w:pPr>
              <w:jc w:val="center"/>
              <w:ind w:left="904"/>
              <w:spacing w:after="0"/>
              <w:rPr>
                <w:sz w:val="20"/>
                <w:szCs w:val="20"/>
                <w:color w:val="auto"/>
              </w:rPr>
            </w:pPr>
            <w:r>
              <w:rPr>
                <w:rFonts w:ascii="Arial" w:cs="Arial" w:eastAsia="Arial" w:hAnsi="Arial"/>
                <w:sz w:val="18"/>
                <w:szCs w:val="18"/>
                <w:b w:val="1"/>
                <w:bCs w:val="1"/>
                <w:color w:val="auto"/>
                <w:w w:val="90"/>
              </w:rPr>
              <w:t>Not applicable</w:t>
            </w:r>
          </w:p>
        </w:tc>
      </w:tr>
      <w:tr>
        <w:trPr>
          <w:trHeight w:val="149"/>
        </w:trPr>
        <w:tc>
          <w:tcPr>
            <w:tcW w:w="3240" w:type="dxa"/>
            <w:vAlign w:val="bottom"/>
          </w:tcPr>
          <w:p>
            <w:pPr>
              <w:jc w:val="center"/>
              <w:ind w:right="521"/>
              <w:spacing w:after="0"/>
              <w:rPr>
                <w:sz w:val="20"/>
                <w:szCs w:val="20"/>
                <w:color w:val="auto"/>
              </w:rPr>
            </w:pPr>
            <w:r>
              <w:rPr>
                <w:rFonts w:ascii="Arial" w:cs="Arial" w:eastAsia="Arial" w:hAnsi="Arial"/>
                <w:sz w:val="13"/>
                <w:szCs w:val="13"/>
                <w:b w:val="1"/>
                <w:bCs w:val="1"/>
                <w:color w:val="auto"/>
                <w:w w:val="95"/>
              </w:rPr>
              <w:t>(State or Other Jurisdiction</w:t>
            </w:r>
          </w:p>
        </w:tc>
        <w:tc>
          <w:tcPr>
            <w:tcW w:w="3160" w:type="dxa"/>
            <w:vAlign w:val="bottom"/>
          </w:tcPr>
          <w:p>
            <w:pPr>
              <w:jc w:val="center"/>
              <w:ind w:right="301"/>
              <w:spacing w:after="0"/>
              <w:rPr>
                <w:sz w:val="20"/>
                <w:szCs w:val="20"/>
                <w:color w:val="auto"/>
              </w:rPr>
            </w:pPr>
            <w:r>
              <w:rPr>
                <w:rFonts w:ascii="Arial" w:cs="Arial" w:eastAsia="Arial" w:hAnsi="Arial"/>
                <w:sz w:val="13"/>
                <w:szCs w:val="13"/>
                <w:b w:val="1"/>
                <w:bCs w:val="1"/>
                <w:color w:val="auto"/>
                <w:w w:val="95"/>
              </w:rPr>
              <w:t>(Commission File Number)</w:t>
            </w:r>
          </w:p>
        </w:tc>
        <w:tc>
          <w:tcPr>
            <w:tcW w:w="2100" w:type="dxa"/>
            <w:vAlign w:val="bottom"/>
          </w:tcPr>
          <w:p>
            <w:pPr>
              <w:jc w:val="center"/>
              <w:ind w:left="904"/>
              <w:spacing w:after="0"/>
              <w:rPr>
                <w:sz w:val="20"/>
                <w:szCs w:val="20"/>
                <w:color w:val="auto"/>
              </w:rPr>
            </w:pPr>
            <w:r>
              <w:rPr>
                <w:rFonts w:ascii="Arial" w:cs="Arial" w:eastAsia="Arial" w:hAnsi="Arial"/>
                <w:sz w:val="13"/>
                <w:szCs w:val="13"/>
                <w:b w:val="1"/>
                <w:bCs w:val="1"/>
                <w:color w:val="auto"/>
                <w:w w:val="98"/>
              </w:rPr>
              <w:t>(IRS Employer</w:t>
            </w:r>
          </w:p>
        </w:tc>
      </w:tr>
      <w:tr>
        <w:trPr>
          <w:trHeight w:val="174"/>
        </w:trPr>
        <w:tc>
          <w:tcPr>
            <w:tcW w:w="3240" w:type="dxa"/>
            <w:vAlign w:val="bottom"/>
          </w:tcPr>
          <w:p>
            <w:pPr>
              <w:jc w:val="center"/>
              <w:ind w:right="521"/>
              <w:spacing w:after="0"/>
              <w:rPr>
                <w:sz w:val="20"/>
                <w:szCs w:val="20"/>
                <w:color w:val="auto"/>
              </w:rPr>
            </w:pPr>
            <w:r>
              <w:rPr>
                <w:rFonts w:ascii="Arial" w:cs="Arial" w:eastAsia="Arial" w:hAnsi="Arial"/>
                <w:sz w:val="13"/>
                <w:szCs w:val="13"/>
                <w:b w:val="1"/>
                <w:bCs w:val="1"/>
                <w:color w:val="auto"/>
                <w:w w:val="96"/>
              </w:rPr>
              <w:t>of Incorporation)</w:t>
            </w:r>
          </w:p>
        </w:tc>
        <w:tc>
          <w:tcPr>
            <w:tcW w:w="3160" w:type="dxa"/>
            <w:vAlign w:val="bottom"/>
          </w:tcPr>
          <w:p>
            <w:pPr>
              <w:spacing w:after="0"/>
              <w:rPr>
                <w:sz w:val="15"/>
                <w:szCs w:val="15"/>
                <w:color w:val="auto"/>
              </w:rPr>
            </w:pPr>
          </w:p>
        </w:tc>
        <w:tc>
          <w:tcPr>
            <w:tcW w:w="2100" w:type="dxa"/>
            <w:vAlign w:val="bottom"/>
          </w:tcPr>
          <w:p>
            <w:pPr>
              <w:jc w:val="center"/>
              <w:ind w:left="884"/>
              <w:spacing w:after="0"/>
              <w:rPr>
                <w:sz w:val="20"/>
                <w:szCs w:val="20"/>
                <w:color w:val="auto"/>
              </w:rPr>
            </w:pPr>
            <w:r>
              <w:rPr>
                <w:rFonts w:ascii="Arial" w:cs="Arial" w:eastAsia="Arial" w:hAnsi="Arial"/>
                <w:sz w:val="13"/>
                <w:szCs w:val="13"/>
                <w:b w:val="1"/>
                <w:bCs w:val="1"/>
                <w:color w:val="auto"/>
                <w:w w:val="96"/>
              </w:rPr>
              <w:t>Identification No.)</w:t>
            </w:r>
          </w:p>
        </w:tc>
      </w:tr>
      <w:tr>
        <w:trPr>
          <w:trHeight w:val="441"/>
        </w:trPr>
        <w:tc>
          <w:tcPr>
            <w:tcW w:w="3240" w:type="dxa"/>
            <w:vAlign w:val="bottom"/>
          </w:tcPr>
          <w:p>
            <w:pPr>
              <w:jc w:val="center"/>
              <w:ind w:right="541"/>
              <w:spacing w:after="0"/>
              <w:rPr>
                <w:sz w:val="20"/>
                <w:szCs w:val="20"/>
                <w:color w:val="auto"/>
              </w:rPr>
            </w:pPr>
            <w:r>
              <w:rPr>
                <w:rFonts w:ascii="Arial" w:cs="Arial" w:eastAsia="Arial" w:hAnsi="Arial"/>
                <w:sz w:val="18"/>
                <w:szCs w:val="18"/>
                <w:b w:val="1"/>
                <w:bCs w:val="1"/>
                <w:color w:val="auto"/>
                <w:w w:val="90"/>
              </w:rPr>
              <w:t>7210 Frederick-Banting, Suite 100</w:t>
            </w:r>
          </w:p>
        </w:tc>
        <w:tc>
          <w:tcPr>
            <w:tcW w:w="316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34"/>
        </w:trPr>
        <w:tc>
          <w:tcPr>
            <w:tcW w:w="3240" w:type="dxa"/>
            <w:vAlign w:val="bottom"/>
          </w:tcPr>
          <w:p>
            <w:pPr>
              <w:jc w:val="center"/>
              <w:ind w:right="521"/>
              <w:spacing w:after="0"/>
              <w:rPr>
                <w:sz w:val="20"/>
                <w:szCs w:val="20"/>
                <w:color w:val="auto"/>
              </w:rPr>
            </w:pPr>
            <w:r>
              <w:rPr>
                <w:rFonts w:ascii="Arial" w:cs="Arial" w:eastAsia="Arial" w:hAnsi="Arial"/>
                <w:sz w:val="18"/>
                <w:szCs w:val="18"/>
                <w:b w:val="1"/>
                <w:bCs w:val="1"/>
                <w:color w:val="auto"/>
                <w:w w:val="91"/>
              </w:rPr>
              <w:t>St-Laurent, Quebec, Canada</w:t>
            </w:r>
          </w:p>
        </w:tc>
        <w:tc>
          <w:tcPr>
            <w:tcW w:w="3160" w:type="dxa"/>
            <w:vAlign w:val="bottom"/>
          </w:tcPr>
          <w:p>
            <w:pPr>
              <w:spacing w:after="0"/>
              <w:rPr>
                <w:sz w:val="20"/>
                <w:szCs w:val="20"/>
                <w:color w:val="auto"/>
              </w:rPr>
            </w:pPr>
          </w:p>
        </w:tc>
        <w:tc>
          <w:tcPr>
            <w:tcW w:w="2100" w:type="dxa"/>
            <w:vAlign w:val="bottom"/>
          </w:tcPr>
          <w:p>
            <w:pPr>
              <w:jc w:val="center"/>
              <w:ind w:left="904"/>
              <w:spacing w:after="0"/>
              <w:rPr>
                <w:sz w:val="20"/>
                <w:szCs w:val="20"/>
                <w:color w:val="auto"/>
              </w:rPr>
            </w:pPr>
            <w:r>
              <w:rPr>
                <w:rFonts w:ascii="Arial" w:cs="Arial" w:eastAsia="Arial" w:hAnsi="Arial"/>
                <w:sz w:val="18"/>
                <w:szCs w:val="18"/>
                <w:b w:val="1"/>
                <w:bCs w:val="1"/>
                <w:color w:val="auto"/>
                <w:w w:val="93"/>
              </w:rPr>
              <w:t>H4S 2A1</w:t>
            </w:r>
          </w:p>
        </w:tc>
      </w:tr>
      <w:tr>
        <w:trPr>
          <w:trHeight w:val="175"/>
        </w:trPr>
        <w:tc>
          <w:tcPr>
            <w:tcW w:w="3240" w:type="dxa"/>
            <w:vAlign w:val="bottom"/>
          </w:tcPr>
          <w:p>
            <w:pPr>
              <w:jc w:val="center"/>
              <w:ind w:right="521"/>
              <w:spacing w:after="0"/>
              <w:rPr>
                <w:sz w:val="20"/>
                <w:szCs w:val="20"/>
                <w:color w:val="auto"/>
              </w:rPr>
            </w:pPr>
            <w:r>
              <w:rPr>
                <w:rFonts w:ascii="Arial" w:cs="Arial" w:eastAsia="Arial" w:hAnsi="Arial"/>
                <w:sz w:val="13"/>
                <w:szCs w:val="13"/>
                <w:b w:val="1"/>
                <w:bCs w:val="1"/>
                <w:color w:val="auto"/>
                <w:w w:val="93"/>
              </w:rPr>
              <w:t>(Address of Principal Executive Offices)</w:t>
            </w:r>
          </w:p>
        </w:tc>
        <w:tc>
          <w:tcPr>
            <w:tcW w:w="3160" w:type="dxa"/>
            <w:vAlign w:val="bottom"/>
          </w:tcPr>
          <w:p>
            <w:pPr>
              <w:spacing w:after="0"/>
              <w:rPr>
                <w:sz w:val="15"/>
                <w:szCs w:val="15"/>
                <w:color w:val="auto"/>
              </w:rPr>
            </w:pPr>
          </w:p>
        </w:tc>
        <w:tc>
          <w:tcPr>
            <w:tcW w:w="2100" w:type="dxa"/>
            <w:vAlign w:val="bottom"/>
          </w:tcPr>
          <w:p>
            <w:pPr>
              <w:jc w:val="center"/>
              <w:ind w:left="904"/>
              <w:spacing w:after="0"/>
              <w:rPr>
                <w:sz w:val="20"/>
                <w:szCs w:val="20"/>
                <w:color w:val="auto"/>
              </w:rPr>
            </w:pPr>
            <w:r>
              <w:rPr>
                <w:rFonts w:ascii="Arial" w:cs="Arial" w:eastAsia="Arial" w:hAnsi="Arial"/>
                <w:sz w:val="13"/>
                <w:szCs w:val="13"/>
                <w:b w:val="1"/>
                <w:bCs w:val="1"/>
                <w:color w:val="auto"/>
                <w:w w:val="99"/>
              </w:rPr>
              <w:t>(Zip Code)</w:t>
            </w:r>
          </w:p>
        </w:tc>
      </w:tr>
    </w:tbl>
    <w:p>
      <w:pPr>
        <w:spacing w:after="0" w:line="200" w:lineRule="exact"/>
        <w:rPr>
          <w:sz w:val="24"/>
          <w:szCs w:val="24"/>
          <w:color w:val="auto"/>
        </w:rPr>
      </w:pPr>
    </w:p>
    <w:p>
      <w:pPr>
        <w:spacing w:after="0" w:line="228"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Registrant’s Telephone Number, Including Area Code: 857 412-7018</w:t>
      </w:r>
    </w:p>
    <w:p>
      <w:pPr>
        <w:spacing w:after="0" w:line="200" w:lineRule="exact"/>
        <w:rPr>
          <w:sz w:val="24"/>
          <w:szCs w:val="24"/>
          <w:color w:val="auto"/>
        </w:rPr>
      </w:pPr>
    </w:p>
    <w:p>
      <w:pPr>
        <w:spacing w:after="0" w:line="200" w:lineRule="exact"/>
        <w:rPr>
          <w:sz w:val="24"/>
          <w:szCs w:val="24"/>
          <w:color w:val="auto"/>
        </w:rPr>
      </w:pPr>
    </w:p>
    <w:p>
      <w:pPr>
        <w:spacing w:after="0" w:line="236"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255905</wp:posOffset>
            </wp:positionV>
            <wp:extent cx="142303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200" w:lineRule="exact"/>
        <w:rPr>
          <w:sz w:val="24"/>
          <w:szCs w:val="24"/>
          <w:color w:val="auto"/>
        </w:rPr>
      </w:pPr>
    </w:p>
    <w:p>
      <w:pPr>
        <w:spacing w:after="0" w:line="344"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16" w:lineRule="exact"/>
        <w:rPr>
          <w:sz w:val="24"/>
          <w:szCs w:val="24"/>
          <w:color w:val="auto"/>
        </w:rPr>
      </w:pPr>
    </w:p>
    <w:p>
      <w:pPr>
        <w:ind w:left="380" w:hanging="372"/>
        <w:spacing w:after="0"/>
        <w:tabs>
          <w:tab w:leader="none" w:pos="3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380" w:hanging="372"/>
        <w:spacing w:after="0"/>
        <w:tabs>
          <w:tab w:leader="none" w:pos="3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380" w:hanging="372"/>
        <w:spacing w:after="0"/>
        <w:tabs>
          <w:tab w:leader="none" w:pos="3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380" w:hanging="372"/>
        <w:spacing w:after="0"/>
        <w:tabs>
          <w:tab w:leader="none" w:pos="3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67"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320" w:type="dxa"/>
            <w:vAlign w:val="bottom"/>
          </w:tcPr>
          <w:p>
            <w:pPr>
              <w:spacing w:after="0"/>
              <w:rPr>
                <w:sz w:val="20"/>
                <w:szCs w:val="20"/>
                <w:color w:val="auto"/>
              </w:rPr>
            </w:pPr>
          </w:p>
        </w:tc>
        <w:tc>
          <w:tcPr>
            <w:tcW w:w="7920" w:type="dxa"/>
            <w:vAlign w:val="bottom"/>
            <w:gridSpan w:val="5"/>
          </w:tcPr>
          <w:p>
            <w:pPr>
              <w:ind w:left="100"/>
              <w:spacing w:after="0"/>
              <w:rPr>
                <w:sz w:val="20"/>
                <w:szCs w:val="20"/>
                <w:color w:val="auto"/>
              </w:rPr>
            </w:pPr>
            <w:r>
              <w:rPr>
                <w:rFonts w:ascii="Arial" w:cs="Arial" w:eastAsia="Arial" w:hAnsi="Arial"/>
                <w:sz w:val="18"/>
                <w:szCs w:val="18"/>
                <w:b w:val="1"/>
                <w:bCs w:val="1"/>
                <w:color w:val="auto"/>
              </w:rPr>
              <w:t>Securities registered pursuant to Section 12(b) of the Act:</w:t>
            </w:r>
          </w:p>
        </w:tc>
      </w:tr>
      <w:tr>
        <w:trPr>
          <w:trHeight w:val="360"/>
        </w:trPr>
        <w:tc>
          <w:tcPr>
            <w:tcW w:w="33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tcPr>
          <w:p>
            <w:pPr>
              <w:jc w:val="center"/>
              <w:spacing w:after="0"/>
              <w:rPr>
                <w:sz w:val="20"/>
                <w:szCs w:val="20"/>
                <w:color w:val="auto"/>
              </w:rPr>
            </w:pPr>
            <w:r>
              <w:rPr>
                <w:rFonts w:ascii="Arial" w:cs="Arial" w:eastAsia="Arial" w:hAnsi="Arial"/>
                <w:sz w:val="18"/>
                <w:szCs w:val="18"/>
                <w:b w:val="1"/>
                <w:bCs w:val="1"/>
                <w:color w:val="auto"/>
                <w:w w:val="93"/>
              </w:rPr>
              <w:t>Trading</w:t>
            </w:r>
          </w:p>
        </w:tc>
        <w:tc>
          <w:tcPr>
            <w:tcW w:w="120" w:type="dxa"/>
            <w:vAlign w:val="bottom"/>
          </w:tcPr>
          <w:p>
            <w:pPr>
              <w:spacing w:after="0"/>
              <w:rPr>
                <w:sz w:val="24"/>
                <w:szCs w:val="24"/>
                <w:color w:val="auto"/>
              </w:rPr>
            </w:pPr>
          </w:p>
        </w:tc>
        <w:tc>
          <w:tcPr>
            <w:tcW w:w="5040" w:type="dxa"/>
            <w:vAlign w:val="bottom"/>
          </w:tcPr>
          <w:p>
            <w:pPr>
              <w:spacing w:after="0"/>
              <w:rPr>
                <w:sz w:val="24"/>
                <w:szCs w:val="24"/>
                <w:color w:val="auto"/>
              </w:rPr>
            </w:pPr>
          </w:p>
        </w:tc>
      </w:tr>
      <w:tr>
        <w:trPr>
          <w:trHeight w:val="241"/>
        </w:trPr>
        <w:tc>
          <w:tcPr>
            <w:tcW w:w="3320" w:type="dxa"/>
            <w:vAlign w:val="bottom"/>
            <w:tcBorders>
              <w:bottom w:val="single" w:sz="8" w:color="auto"/>
            </w:tcBorders>
          </w:tcPr>
          <w:p>
            <w:pPr>
              <w:jc w:val="center"/>
              <w:ind w:left="890"/>
              <w:spacing w:after="0"/>
              <w:rPr>
                <w:sz w:val="20"/>
                <w:szCs w:val="20"/>
                <w:color w:val="auto"/>
              </w:rPr>
            </w:pPr>
            <w:r>
              <w:rPr>
                <w:rFonts w:ascii="Arial" w:cs="Arial" w:eastAsia="Arial" w:hAnsi="Arial"/>
                <w:sz w:val="18"/>
                <w:szCs w:val="18"/>
                <w:b w:val="1"/>
                <w:bCs w:val="1"/>
                <w:color w:val="auto"/>
                <w:w w:val="86"/>
              </w:rPr>
              <w:t>Title of each class</w:t>
            </w:r>
          </w:p>
        </w:tc>
        <w:tc>
          <w:tcPr>
            <w:tcW w:w="96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Symbol(s)</w:t>
            </w:r>
          </w:p>
        </w:tc>
        <w:tc>
          <w:tcPr>
            <w:tcW w:w="120" w:type="dxa"/>
            <w:vAlign w:val="bottom"/>
          </w:tcPr>
          <w:p>
            <w:pPr>
              <w:spacing w:after="0"/>
              <w:rPr>
                <w:sz w:val="20"/>
                <w:szCs w:val="20"/>
                <w:color w:val="auto"/>
              </w:rPr>
            </w:pPr>
          </w:p>
        </w:tc>
        <w:tc>
          <w:tcPr>
            <w:tcW w:w="50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30"/>
        </w:trPr>
        <w:tc>
          <w:tcPr>
            <w:tcW w:w="3320" w:type="dxa"/>
            <w:vAlign w:val="bottom"/>
          </w:tcPr>
          <w:p>
            <w:pPr>
              <w:jc w:val="center"/>
              <w:ind w:left="890"/>
              <w:spacing w:after="0"/>
              <w:rPr>
                <w:sz w:val="20"/>
                <w:szCs w:val="20"/>
                <w:color w:val="auto"/>
              </w:rPr>
            </w:pPr>
            <w:r>
              <w:rPr>
                <w:rFonts w:ascii="Arial" w:cs="Arial" w:eastAsia="Arial" w:hAnsi="Arial"/>
                <w:sz w:val="18"/>
                <w:szCs w:val="18"/>
                <w:color w:val="auto"/>
                <w:w w:val="88"/>
              </w:rPr>
              <w:t>Common shares, no par value</w:t>
            </w:r>
          </w:p>
        </w:tc>
        <w:tc>
          <w:tcPr>
            <w:tcW w:w="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tcPr>
          <w:p>
            <w:pPr>
              <w:jc w:val="center"/>
              <w:spacing w:after="0"/>
              <w:rPr>
                <w:sz w:val="20"/>
                <w:szCs w:val="20"/>
                <w:color w:val="auto"/>
              </w:rPr>
            </w:pPr>
            <w:r>
              <w:rPr>
                <w:rFonts w:ascii="Arial" w:cs="Arial" w:eastAsia="Arial" w:hAnsi="Arial"/>
                <w:sz w:val="18"/>
                <w:szCs w:val="18"/>
                <w:color w:val="auto"/>
                <w:w w:val="95"/>
              </w:rPr>
              <w:t>RPTX</w:t>
            </w:r>
          </w:p>
        </w:tc>
        <w:tc>
          <w:tcPr>
            <w:tcW w:w="120" w:type="dxa"/>
            <w:vAlign w:val="bottom"/>
          </w:tcPr>
          <w:p>
            <w:pPr>
              <w:spacing w:after="0"/>
              <w:rPr>
                <w:sz w:val="20"/>
                <w:szCs w:val="20"/>
                <w:color w:val="auto"/>
              </w:rPr>
            </w:pPr>
          </w:p>
        </w:tc>
        <w:tc>
          <w:tcPr>
            <w:tcW w:w="5040" w:type="dxa"/>
            <w:vAlign w:val="bottom"/>
          </w:tcPr>
          <w:p>
            <w:pPr>
              <w:jc w:val="center"/>
              <w:spacing w:after="0"/>
              <w:rPr>
                <w:sz w:val="20"/>
                <w:szCs w:val="20"/>
                <w:color w:val="auto"/>
              </w:rPr>
            </w:pPr>
            <w:r>
              <w:rPr>
                <w:rFonts w:ascii="Arial" w:cs="Arial" w:eastAsia="Arial" w:hAnsi="Arial"/>
                <w:sz w:val="18"/>
                <w:szCs w:val="18"/>
                <w:color w:val="auto"/>
                <w:w w:val="91"/>
              </w:rPr>
              <w:t>The Nasdaq Stock Market LLC</w:t>
            </w:r>
          </w:p>
        </w:tc>
      </w:tr>
    </w:tbl>
    <w:p>
      <w:pPr>
        <w:spacing w:after="0" w:line="201" w:lineRule="exact"/>
        <w:rPr>
          <w:sz w:val="24"/>
          <w:szCs w:val="24"/>
          <w:color w:val="auto"/>
        </w:rPr>
      </w:pPr>
    </w:p>
    <w:p>
      <w:pPr>
        <w:ind w:right="48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 230.405 of this chapter) or Rule 12b-2 of the Securities Exchange Act of 1934 (§ 240.12b-2 of this chapter).</w:t>
      </w:r>
    </w:p>
    <w:p>
      <w:pPr>
        <w:spacing w:after="0" w:line="84"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04"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343535</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71"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121" w:lineRule="exact"/>
        <w:rPr>
          <w:sz w:val="20"/>
          <w:szCs w:val="20"/>
          <w:color w:val="auto"/>
        </w:rPr>
      </w:pPr>
    </w:p>
    <w:p>
      <w:pPr>
        <w:ind w:right="140"/>
        <w:spacing w:after="0" w:line="263" w:lineRule="auto"/>
        <w:rPr>
          <w:sz w:val="20"/>
          <w:szCs w:val="20"/>
          <w:color w:val="auto"/>
        </w:rPr>
      </w:pPr>
      <w:r>
        <w:rPr>
          <w:rFonts w:ascii="Arial" w:cs="Arial" w:eastAsia="Arial" w:hAnsi="Arial"/>
          <w:sz w:val="18"/>
          <w:szCs w:val="18"/>
          <w:color w:val="auto"/>
        </w:rPr>
        <w:t>On February 28, 2023, Repare Therapeutics Inc. (the "Company") issued a press release announcing its recent business highlights and financial results for the three and twelve months ended December 31, 2022. A copy of the press release is furnished hereto as Exhibit 99.1 and is incorporated herein by reference.</w:t>
      </w:r>
    </w:p>
    <w:p>
      <w:pPr>
        <w:spacing w:after="0" w:line="29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information in this Current Report on Form 8-K, including Exhibit 99.1 attached hereto, is being furnished and shall not be deemed “filed” for purposes of Section 18 of the Securities Exchange Act of 1934, as amended (the “Exchange Act”) or otherwise subject to the liabilities of that section. The information contained herein and in the accompanying exhibit is not incorporated by reference in any filing of the Company under the Securities Act of 1933, as amended, or the Exchange Act, whether made before or after the date hereof, regardless of any general incorporation language in such filing, except as shall be expressly set forth by specific reference in such filing.</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135" w:lineRule="exact"/>
        <w:rPr>
          <w:sz w:val="20"/>
          <w:szCs w:val="20"/>
          <w:color w:val="auto"/>
        </w:rPr>
      </w:pPr>
    </w:p>
    <w:p>
      <w:pPr>
        <w:ind w:left="20"/>
        <w:spacing w:after="0"/>
        <w:rPr>
          <w:sz w:val="20"/>
          <w:szCs w:val="20"/>
          <w:color w:val="auto"/>
        </w:rPr>
      </w:pPr>
      <w:r>
        <w:rPr>
          <w:rFonts w:ascii="Arial" w:cs="Arial" w:eastAsia="Arial" w:hAnsi="Arial"/>
          <w:sz w:val="18"/>
          <w:szCs w:val="18"/>
          <w:color w:val="auto"/>
        </w:rPr>
        <w:t>Exhibit</w:t>
      </w:r>
    </w:p>
    <w:p>
      <w:pPr>
        <w:spacing w:after="0" w:line="239" w:lineRule="exact"/>
        <w:rPr>
          <w:sz w:val="20"/>
          <w:szCs w:val="20"/>
          <w:color w:val="auto"/>
        </w:rPr>
      </w:pPr>
    </w:p>
    <w:p>
      <w:pPr>
        <w:ind w:left="20"/>
        <w:spacing w:after="0"/>
        <w:tabs>
          <w:tab w:leader="none" w:pos="5700" w:val="left"/>
        </w:tabs>
        <w:rPr>
          <w:sz w:val="20"/>
          <w:szCs w:val="20"/>
          <w:color w:val="auto"/>
        </w:rPr>
      </w:pPr>
      <w:r>
        <w:rPr>
          <w:rFonts w:ascii="Arial" w:cs="Arial" w:eastAsia="Arial" w:hAnsi="Arial"/>
          <w:sz w:val="18"/>
          <w:szCs w:val="18"/>
          <w:color w:val="auto"/>
        </w:rPr>
        <w:t>No.</w:t>
      </w:r>
      <w:r>
        <w:rPr>
          <w:sz w:val="20"/>
          <w:szCs w:val="20"/>
          <w:color w:val="auto"/>
        </w:rPr>
        <w:tab/>
      </w:r>
      <w:r>
        <w:rPr>
          <w:rFonts w:ascii="Arial" w:cs="Arial" w:eastAsia="Arial" w:hAnsi="Arial"/>
          <w:sz w:val="18"/>
          <w:szCs w:val="18"/>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32" w:lineRule="exact"/>
        <w:rPr>
          <w:sz w:val="20"/>
          <w:szCs w:val="20"/>
          <w:color w:val="auto"/>
        </w:rPr>
      </w:pPr>
    </w:p>
    <w:p>
      <w:pPr>
        <w:ind w:left="320"/>
        <w:spacing w:after="0"/>
        <w:tabs>
          <w:tab w:leader="none" w:pos="104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5"/>
          <w:szCs w:val="15"/>
          <w:u w:val="single" w:color="auto"/>
          <w:color w:val="0000FF"/>
        </w:rPr>
        <w:t>Press Release dated February 28, 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673735</wp:posOffset>
            </wp:positionH>
            <wp:positionV relativeFrom="paragraph">
              <wp:posOffset>-10160</wp:posOffset>
            </wp:positionV>
            <wp:extent cx="177038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770380" cy="8255"/>
                    </a:xfrm>
                    <a:prstGeom prst="rect">
                      <a:avLst/>
                    </a:prstGeom>
                    <a:noFill/>
                  </pic:spPr>
                </pic:pic>
              </a:graphicData>
            </a:graphic>
          </wp:anchor>
        </w:drawing>
      </w:r>
    </w:p>
    <w:p>
      <w:pPr>
        <w:spacing w:after="0" w:line="219" w:lineRule="exact"/>
        <w:rPr>
          <w:sz w:val="20"/>
          <w:szCs w:val="20"/>
          <w:color w:val="auto"/>
        </w:rPr>
      </w:pPr>
    </w:p>
    <w:p>
      <w:pPr>
        <w:ind w:left="1060" w:hanging="721"/>
        <w:spacing w:after="0"/>
        <w:tabs>
          <w:tab w:leader="none" w:pos="1060" w:val="left"/>
        </w:tabs>
        <w:numPr>
          <w:ilvl w:val="0"/>
          <w:numId w:val="2"/>
        </w:numPr>
        <w:rPr>
          <w:rFonts w:ascii="Arial" w:cs="Arial" w:eastAsia="Arial" w:hAnsi="Arial"/>
          <w:sz w:val="18"/>
          <w:szCs w:val="18"/>
          <w:color w:val="auto"/>
        </w:rPr>
      </w:pPr>
      <w:r>
        <w:rPr>
          <w:rFonts w:ascii="Arial" w:cs="Arial" w:eastAsia="Arial" w:hAnsi="Arial"/>
          <w:sz w:val="18"/>
          <w:szCs w:val="18"/>
          <w:u w:val="single" w:color="auto"/>
          <w:color w:val="auto"/>
        </w:rPr>
        <w:t>Cover Page Interactive Data File (embedded within the Inline XBRL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353695</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45" w:right="339" w:bottom="1440" w:gutter="0" w:footer="0" w:header="0"/>
        </w:sectPr>
      </w:pPr>
    </w:p>
    <w:bookmarkStart w:id="2" w:name="page3"/>
    <w:bookmarkEnd w:id="2"/>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17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11" w:lineRule="exact"/>
        <w:rPr>
          <w:sz w:val="20"/>
          <w:szCs w:val="20"/>
          <w:color w:val="auto"/>
        </w:rPr>
      </w:pPr>
    </w:p>
    <w:p>
      <w:pPr>
        <w:ind w:left="6100"/>
        <w:spacing w:after="0"/>
        <w:rPr>
          <w:sz w:val="20"/>
          <w:szCs w:val="20"/>
          <w:color w:val="auto"/>
        </w:rPr>
      </w:pPr>
      <w:r>
        <w:rPr>
          <w:rFonts w:ascii="Arial" w:cs="Arial" w:eastAsia="Arial" w:hAnsi="Arial"/>
          <w:sz w:val="18"/>
          <w:szCs w:val="18"/>
          <w:color w:val="auto"/>
        </w:rPr>
        <w:t>REPARE THERAPEUTICS INC.</w:t>
      </w:r>
    </w:p>
    <w:p>
      <w:pPr>
        <w:spacing w:after="0" w:line="200" w:lineRule="exact"/>
        <w:rPr>
          <w:sz w:val="20"/>
          <w:szCs w:val="20"/>
          <w:color w:val="auto"/>
        </w:rPr>
      </w:pPr>
    </w:p>
    <w:p>
      <w:pPr>
        <w:spacing w:after="0" w:line="201" w:lineRule="exact"/>
        <w:rPr>
          <w:sz w:val="20"/>
          <w:szCs w:val="20"/>
          <w:color w:val="auto"/>
        </w:rPr>
      </w:pPr>
    </w:p>
    <w:p>
      <w:pPr>
        <w:ind w:left="20"/>
        <w:spacing w:after="0"/>
        <w:tabs>
          <w:tab w:leader="none" w:pos="680" w:val="left"/>
          <w:tab w:leader="none" w:pos="5640" w:val="left"/>
          <w:tab w:leader="none" w:pos="608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February 28, 2023</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Lloyd M. Segal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3862705</wp:posOffset>
            </wp:positionH>
            <wp:positionV relativeFrom="paragraph">
              <wp:posOffset>23495</wp:posOffset>
            </wp:positionV>
            <wp:extent cx="327469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274695" cy="8890"/>
                    </a:xfrm>
                    <a:prstGeom prst="rect">
                      <a:avLst/>
                    </a:prstGeom>
                    <a:noFill/>
                  </pic:spPr>
                </pic:pic>
              </a:graphicData>
            </a:graphic>
          </wp:anchor>
        </w:drawing>
      </w:r>
    </w:p>
    <w:p>
      <w:pPr>
        <w:spacing w:after="0" w:line="30" w:lineRule="exact"/>
        <w:rPr>
          <w:sz w:val="20"/>
          <w:szCs w:val="20"/>
          <w:color w:val="auto"/>
        </w:rPr>
      </w:pPr>
    </w:p>
    <w:p>
      <w:pPr>
        <w:ind w:left="6100"/>
        <w:spacing w:after="0"/>
        <w:rPr>
          <w:sz w:val="20"/>
          <w:szCs w:val="20"/>
          <w:color w:val="auto"/>
        </w:rPr>
      </w:pPr>
      <w:r>
        <w:rPr>
          <w:rFonts w:ascii="Arial" w:cs="Arial" w:eastAsia="Arial" w:hAnsi="Arial"/>
          <w:sz w:val="18"/>
          <w:szCs w:val="18"/>
          <w:color w:val="auto"/>
        </w:rPr>
        <w:t>Lloyd M. Segal</w:t>
      </w:r>
    </w:p>
    <w:p>
      <w:pPr>
        <w:spacing w:after="0" w:line="23" w:lineRule="exact"/>
        <w:rPr>
          <w:sz w:val="20"/>
          <w:szCs w:val="20"/>
          <w:color w:val="auto"/>
        </w:rPr>
      </w:pPr>
    </w:p>
    <w:p>
      <w:pPr>
        <w:ind w:left="6100"/>
        <w:spacing w:after="0"/>
        <w:rPr>
          <w:sz w:val="20"/>
          <w:szCs w:val="20"/>
          <w:color w:val="auto"/>
        </w:rPr>
      </w:pPr>
      <w:r>
        <w:rPr>
          <w:rFonts w:ascii="Arial" w:cs="Arial" w:eastAsia="Arial" w:hAnsi="Arial"/>
          <w:sz w:val="18"/>
          <w:szCs w:val="18"/>
          <w:color w:val="auto"/>
        </w:rPr>
        <w:t>President and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310515</wp:posOffset>
            </wp:positionV>
            <wp:extent cx="71577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121" w:right="37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1303020" cy="5314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303020" cy="5314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ind w:left="760" w:right="320"/>
        <w:spacing w:after="0" w:line="288" w:lineRule="auto"/>
        <w:rPr>
          <w:sz w:val="20"/>
          <w:szCs w:val="20"/>
          <w:color w:val="auto"/>
        </w:rPr>
      </w:pPr>
      <w:r>
        <w:rPr>
          <w:rFonts w:ascii="Arial" w:cs="Arial" w:eastAsia="Arial" w:hAnsi="Arial"/>
          <w:sz w:val="25"/>
          <w:szCs w:val="25"/>
          <w:b w:val="1"/>
          <w:bCs w:val="1"/>
          <w:color w:val="auto"/>
        </w:rPr>
        <w:t>Repare Therapeutics Provides Business Update and Reports Fourth Quarter and Full Year 2022 Financial Results</w:t>
      </w:r>
    </w:p>
    <w:p>
      <w:pPr>
        <w:spacing w:after="0" w:line="226" w:lineRule="exact"/>
        <w:rPr>
          <w:sz w:val="20"/>
          <w:szCs w:val="20"/>
          <w:color w:val="auto"/>
        </w:rPr>
      </w:pPr>
    </w:p>
    <w:p>
      <w:pPr>
        <w:jc w:val="both"/>
        <w:spacing w:after="0" w:line="245" w:lineRule="auto"/>
        <w:rPr>
          <w:sz w:val="20"/>
          <w:szCs w:val="20"/>
          <w:color w:val="auto"/>
        </w:rPr>
      </w:pPr>
      <w:r>
        <w:rPr>
          <w:rFonts w:ascii="Arial" w:cs="Arial" w:eastAsia="Arial" w:hAnsi="Arial"/>
          <w:sz w:val="22"/>
          <w:szCs w:val="22"/>
          <w:b w:val="1"/>
          <w:bCs w:val="1"/>
          <w:color w:val="auto"/>
        </w:rPr>
        <w:t xml:space="preserve">CAMBRIDGE, Mass. &amp; MONTREAL (BUSINESS WIRE)—February 28, 2023— </w:t>
      </w:r>
      <w:r>
        <w:rPr>
          <w:rFonts w:ascii="Arial" w:cs="Arial" w:eastAsia="Arial" w:hAnsi="Arial"/>
          <w:sz w:val="22"/>
          <w:szCs w:val="22"/>
          <w:color w:val="auto"/>
        </w:rPr>
        <w:t>Repare Therapeutics Inc. (“Repare”</w:t>
      </w:r>
      <w:r>
        <w:rPr>
          <w:rFonts w:ascii="Arial" w:cs="Arial" w:eastAsia="Arial" w:hAnsi="Arial"/>
          <w:sz w:val="22"/>
          <w:szCs w:val="22"/>
          <w:b w:val="1"/>
          <w:bCs w:val="1"/>
          <w:color w:val="auto"/>
        </w:rPr>
        <w:t xml:space="preserve"> </w:t>
      </w:r>
      <w:r>
        <w:rPr>
          <w:rFonts w:ascii="Arial" w:cs="Arial" w:eastAsia="Arial" w:hAnsi="Arial"/>
          <w:sz w:val="22"/>
          <w:szCs w:val="22"/>
          <w:color w:val="auto"/>
        </w:rPr>
        <w:t>or the “Company”) (Nasdaq: RPTX), a leading clinical-stage precision oncology company, today reported financial results for the fourth quarter and full year ended December 31, 2022.</w:t>
      </w:r>
    </w:p>
    <w:p>
      <w:pPr>
        <w:spacing w:after="0" w:line="88" w:lineRule="exact"/>
        <w:rPr>
          <w:sz w:val="20"/>
          <w:szCs w:val="20"/>
          <w:color w:val="auto"/>
        </w:rPr>
      </w:pPr>
    </w:p>
    <w:p>
      <w:pPr>
        <w:jc w:val="both"/>
        <w:spacing w:after="0" w:line="232" w:lineRule="auto"/>
        <w:rPr>
          <w:sz w:val="20"/>
          <w:szCs w:val="20"/>
          <w:color w:val="auto"/>
        </w:rPr>
      </w:pPr>
      <w:r>
        <w:rPr>
          <w:rFonts w:ascii="Arial" w:cs="Arial" w:eastAsia="Arial" w:hAnsi="Arial"/>
          <w:sz w:val="22"/>
          <w:szCs w:val="22"/>
          <w:color w:val="auto"/>
        </w:rPr>
        <w:t>“We made substantial progress advancing our innovative, synthetic lethality-based pipeline across multiple programs in 2022, including entering into a worldwide collaboration agreement with Roche to develop camonsertib, receiving Fast Track designation from the FDA for our first-in-class PKMYT1 inhibitor RP-6306, and advancing our preclinical programs,” said Lloyd M. Segal, President and Chief Executive Officer of Repare.“ We expect 2023 to be another productive year for Repare across the portfolio, with early clinical readouts for both camonsertib and RP-6306 in the first half of 2023. In addition, we are poised to expand our pipeline leveraging our proprietary SNIPRx platform, and look forward to sharing more information on our third clinical program this summer.”</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2022 Highlights and 2023 Outlook:</w:t>
      </w:r>
    </w:p>
    <w:p>
      <w:pPr>
        <w:spacing w:after="0" w:line="98" w:lineRule="exact"/>
        <w:rPr>
          <w:sz w:val="20"/>
          <w:szCs w:val="20"/>
          <w:color w:val="auto"/>
        </w:rPr>
      </w:pPr>
    </w:p>
    <w:p>
      <w:pPr>
        <w:jc w:val="both"/>
        <w:ind w:left="1020" w:hanging="503"/>
        <w:spacing w:after="0" w:line="245" w:lineRule="auto"/>
        <w:tabs>
          <w:tab w:leader="none" w:pos="1020" w:val="left"/>
        </w:tabs>
        <w:numPr>
          <w:ilvl w:val="0"/>
          <w:numId w:val="3"/>
        </w:numPr>
        <w:rPr>
          <w:rFonts w:ascii="Arial" w:cs="Arial" w:eastAsia="Arial" w:hAnsi="Arial"/>
          <w:sz w:val="22"/>
          <w:szCs w:val="22"/>
          <w:color w:val="auto"/>
        </w:rPr>
      </w:pPr>
      <w:r>
        <w:rPr>
          <w:rFonts w:ascii="Arial" w:cs="Arial" w:eastAsia="Arial" w:hAnsi="Arial"/>
          <w:sz w:val="22"/>
          <w:szCs w:val="22"/>
          <w:b w:val="1"/>
          <w:bCs w:val="1"/>
          <w:color w:val="auto"/>
        </w:rPr>
        <w:t>Advancing camonsertib, a potent and selective oral small molecule inhibitor of ATR (Ataxia-Telangiectasia and Rad3-related protein kinase) for the treatment of tumors with specific synthetic lethal genomic alterations in partnership with Roche.</w:t>
      </w:r>
    </w:p>
    <w:p>
      <w:pPr>
        <w:spacing w:after="0" w:line="73" w:lineRule="exact"/>
        <w:rPr>
          <w:rFonts w:ascii="Arial" w:cs="Arial" w:eastAsia="Arial" w:hAnsi="Arial"/>
          <w:sz w:val="22"/>
          <w:szCs w:val="22"/>
          <w:color w:val="auto"/>
        </w:rPr>
      </w:pPr>
    </w:p>
    <w:p>
      <w:pPr>
        <w:ind w:left="1540" w:hanging="509"/>
        <w:spacing w:after="0" w:line="235" w:lineRule="auto"/>
        <w:rPr>
          <w:rFonts w:ascii="Arial" w:cs="Arial" w:eastAsia="Arial" w:hAnsi="Arial"/>
          <w:sz w:val="22"/>
          <w:szCs w:val="22"/>
          <w:color w:val="auto"/>
        </w:rPr>
      </w:pPr>
      <w:r>
        <w:rPr>
          <w:rFonts w:ascii="Arial" w:cs="Arial" w:eastAsia="Arial" w:hAnsi="Arial"/>
          <w:sz w:val="22"/>
          <w:szCs w:val="22"/>
          <w:color w:val="auto"/>
        </w:rPr>
        <w:t>oInitial data from the Phase 1/2 trials evaluating camonsertib in combination with three poly (ADP-ribose) polymerase (PARP) inhibitors is expected to be presented in the first half of 2023 at a major medical meeting.</w:t>
      </w:r>
    </w:p>
    <w:p>
      <w:pPr>
        <w:spacing w:after="0" w:line="93" w:lineRule="exact"/>
        <w:rPr>
          <w:rFonts w:ascii="Arial" w:cs="Arial" w:eastAsia="Arial" w:hAnsi="Arial"/>
          <w:sz w:val="22"/>
          <w:szCs w:val="22"/>
          <w:color w:val="auto"/>
        </w:rPr>
      </w:pPr>
    </w:p>
    <w:p>
      <w:pPr>
        <w:ind w:left="1540" w:right="20" w:hanging="509"/>
        <w:spacing w:after="0" w:line="238" w:lineRule="auto"/>
        <w:rPr>
          <w:rFonts w:ascii="Arial" w:cs="Arial" w:eastAsia="Arial" w:hAnsi="Arial"/>
          <w:sz w:val="22"/>
          <w:szCs w:val="22"/>
          <w:color w:val="auto"/>
        </w:rPr>
      </w:pPr>
      <w:r>
        <w:rPr>
          <w:rFonts w:ascii="Arial" w:cs="Arial" w:eastAsia="Arial" w:hAnsi="Arial"/>
          <w:sz w:val="22"/>
          <w:szCs w:val="22"/>
          <w:color w:val="auto"/>
        </w:rPr>
        <w:t>oThe Company expects to report initial data from the Phase 1/2 TRESR trial evaluating camonsertib in combination with gemcitabine in the summer or fall of 2023.</w:t>
      </w:r>
    </w:p>
    <w:p>
      <w:pPr>
        <w:spacing w:after="0" w:line="189" w:lineRule="exact"/>
        <w:rPr>
          <w:rFonts w:ascii="Arial" w:cs="Arial" w:eastAsia="Arial" w:hAnsi="Arial"/>
          <w:sz w:val="22"/>
          <w:szCs w:val="22"/>
          <w:color w:val="auto"/>
        </w:rPr>
      </w:pPr>
    </w:p>
    <w:p>
      <w:pPr>
        <w:ind w:left="1020" w:hanging="503"/>
        <w:spacing w:after="0" w:line="261" w:lineRule="auto"/>
        <w:tabs>
          <w:tab w:leader="none" w:pos="1020" w:val="left"/>
        </w:tabs>
        <w:numPr>
          <w:ilvl w:val="0"/>
          <w:numId w:val="3"/>
        </w:numPr>
        <w:rPr>
          <w:rFonts w:ascii="Arial" w:cs="Arial" w:eastAsia="Arial" w:hAnsi="Arial"/>
          <w:sz w:val="22"/>
          <w:szCs w:val="22"/>
          <w:color w:val="auto"/>
        </w:rPr>
      </w:pPr>
      <w:r>
        <w:rPr>
          <w:rFonts w:ascii="Arial" w:cs="Arial" w:eastAsia="Arial" w:hAnsi="Arial"/>
          <w:sz w:val="22"/>
          <w:szCs w:val="22"/>
          <w:b w:val="1"/>
          <w:bCs w:val="1"/>
          <w:color w:val="auto"/>
        </w:rPr>
        <w:t>Evaluating RP-6306, a first-in-class, oral PKMYT1 inhibitor as a monotherapy and in combinations in multiple early clinical studies.</w:t>
      </w:r>
    </w:p>
    <w:p>
      <w:pPr>
        <w:spacing w:after="0" w:line="54" w:lineRule="exact"/>
        <w:rPr>
          <w:rFonts w:ascii="Arial" w:cs="Arial" w:eastAsia="Arial" w:hAnsi="Arial"/>
          <w:sz w:val="22"/>
          <w:szCs w:val="22"/>
          <w:color w:val="auto"/>
        </w:rPr>
      </w:pPr>
    </w:p>
    <w:p>
      <w:pPr>
        <w:ind w:left="1540" w:hanging="509"/>
        <w:spacing w:after="0" w:line="234" w:lineRule="auto"/>
        <w:rPr>
          <w:rFonts w:ascii="Arial" w:cs="Arial" w:eastAsia="Arial" w:hAnsi="Arial"/>
          <w:sz w:val="22"/>
          <w:szCs w:val="22"/>
          <w:color w:val="auto"/>
        </w:rPr>
      </w:pPr>
      <w:r>
        <w:rPr>
          <w:rFonts w:ascii="Arial" w:cs="Arial" w:eastAsia="Arial" w:hAnsi="Arial"/>
          <w:sz w:val="22"/>
          <w:szCs w:val="22"/>
          <w:color w:val="auto"/>
        </w:rPr>
        <w:t>oThe Company expects to report initial Phase 1 clinical data for RP-6306 as a monotherapy for the treatment of molecularly selected advanced solid tumors (MYTHIC) in the first half of 2023. The Company expects to report initial Phase 1 clinical data for RP-6306 as a combination therapy for the treatment of molecularly selected advanced solid tumors in the fourth quarter of 2023.</w:t>
      </w:r>
    </w:p>
    <w:p>
      <w:pPr>
        <w:spacing w:after="0" w:line="93" w:lineRule="exact"/>
        <w:rPr>
          <w:rFonts w:ascii="Arial" w:cs="Arial" w:eastAsia="Arial" w:hAnsi="Arial"/>
          <w:sz w:val="22"/>
          <w:szCs w:val="22"/>
          <w:color w:val="auto"/>
        </w:rPr>
      </w:pPr>
    </w:p>
    <w:p>
      <w:pPr>
        <w:ind w:left="1540" w:hanging="509"/>
        <w:spacing w:after="0" w:line="233" w:lineRule="auto"/>
        <w:rPr>
          <w:rFonts w:ascii="Arial" w:cs="Arial" w:eastAsia="Arial" w:hAnsi="Arial"/>
          <w:sz w:val="22"/>
          <w:szCs w:val="22"/>
          <w:color w:val="auto"/>
        </w:rPr>
      </w:pPr>
      <w:r>
        <w:rPr>
          <w:rFonts w:ascii="Arial" w:cs="Arial" w:eastAsia="Arial" w:hAnsi="Arial"/>
          <w:sz w:val="22"/>
          <w:szCs w:val="22"/>
          <w:color w:val="auto"/>
        </w:rPr>
        <w:t>oIn the fourth quarter of 2022, the U.S. Food and Drug Administration (FDA) granted Fast Track designation (FTD) to RP-6306 in combination with gemcitabine for the treatment of adult patients with CCNE1 amplified, or FBXW7 or PPP2R1A mutated platinum resistant ovarian cancer. FTD is intended to facilitate the development and expedite the review of drugs to treat serious conditions and fulfill an unmet medical need, enabling drugs to reach patients earlier.</w:t>
      </w:r>
    </w:p>
    <w:p>
      <w:pPr>
        <w:spacing w:after="0" w:line="95" w:lineRule="exact"/>
        <w:rPr>
          <w:rFonts w:ascii="Arial" w:cs="Arial" w:eastAsia="Arial" w:hAnsi="Arial"/>
          <w:sz w:val="22"/>
          <w:szCs w:val="22"/>
          <w:color w:val="auto"/>
        </w:rPr>
      </w:pPr>
    </w:p>
    <w:p>
      <w:pPr>
        <w:ind w:left="1540" w:hanging="509"/>
        <w:spacing w:after="0" w:line="234" w:lineRule="auto"/>
        <w:rPr>
          <w:rFonts w:ascii="Arial" w:cs="Arial" w:eastAsia="Arial" w:hAnsi="Arial"/>
          <w:sz w:val="22"/>
          <w:szCs w:val="22"/>
          <w:color w:val="auto"/>
        </w:rPr>
      </w:pPr>
      <w:r>
        <w:rPr>
          <w:rFonts w:ascii="Arial" w:cs="Arial" w:eastAsia="Arial" w:hAnsi="Arial"/>
          <w:sz w:val="22"/>
          <w:szCs w:val="22"/>
          <w:color w:val="auto"/>
        </w:rPr>
        <w:t>oBased on promising preclinical data released at the 34th EORTC-NCI-AACR Symposium in October 2022, Repare is working with clinical investigators to initiate clinical testing, as part of an investigator-sponsored trial (IST), of a fourth new RP-6306 combination with carboplatin, with first patient dosing expected in the first half of 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60325</wp:posOffset>
            </wp:positionV>
            <wp:extent cx="71577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 w:name="page5"/>
    <w:bookmarkEnd w:id="4"/>
    <w:p>
      <w:pPr>
        <w:jc w:val="both"/>
        <w:ind w:left="1540" w:hanging="514"/>
        <w:spacing w:after="0" w:line="233" w:lineRule="auto"/>
        <w:tabs>
          <w:tab w:leader="none" w:pos="1540" w:val="left"/>
        </w:tabs>
        <w:numPr>
          <w:ilvl w:val="1"/>
          <w:numId w:val="4"/>
        </w:numPr>
        <w:rPr>
          <w:rFonts w:ascii="Arial" w:cs="Arial" w:eastAsia="Arial" w:hAnsi="Arial"/>
          <w:sz w:val="22"/>
          <w:szCs w:val="22"/>
          <w:color w:val="auto"/>
        </w:rPr>
      </w:pPr>
      <w:r>
        <w:rPr>
          <w:rFonts w:ascii="Arial" w:cs="Arial" w:eastAsia="Arial" w:hAnsi="Arial"/>
          <w:sz w:val="22"/>
          <w:szCs w:val="22"/>
          <w:color w:val="auto"/>
        </w:rPr>
        <w:t>In the fourth quarter of 2022, Repare entered into an agreement with Canadian Cancer Trials Group (CCTG) for a planned, basket Phase 2 IST to evaluate RP-6306 in patients with selected, advanced cancers receiving standard agents. A sub-study under the master clinical trial protocol will evaluate RP-6306 in combination with gemcitabine in patients with CD4/6i-resistant ER+/HER2- metastatic breast cancer.</w:t>
      </w:r>
    </w:p>
    <w:p>
      <w:pPr>
        <w:spacing w:after="0" w:line="177" w:lineRule="exact"/>
        <w:rPr>
          <w:rFonts w:ascii="Arial" w:cs="Arial" w:eastAsia="Arial" w:hAnsi="Arial"/>
          <w:sz w:val="22"/>
          <w:szCs w:val="22"/>
          <w:color w:val="auto"/>
        </w:rPr>
      </w:pPr>
    </w:p>
    <w:p>
      <w:pPr>
        <w:ind w:left="1020" w:hanging="503"/>
        <w:spacing w:after="0"/>
        <w:tabs>
          <w:tab w:leader="none" w:pos="1020" w:val="left"/>
        </w:tabs>
        <w:numPr>
          <w:ilvl w:val="0"/>
          <w:numId w:val="4"/>
        </w:numPr>
        <w:rPr>
          <w:rFonts w:ascii="Arial" w:cs="Arial" w:eastAsia="Arial" w:hAnsi="Arial"/>
          <w:sz w:val="22"/>
          <w:szCs w:val="22"/>
          <w:color w:val="auto"/>
        </w:rPr>
      </w:pPr>
      <w:r>
        <w:rPr>
          <w:rFonts w:ascii="Arial" w:cs="Arial" w:eastAsia="Arial" w:hAnsi="Arial"/>
          <w:sz w:val="22"/>
          <w:szCs w:val="22"/>
          <w:b w:val="1"/>
          <w:bCs w:val="1"/>
          <w:color w:val="auto"/>
        </w:rPr>
        <w:t>Advancing preclinical programs into clinical development.</w:t>
      </w:r>
    </w:p>
    <w:p>
      <w:pPr>
        <w:spacing w:after="0" w:line="124" w:lineRule="exact"/>
        <w:rPr>
          <w:rFonts w:ascii="Arial" w:cs="Arial" w:eastAsia="Arial" w:hAnsi="Arial"/>
          <w:sz w:val="22"/>
          <w:szCs w:val="22"/>
          <w:color w:val="auto"/>
        </w:rPr>
      </w:pPr>
    </w:p>
    <w:p>
      <w:pPr>
        <w:jc w:val="both"/>
        <w:ind w:left="1540" w:hanging="514"/>
        <w:spacing w:after="0" w:line="235" w:lineRule="auto"/>
        <w:tabs>
          <w:tab w:leader="none" w:pos="1540" w:val="left"/>
        </w:tabs>
        <w:numPr>
          <w:ilvl w:val="1"/>
          <w:numId w:val="4"/>
        </w:numPr>
        <w:rPr>
          <w:rFonts w:ascii="Arial" w:cs="Arial" w:eastAsia="Arial" w:hAnsi="Arial"/>
          <w:sz w:val="22"/>
          <w:szCs w:val="22"/>
          <w:color w:val="auto"/>
        </w:rPr>
      </w:pPr>
      <w:r>
        <w:rPr>
          <w:rFonts w:ascii="Arial" w:cs="Arial" w:eastAsia="Arial" w:hAnsi="Arial"/>
          <w:sz w:val="22"/>
          <w:szCs w:val="22"/>
          <w:color w:val="auto"/>
        </w:rPr>
        <w:t>Repare expects to initiate IND-enabling studies in the first half of 2023 for a small molecule against an undisclosed target with potential to enter the clinic in late 2023 or early 2024, which represents an acceleration from the Company’s prior expectations for this program.</w:t>
      </w:r>
    </w:p>
    <w:p>
      <w:pPr>
        <w:spacing w:after="0" w:line="93" w:lineRule="exact"/>
        <w:rPr>
          <w:rFonts w:ascii="Arial" w:cs="Arial" w:eastAsia="Arial" w:hAnsi="Arial"/>
          <w:sz w:val="22"/>
          <w:szCs w:val="22"/>
          <w:color w:val="auto"/>
        </w:rPr>
      </w:pPr>
    </w:p>
    <w:p>
      <w:pPr>
        <w:jc w:val="both"/>
        <w:ind w:left="1540" w:hanging="514"/>
        <w:spacing w:after="0" w:line="232" w:lineRule="auto"/>
        <w:tabs>
          <w:tab w:leader="none" w:pos="1540" w:val="left"/>
        </w:tabs>
        <w:numPr>
          <w:ilvl w:val="1"/>
          <w:numId w:val="4"/>
        </w:numPr>
        <w:rPr>
          <w:rFonts w:ascii="Arial" w:cs="Arial" w:eastAsia="Arial" w:hAnsi="Arial"/>
          <w:sz w:val="22"/>
          <w:szCs w:val="22"/>
          <w:color w:val="auto"/>
        </w:rPr>
      </w:pPr>
      <w:r>
        <w:rPr>
          <w:rFonts w:ascii="Arial" w:cs="Arial" w:eastAsia="Arial" w:hAnsi="Arial"/>
          <w:sz w:val="22"/>
          <w:szCs w:val="22"/>
          <w:color w:val="auto"/>
        </w:rPr>
        <w:t>Repare is pursuing development of an inhibitor of polymerase theta (Polθ) in collaboration with Ono Pharmaceutical Company Ltd (Ono) in Japan, South Korea, Taiwan, Hong Kong, Macau and ASEAN countries, excluding mainland China. Repare retains all rights to develop and commercialize the products outside the Ono territory. In 2022, the Company selected a proposed inhibitor of Polθ, which it designated as RP-2119. In February 2023, based on its review of ongoing preclinical studies, Repare elected to prioritize other Polθ inhibiting compounds in its preclinical development portfolio, which it believes have a higher probability for clinical impact relative to RP-2119. The Company is now guiding toward clinical entry for a Polθ inhibitor in 2024.</w:t>
      </w:r>
    </w:p>
    <w:p>
      <w:pPr>
        <w:spacing w:after="0" w:line="95" w:lineRule="exact"/>
        <w:rPr>
          <w:rFonts w:ascii="Arial" w:cs="Arial" w:eastAsia="Arial" w:hAnsi="Arial"/>
          <w:sz w:val="22"/>
          <w:szCs w:val="22"/>
          <w:color w:val="auto"/>
        </w:rPr>
      </w:pPr>
    </w:p>
    <w:p>
      <w:pPr>
        <w:jc w:val="both"/>
        <w:ind w:left="1540" w:hanging="514"/>
        <w:spacing w:after="0" w:line="235" w:lineRule="auto"/>
        <w:tabs>
          <w:tab w:leader="none" w:pos="1540" w:val="left"/>
        </w:tabs>
        <w:numPr>
          <w:ilvl w:val="1"/>
          <w:numId w:val="4"/>
        </w:numPr>
        <w:rPr>
          <w:rFonts w:ascii="Arial" w:cs="Arial" w:eastAsia="Arial" w:hAnsi="Arial"/>
          <w:sz w:val="22"/>
          <w:szCs w:val="22"/>
          <w:color w:val="auto"/>
        </w:rPr>
      </w:pPr>
      <w:r>
        <w:rPr>
          <w:rFonts w:ascii="Arial" w:cs="Arial" w:eastAsia="Arial" w:hAnsi="Arial"/>
          <w:sz w:val="22"/>
          <w:szCs w:val="22"/>
          <w:color w:val="auto"/>
        </w:rPr>
        <w:t>In January 2023, Repare received an approximate $1.5 million (¥200 million) milestone payment from Ono. The payment reflected the achievement of a research milestone under the Company’s research services, license and collaboration agreement with Ono (Ono Agreement).</w:t>
      </w:r>
    </w:p>
    <w:p>
      <w:pPr>
        <w:spacing w:after="0" w:line="93" w:lineRule="exact"/>
        <w:rPr>
          <w:rFonts w:ascii="Arial" w:cs="Arial" w:eastAsia="Arial" w:hAnsi="Arial"/>
          <w:sz w:val="22"/>
          <w:szCs w:val="22"/>
          <w:color w:val="auto"/>
        </w:rPr>
      </w:pPr>
    </w:p>
    <w:p>
      <w:pPr>
        <w:jc w:val="both"/>
        <w:ind w:left="1540" w:hanging="514"/>
        <w:spacing w:after="0" w:line="235" w:lineRule="auto"/>
        <w:tabs>
          <w:tab w:leader="none" w:pos="1540" w:val="left"/>
        </w:tabs>
        <w:numPr>
          <w:ilvl w:val="1"/>
          <w:numId w:val="4"/>
        </w:numPr>
        <w:rPr>
          <w:rFonts w:ascii="Arial" w:cs="Arial" w:eastAsia="Arial" w:hAnsi="Arial"/>
          <w:sz w:val="22"/>
          <w:szCs w:val="22"/>
          <w:color w:val="auto"/>
        </w:rPr>
      </w:pPr>
      <w:r>
        <w:rPr>
          <w:rFonts w:ascii="Arial" w:cs="Arial" w:eastAsia="Arial" w:hAnsi="Arial"/>
          <w:sz w:val="22"/>
          <w:szCs w:val="22"/>
          <w:color w:val="auto"/>
        </w:rPr>
        <w:t>Also in January 2023, Repare and Ono amended the Ono Agreement to further extend the research term until July 31, 2023. Previously, Repare had entered into an amendment with Ono in October 2021 to extend the research term by one year at no additional cost to Repare.</w:t>
      </w:r>
    </w:p>
    <w:p>
      <w:pPr>
        <w:spacing w:after="0" w:line="28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Fourth Quarter and Full Year 2022 Financial Results:</w:t>
      </w:r>
    </w:p>
    <w:p>
      <w:pPr>
        <w:spacing w:after="0" w:line="98" w:lineRule="exact"/>
        <w:rPr>
          <w:sz w:val="20"/>
          <w:szCs w:val="20"/>
          <w:color w:val="auto"/>
        </w:rPr>
      </w:pPr>
    </w:p>
    <w:p>
      <w:pPr>
        <w:jc w:val="both"/>
        <w:ind w:left="1020" w:hanging="503"/>
        <w:spacing w:after="0" w:line="245" w:lineRule="auto"/>
        <w:tabs>
          <w:tab w:leader="none" w:pos="1020" w:val="left"/>
        </w:tabs>
        <w:numPr>
          <w:ilvl w:val="0"/>
          <w:numId w:val="5"/>
        </w:numPr>
        <w:rPr>
          <w:rFonts w:ascii="Arial" w:cs="Arial" w:eastAsia="Arial" w:hAnsi="Arial"/>
          <w:sz w:val="22"/>
          <w:szCs w:val="22"/>
          <w:color w:val="auto"/>
        </w:rPr>
      </w:pPr>
      <w:r>
        <w:rPr>
          <w:rFonts w:ascii="Arial" w:cs="Arial" w:eastAsia="Arial" w:hAnsi="Arial"/>
          <w:sz w:val="22"/>
          <w:szCs w:val="22"/>
          <w:b w:val="1"/>
          <w:bCs w:val="1"/>
          <w:color w:val="auto"/>
        </w:rPr>
        <w:t xml:space="preserve">Cash and cash equivalents and marketable securities: </w:t>
      </w:r>
      <w:r>
        <w:rPr>
          <w:rFonts w:ascii="Arial" w:cs="Arial" w:eastAsia="Arial" w:hAnsi="Arial"/>
          <w:sz w:val="22"/>
          <w:szCs w:val="22"/>
          <w:color w:val="auto"/>
        </w:rPr>
        <w:t>Cash and cash equivalents and marketable</w:t>
      </w:r>
      <w:r>
        <w:rPr>
          <w:rFonts w:ascii="Arial" w:cs="Arial" w:eastAsia="Arial" w:hAnsi="Arial"/>
          <w:sz w:val="22"/>
          <w:szCs w:val="22"/>
          <w:b w:val="1"/>
          <w:bCs w:val="1"/>
          <w:color w:val="auto"/>
        </w:rPr>
        <w:t xml:space="preserve"> </w:t>
      </w:r>
      <w:r>
        <w:rPr>
          <w:rFonts w:ascii="Arial" w:cs="Arial" w:eastAsia="Arial" w:hAnsi="Arial"/>
          <w:sz w:val="22"/>
          <w:szCs w:val="22"/>
          <w:color w:val="auto"/>
        </w:rPr>
        <w:t>securities as of December 31, 2022 were $343.9 million, which Repare believes will be sufficient to fund its planned operations into 2026.</w:t>
      </w:r>
    </w:p>
    <w:p>
      <w:pPr>
        <w:spacing w:after="0" w:line="62" w:lineRule="exact"/>
        <w:rPr>
          <w:rFonts w:ascii="Arial" w:cs="Arial" w:eastAsia="Arial" w:hAnsi="Arial"/>
          <w:sz w:val="22"/>
          <w:szCs w:val="22"/>
          <w:color w:val="auto"/>
        </w:rPr>
      </w:pPr>
    </w:p>
    <w:p>
      <w:pPr>
        <w:jc w:val="both"/>
        <w:ind w:left="1020" w:hanging="503"/>
        <w:spacing w:after="0"/>
        <w:tabs>
          <w:tab w:leader="none" w:pos="1020" w:val="left"/>
        </w:tabs>
        <w:numPr>
          <w:ilvl w:val="0"/>
          <w:numId w:val="5"/>
        </w:numPr>
        <w:rPr>
          <w:rFonts w:ascii="Arial" w:cs="Arial" w:eastAsia="Arial" w:hAnsi="Arial"/>
          <w:sz w:val="22"/>
          <w:szCs w:val="22"/>
          <w:color w:val="auto"/>
        </w:rPr>
      </w:pPr>
      <w:r>
        <w:rPr>
          <w:rFonts w:ascii="Arial" w:cs="Arial" w:eastAsia="Arial" w:hAnsi="Arial"/>
          <w:sz w:val="22"/>
          <w:szCs w:val="22"/>
          <w:b w:val="1"/>
          <w:bCs w:val="1"/>
          <w:color w:val="auto"/>
        </w:rPr>
        <w:t xml:space="preserve">Revenue from collaboration agreements: </w:t>
      </w:r>
      <w:r>
        <w:rPr>
          <w:rFonts w:ascii="Arial" w:cs="Arial" w:eastAsia="Arial" w:hAnsi="Arial"/>
          <w:sz w:val="22"/>
          <w:szCs w:val="22"/>
          <w:color w:val="auto"/>
        </w:rPr>
        <w:t>Revenue from collaboration agreements were $18.2 million</w:t>
      </w:r>
      <w:r>
        <w:rPr>
          <w:rFonts w:ascii="Arial" w:cs="Arial" w:eastAsia="Arial" w:hAnsi="Arial"/>
          <w:sz w:val="22"/>
          <w:szCs w:val="22"/>
          <w:b w:val="1"/>
          <w:bCs w:val="1"/>
          <w:color w:val="auto"/>
        </w:rPr>
        <w:t xml:space="preserve"> </w:t>
      </w:r>
      <w:r>
        <w:rPr>
          <w:rFonts w:ascii="Arial" w:cs="Arial" w:eastAsia="Arial" w:hAnsi="Arial"/>
          <w:sz w:val="22"/>
          <w:szCs w:val="22"/>
          <w:color w:val="auto"/>
        </w:rPr>
        <w:t>and $131.8 million for the three- and twelve-month periods ended December 31, 2022, respectively, as compared to $6.9 million and $7.6 million for the three- and twelve-month periods ended December 31, 2021, due to revenue recognized from our collaboration and license agreement with Roche.</w:t>
      </w:r>
    </w:p>
    <w:p>
      <w:pPr>
        <w:spacing w:after="0" w:line="68" w:lineRule="exact"/>
        <w:rPr>
          <w:rFonts w:ascii="Arial" w:cs="Arial" w:eastAsia="Arial" w:hAnsi="Arial"/>
          <w:sz w:val="22"/>
          <w:szCs w:val="22"/>
          <w:color w:val="auto"/>
        </w:rPr>
      </w:pPr>
    </w:p>
    <w:p>
      <w:pPr>
        <w:jc w:val="both"/>
        <w:ind w:left="1020" w:hanging="503"/>
        <w:spacing w:after="0" w:line="235" w:lineRule="auto"/>
        <w:tabs>
          <w:tab w:leader="none" w:pos="1020" w:val="left"/>
        </w:tabs>
        <w:numPr>
          <w:ilvl w:val="0"/>
          <w:numId w:val="5"/>
        </w:numPr>
        <w:rPr>
          <w:rFonts w:ascii="Arial" w:cs="Arial" w:eastAsia="Arial" w:hAnsi="Arial"/>
          <w:sz w:val="22"/>
          <w:szCs w:val="22"/>
          <w:color w:val="auto"/>
        </w:rPr>
      </w:pPr>
      <w:r>
        <w:rPr>
          <w:rFonts w:ascii="Arial" w:cs="Arial" w:eastAsia="Arial" w:hAnsi="Arial"/>
          <w:sz w:val="22"/>
          <w:szCs w:val="22"/>
          <w:b w:val="1"/>
          <w:bCs w:val="1"/>
          <w:color w:val="auto"/>
        </w:rPr>
        <w:t xml:space="preserve">Research and development expenses, net of tax credits (Net R&amp;D): </w:t>
      </w:r>
      <w:r>
        <w:rPr>
          <w:rFonts w:ascii="Arial" w:cs="Arial" w:eastAsia="Arial" w:hAnsi="Arial"/>
          <w:sz w:val="22"/>
          <w:szCs w:val="22"/>
          <w:color w:val="auto"/>
        </w:rPr>
        <w:t>Net R&amp;D expenses were $29.9</w:t>
      </w:r>
      <w:r>
        <w:rPr>
          <w:rFonts w:ascii="Arial" w:cs="Arial" w:eastAsia="Arial" w:hAnsi="Arial"/>
          <w:sz w:val="22"/>
          <w:szCs w:val="22"/>
          <w:b w:val="1"/>
          <w:bCs w:val="1"/>
          <w:color w:val="auto"/>
        </w:rPr>
        <w:t xml:space="preserve"> </w:t>
      </w:r>
      <w:r>
        <w:rPr>
          <w:rFonts w:ascii="Arial" w:cs="Arial" w:eastAsia="Arial" w:hAnsi="Arial"/>
          <w:sz w:val="22"/>
          <w:szCs w:val="22"/>
          <w:color w:val="auto"/>
        </w:rPr>
        <w:t>million and $119.1 million for the three- and twelve-month periods ended December 31, 2022, respectively, as compared to $28.0 million and $90.0 million for the three- and twelve-month periods ended December 31, 2021 due to an increase in development activities related to the advancement of the RP-6306 program and preclinical activities related to pipeline programs; an increase of personnel-related costs, including share-based compensation, for increased headcount in support of discovery and development activities; and other research and development costs. Camonsertib costs were similar on a year over year basis and decreased quarter over quarter following the transfer of CMC related activities to Roche pursuant to the collaboration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49530</wp:posOffset>
            </wp:positionV>
            <wp:extent cx="71577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57" w:right="339" w:bottom="1440" w:gutter="0" w:footer="0" w:header="0"/>
        </w:sectPr>
      </w:pPr>
    </w:p>
    <w:bookmarkStart w:id="5" w:name="page6"/>
    <w:bookmarkEnd w:id="5"/>
    <w:p>
      <w:pPr>
        <w:jc w:val="both"/>
        <w:ind w:left="1020" w:hanging="503"/>
        <w:spacing w:after="0" w:line="248" w:lineRule="auto"/>
        <w:tabs>
          <w:tab w:leader="none" w:pos="1020" w:val="left"/>
        </w:tabs>
        <w:numPr>
          <w:ilvl w:val="0"/>
          <w:numId w:val="6"/>
        </w:numPr>
        <w:rPr>
          <w:rFonts w:ascii="Arial" w:cs="Arial" w:eastAsia="Arial" w:hAnsi="Arial"/>
          <w:sz w:val="21"/>
          <w:szCs w:val="21"/>
          <w:color w:val="auto"/>
        </w:rPr>
      </w:pPr>
      <w:r>
        <w:rPr>
          <w:rFonts w:ascii="Arial" w:cs="Arial" w:eastAsia="Arial" w:hAnsi="Arial"/>
          <w:sz w:val="21"/>
          <w:szCs w:val="21"/>
          <w:b w:val="1"/>
          <w:bCs w:val="1"/>
          <w:color w:val="auto"/>
        </w:rPr>
        <w:t xml:space="preserve">General and administrative (G&amp;A) expenses: </w:t>
      </w:r>
      <w:r>
        <w:rPr>
          <w:rFonts w:ascii="Arial" w:cs="Arial" w:eastAsia="Arial" w:hAnsi="Arial"/>
          <w:sz w:val="21"/>
          <w:szCs w:val="21"/>
          <w:color w:val="auto"/>
        </w:rPr>
        <w:t>G&amp;A expenses were $7.9 million and $32.6 million for the</w:t>
      </w:r>
      <w:r>
        <w:rPr>
          <w:rFonts w:ascii="Arial" w:cs="Arial" w:eastAsia="Arial" w:hAnsi="Arial"/>
          <w:sz w:val="21"/>
          <w:szCs w:val="21"/>
          <w:b w:val="1"/>
          <w:bCs w:val="1"/>
          <w:color w:val="auto"/>
        </w:rPr>
        <w:t xml:space="preserve"> </w:t>
      </w:r>
      <w:r>
        <w:rPr>
          <w:rFonts w:ascii="Arial" w:cs="Arial" w:eastAsia="Arial" w:hAnsi="Arial"/>
          <w:sz w:val="21"/>
          <w:szCs w:val="21"/>
          <w:color w:val="auto"/>
        </w:rPr>
        <w:t>three- and twelve-month periods ended December 31, 2022, respectively, as compared to $7.6 million and $26.2 million for the three- and twelve-month periods ended December 31, 2021. The increase in G&amp;A expenses for the three- and twelve-month periods were primarily due to higher personnel related costs, including share-based compensation; an increase in professional fees associated with the Roche collaboration agreement and the establishment of our at-the-market (ATM) offering, as well as timing of audit and SOX compliance efforts, partially offset by a decrease in our D&amp;O insurance premium.</w:t>
      </w:r>
    </w:p>
    <w:p>
      <w:pPr>
        <w:spacing w:after="0" w:line="62" w:lineRule="exact"/>
        <w:rPr>
          <w:rFonts w:ascii="Arial" w:cs="Arial" w:eastAsia="Arial" w:hAnsi="Arial"/>
          <w:sz w:val="21"/>
          <w:szCs w:val="21"/>
          <w:color w:val="auto"/>
        </w:rPr>
      </w:pPr>
    </w:p>
    <w:p>
      <w:pPr>
        <w:jc w:val="both"/>
        <w:ind w:left="1020" w:hanging="503"/>
        <w:spacing w:after="0"/>
        <w:tabs>
          <w:tab w:leader="none" w:pos="1020" w:val="left"/>
        </w:tabs>
        <w:numPr>
          <w:ilvl w:val="0"/>
          <w:numId w:val="6"/>
        </w:numPr>
        <w:rPr>
          <w:rFonts w:ascii="Arial" w:cs="Arial" w:eastAsia="Arial" w:hAnsi="Arial"/>
          <w:sz w:val="22"/>
          <w:szCs w:val="22"/>
          <w:color w:val="auto"/>
        </w:rPr>
      </w:pPr>
      <w:r>
        <w:rPr>
          <w:rFonts w:ascii="Arial" w:cs="Arial" w:eastAsia="Arial" w:hAnsi="Arial"/>
          <w:sz w:val="22"/>
          <w:szCs w:val="22"/>
          <w:b w:val="1"/>
          <w:bCs w:val="1"/>
          <w:color w:val="auto"/>
        </w:rPr>
        <w:t xml:space="preserve">Net loss: </w:t>
      </w:r>
      <w:r>
        <w:rPr>
          <w:rFonts w:ascii="Arial" w:cs="Arial" w:eastAsia="Arial" w:hAnsi="Arial"/>
          <w:sz w:val="22"/>
          <w:szCs w:val="22"/>
          <w:color w:val="auto"/>
        </w:rPr>
        <w:t>Net loss was $31.7 million, or $0.75 per share, and $29.0 million, or $0.69 per share, for the</w:t>
      </w:r>
      <w:r>
        <w:rPr>
          <w:rFonts w:ascii="Arial" w:cs="Arial" w:eastAsia="Arial" w:hAnsi="Arial"/>
          <w:sz w:val="22"/>
          <w:szCs w:val="22"/>
          <w:b w:val="1"/>
          <w:bCs w:val="1"/>
          <w:color w:val="auto"/>
        </w:rPr>
        <w:t xml:space="preserve"> </w:t>
      </w:r>
      <w:r>
        <w:rPr>
          <w:rFonts w:ascii="Arial" w:cs="Arial" w:eastAsia="Arial" w:hAnsi="Arial"/>
          <w:sz w:val="22"/>
          <w:szCs w:val="22"/>
          <w:color w:val="auto"/>
        </w:rPr>
        <w:t>three- and twelve-month periods ended December 31, 2022, respectively, and $28.3 million, or $0.70 per share and $106.9 million, or $2.83 per share, for the three- and twelve-month periods ended December 31, 2021, respectively.</w:t>
      </w:r>
    </w:p>
    <w:p>
      <w:pPr>
        <w:spacing w:after="0" w:line="28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Repare Therapeutics’ SNIPRx® Platform</w:t>
      </w:r>
    </w:p>
    <w:p>
      <w:pPr>
        <w:spacing w:after="0" w:line="124" w:lineRule="exact"/>
        <w:rPr>
          <w:sz w:val="20"/>
          <w:szCs w:val="20"/>
          <w:color w:val="auto"/>
        </w:rPr>
      </w:pPr>
    </w:p>
    <w:p>
      <w:pPr>
        <w:jc w:val="both"/>
        <w:spacing w:after="0" w:line="233" w:lineRule="auto"/>
        <w:rPr>
          <w:sz w:val="20"/>
          <w:szCs w:val="20"/>
          <w:color w:val="auto"/>
        </w:rPr>
      </w:pPr>
      <w:r>
        <w:rPr>
          <w:rFonts w:ascii="Arial" w:cs="Arial" w:eastAsia="Arial" w:hAnsi="Arial"/>
          <w:sz w:val="22"/>
          <w:szCs w:val="22"/>
          <w:color w:val="auto"/>
        </w:rPr>
        <w:t>Repare’s SNIPRx® platform is a genome-wide CRISPR-based screening approach that utilizes proprietary isogenic cell lines to identify novel and known synthetic lethal gene pairs and the corresponding patients who are most likely to benefit from the Company’s therapies based on the genetic profile of their tumors. Repare’s platform enables the development of precision therapeutics in patients whose tumors contain one or more genomic alterations identified by SNIPRx® screening, in order to selectively target those tumors in patients most likely to achieve clinical benefit from resulting product candidates.</w:t>
      </w:r>
    </w:p>
    <w:p>
      <w:pPr>
        <w:spacing w:after="0" w:line="2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Repare Therapeutics, Inc.</w:t>
      </w:r>
    </w:p>
    <w:p>
      <w:pPr>
        <w:spacing w:after="0" w:line="124" w:lineRule="exact"/>
        <w:rPr>
          <w:sz w:val="20"/>
          <w:szCs w:val="20"/>
          <w:color w:val="auto"/>
        </w:rPr>
      </w:pPr>
    </w:p>
    <w:p>
      <w:pPr>
        <w:jc w:val="both"/>
        <w:spacing w:after="0" w:line="244" w:lineRule="auto"/>
        <w:rPr>
          <w:sz w:val="20"/>
          <w:szCs w:val="20"/>
          <w:color w:val="auto"/>
        </w:rPr>
      </w:pPr>
      <w:r>
        <w:rPr>
          <w:rFonts w:ascii="Arial" w:cs="Arial" w:eastAsia="Arial" w:hAnsi="Arial"/>
          <w:sz w:val="21"/>
          <w:szCs w:val="21"/>
          <w:color w:val="auto"/>
        </w:rPr>
        <w:t xml:space="preserve">Repare Therapeutics is a leading clinical-stage precision oncology company enabled by its proprietary synthetic lethality approach to the discovery and development of novel therapeutics. The Company utilizes its genome-wide, CRISPR-enabled SNIPRx® platform to systematically discover and develop highly targeted cancer therapies focused on genomic instability, including DNA damage repair. The Company’s pipeline includes RP-6306, a PKMYT1 inhibitor currently in Phase 1 clinical development; camonsertib (also known as RP-3500 or RG6526), a potential leading ATR inhibitor currently in Phase 1/2 clinical development and partnered with Roche; a preclinical Polθ inhibitor program; as well as several additional, undisclosed preclinical programs. For more information, please visit </w:t>
      </w:r>
      <w:r>
        <w:rPr>
          <w:rFonts w:ascii="Arial" w:cs="Arial" w:eastAsia="Arial" w:hAnsi="Arial"/>
          <w:sz w:val="21"/>
          <w:szCs w:val="21"/>
          <w:u w:val="single" w:color="auto"/>
          <w:color w:val="auto"/>
        </w:rPr>
        <w:t>reparerx.com</w:t>
      </w:r>
      <w:r>
        <w:rPr>
          <w:rFonts w:ascii="Arial" w:cs="Arial" w:eastAsia="Arial" w:hAnsi="Arial"/>
          <w:sz w:val="21"/>
          <w:szCs w:val="21"/>
          <w:color w:val="auto"/>
        </w:rPr>
        <w:t>.</w:t>
      </w:r>
    </w:p>
    <w:p>
      <w:pPr>
        <w:spacing w:after="0" w:line="90" w:lineRule="exact"/>
        <w:rPr>
          <w:sz w:val="20"/>
          <w:szCs w:val="20"/>
          <w:color w:val="auto"/>
        </w:rPr>
      </w:pPr>
    </w:p>
    <w:p>
      <w:pPr>
        <w:spacing w:after="0"/>
        <w:rPr>
          <w:sz w:val="20"/>
          <w:szCs w:val="20"/>
          <w:color w:val="auto"/>
        </w:rPr>
      </w:pPr>
      <w:r>
        <w:rPr>
          <w:rFonts w:ascii="Arial" w:cs="Arial" w:eastAsia="Arial" w:hAnsi="Arial"/>
          <w:sz w:val="22"/>
          <w:szCs w:val="22"/>
          <w:color w:val="auto"/>
        </w:rPr>
        <w:t>SNIPRx® is a registered trademark of Repare Therapeutics Inc.</w:t>
      </w:r>
    </w:p>
    <w:p>
      <w:pPr>
        <w:spacing w:after="0" w:line="28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Forward-Looking Statements</w:t>
      </w:r>
    </w:p>
    <w:p>
      <w:pPr>
        <w:spacing w:after="0" w:line="124" w:lineRule="exact"/>
        <w:rPr>
          <w:sz w:val="20"/>
          <w:szCs w:val="20"/>
          <w:color w:val="auto"/>
        </w:rPr>
      </w:pPr>
    </w:p>
    <w:p>
      <w:pPr>
        <w:jc w:val="both"/>
        <w:spacing w:after="0" w:line="231" w:lineRule="auto"/>
        <w:rPr>
          <w:sz w:val="20"/>
          <w:szCs w:val="20"/>
          <w:color w:val="auto"/>
        </w:rPr>
      </w:pPr>
      <w:r>
        <w:rPr>
          <w:rFonts w:ascii="Arial" w:cs="Arial" w:eastAsia="Arial" w:hAnsi="Arial"/>
          <w:sz w:val="22"/>
          <w:szCs w:val="22"/>
          <w:color w:val="auto"/>
        </w:rPr>
        <w:t>This press release contains “forward-looking statements” within the meaning of the Private Securities Litigation Reform Act of 1995 and securities laws in Canada. All statements in this press release other than statements of historical facts are “forward-looking statements. These statements may be identified by words such as “aims,” “anticipates,” “believes,” “could,” “estimates,” “expects,” “forecasts,” “goal,” “intends,” “may,” “plans,” “possible,” “potential,” “seeks,” “will” and variations of these words or similar expressions that are intended to identify forward-looking statements, although not all forward-looking statements contain these words. Forward-looking statements in this press release include, but are not limited to, statements regarding: the safety, efficacy and clinical progress of the Company’s clinical programs, including RP-6306 and camonsertib; the clinical and preclinical development of the Company’s pipeline and its research and development programs, including the anticipated timing, anticipated patient enrollment, trial outcomes or associated costs of its clinical trials of RP-6306 and camonsertib and ongoing preclinical studies of the Company's Polθ inhibitor program; the Company’s continued development of camonsertib in partnership with Roche; the status of clinical trials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56515</wp:posOffset>
            </wp:positionV>
            <wp:extent cx="71577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31" w:right="339" w:bottom="1440" w:gutter="0" w:footer="0" w:header="0"/>
        </w:sectPr>
      </w:pPr>
    </w:p>
    <w:bookmarkStart w:id="6" w:name="page7"/>
    <w:bookmarkEnd w:id="6"/>
    <w:p>
      <w:pPr>
        <w:jc w:val="both"/>
        <w:spacing w:after="0" w:line="231" w:lineRule="auto"/>
        <w:rPr>
          <w:sz w:val="20"/>
          <w:szCs w:val="20"/>
          <w:color w:val="auto"/>
        </w:rPr>
      </w:pPr>
      <w:r>
        <w:rPr>
          <w:rFonts w:ascii="Arial" w:cs="Arial" w:eastAsia="Arial" w:hAnsi="Arial"/>
          <w:sz w:val="22"/>
          <w:szCs w:val="22"/>
          <w:color w:val="auto"/>
        </w:rPr>
        <w:t xml:space="preserve">(including, without limitation, expectations regarding the data that is being presented, the expected timing of data releases and development, as well as completion of clinical trials) and development timelines for the Company’s product candidates; selection of a Polq inhibiting compound and the Company’s plans and timing with respect to an IND filing for its Polq program; the sufficiency of the Company’s cash resources and its anticipated cash runway into 2026; and the expected benefits of the Company’s collaborations and partnerships. These forward-looking statements are based on the Company’s expectations and assumptions as of the date of this press release. Each of these forward-looking statements involves risks and uncertainties that could cause the Company’s clinical development programs, future results or performance to differ materially from those expressed or implied by the forward-looking statements. Many factors may cause differences between current expectations and actual results, including: the impacts of macroeconomic conditions, including the COVID-19 pandemic, the conflict in Ukraine, rising inflation, and uncertain credit and financial markets on the Company’s business, clinical trials and financial position; unexpected safety or efficacy data observed during preclinical studies or clinical trials; clinical trial site activation or enrollment rates that are lower than expected; changes in expected or existing competition; changes in the regulatory environment; the uncertainties and timing of the regulatory approval process; and unexpected litigation or other disputes. Other factors that may cause the Company’s actual results to differ from those expressed or implied in the forward-looking statements in this press release are identified in the section titled "Risk Factors" in the Company’s Annual Report on Form 10-K for the year ended December 31, 2022 filed with the Securities and Exchange Commission (“SEC”) and the Québec Autorité des Marchés Financiers ("AMF") on February 28, 2023, and its other documents subsequently filed with or furnished to the SEC and AMF. The Company expressly disclaims any obligation to update any forward-looking statements contained herein, whether as a result of any new information, future events, changed circumstances or otherwise, except as otherwise required by law. For more information, please visit reparerx.com and follow Repare on Twitter at @RepareRx and on LinkedIn at </w:t>
      </w:r>
      <w:r>
        <w:rPr>
          <w:rFonts w:ascii="Arial" w:cs="Arial" w:eastAsia="Arial" w:hAnsi="Arial"/>
          <w:sz w:val="22"/>
          <w:szCs w:val="22"/>
          <w:u w:val="single" w:color="auto"/>
          <w:color w:val="auto"/>
        </w:rPr>
        <w:t>https://www.linkedin.com/company/repare-therapeutics/</w:t>
      </w:r>
      <w:r>
        <w:rPr>
          <w:rFonts w:ascii="Arial" w:cs="Arial" w:eastAsia="Arial" w:hAnsi="Arial"/>
          <w:sz w:val="22"/>
          <w:szCs w:val="22"/>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189865</wp:posOffset>
            </wp:positionV>
            <wp:extent cx="715772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57"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Repare Therapeutics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of U.S. dollars, except share data)</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7740" w:type="dxa"/>
            <w:vAlign w:val="bottom"/>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As of December 31,</w:t>
            </w:r>
          </w:p>
        </w:tc>
        <w:tc>
          <w:tcPr>
            <w:tcW w:w="10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7740" w:type="dxa"/>
            <w:vAlign w:val="bottom"/>
          </w:tcPr>
          <w:p>
            <w:pPr>
              <w:spacing w:after="0"/>
              <w:rPr>
                <w:sz w:val="14"/>
                <w:szCs w:val="14"/>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2022</w:t>
            </w:r>
          </w:p>
        </w:tc>
        <w:tc>
          <w:tcPr>
            <w:tcW w:w="60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jc w:val="right"/>
              <w:ind w:right="559"/>
              <w:spacing w:after="0"/>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4"/>
                <w:szCs w:val="14"/>
                <w:color w:val="auto"/>
              </w:rPr>
            </w:pPr>
          </w:p>
        </w:tc>
      </w:tr>
      <w:tr>
        <w:trPr>
          <w:trHeight w:val="223"/>
        </w:trPr>
        <w:tc>
          <w:tcPr>
            <w:tcW w:w="7740" w:type="dxa"/>
            <w:vAlign w:val="bottom"/>
            <w:shd w:val="clear" w:color="auto" w:fill="CFF0FC"/>
          </w:tcPr>
          <w:p>
            <w:pPr>
              <w:ind w:left="20"/>
              <w:spacing w:after="0"/>
              <w:rPr>
                <w:sz w:val="20"/>
                <w:szCs w:val="20"/>
                <w:color w:val="auto"/>
              </w:rPr>
            </w:pPr>
            <w:r>
              <w:rPr>
                <w:rFonts w:ascii="Arial" w:cs="Arial" w:eastAsia="Arial" w:hAnsi="Arial"/>
                <w:sz w:val="16"/>
                <w:szCs w:val="16"/>
                <w:b w:val="1"/>
                <w:bCs w:val="1"/>
                <w:color w:val="auto"/>
              </w:rPr>
              <w:t>ASSETS</w:t>
            </w:r>
          </w:p>
        </w:tc>
        <w:tc>
          <w:tcPr>
            <w:tcW w:w="940" w:type="dxa"/>
            <w:vAlign w:val="bottom"/>
            <w:shd w:val="clear" w:color="auto" w:fill="CFF0FC"/>
          </w:tcPr>
          <w:p>
            <w:pPr>
              <w:spacing w:after="0"/>
              <w:rPr>
                <w:sz w:val="19"/>
                <w:szCs w:val="19"/>
                <w:color w:val="auto"/>
              </w:rPr>
            </w:pPr>
          </w:p>
        </w:tc>
        <w:tc>
          <w:tcPr>
            <w:tcW w:w="6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20"/>
        </w:trPr>
        <w:tc>
          <w:tcPr>
            <w:tcW w:w="7740" w:type="dxa"/>
            <w:vAlign w:val="bottom"/>
          </w:tcPr>
          <w:p>
            <w:pPr>
              <w:ind w:left="20"/>
              <w:spacing w:after="0"/>
              <w:rPr>
                <w:sz w:val="20"/>
                <w:szCs w:val="20"/>
                <w:color w:val="auto"/>
              </w:rPr>
            </w:pPr>
            <w:r>
              <w:rPr>
                <w:rFonts w:ascii="Arial" w:cs="Arial" w:eastAsia="Arial" w:hAnsi="Arial"/>
                <w:sz w:val="16"/>
                <w:szCs w:val="16"/>
                <w:color w:val="auto"/>
              </w:rPr>
              <w:t>Current assets:</w:t>
            </w:r>
          </w:p>
        </w:tc>
        <w:tc>
          <w:tcPr>
            <w:tcW w:w="9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9"/>
        </w:trPr>
        <w:tc>
          <w:tcPr>
            <w:tcW w:w="7740" w:type="dxa"/>
            <w:vAlign w:val="bottom"/>
            <w:shd w:val="clear" w:color="auto" w:fill="CFF0FC"/>
          </w:tcPr>
          <w:p>
            <w:pPr>
              <w:ind w:left="200"/>
              <w:spacing w:after="0"/>
              <w:rPr>
                <w:sz w:val="20"/>
                <w:szCs w:val="20"/>
                <w:color w:val="auto"/>
              </w:rPr>
            </w:pPr>
            <w:r>
              <w:rPr>
                <w:rFonts w:ascii="Arial" w:cs="Arial" w:eastAsia="Arial" w:hAnsi="Arial"/>
                <w:sz w:val="16"/>
                <w:szCs w:val="16"/>
                <w:color w:val="auto"/>
              </w:rPr>
              <w:t>Cash and cash equivalents</w:t>
            </w:r>
          </w:p>
        </w:tc>
        <w:tc>
          <w:tcPr>
            <w:tcW w:w="940" w:type="dxa"/>
            <w:vAlign w:val="bottom"/>
            <w:shd w:val="clear" w:color="auto" w:fill="CFF0FC"/>
          </w:tcPr>
          <w:p>
            <w:pPr>
              <w:jc w:val="right"/>
              <w:ind w:right="761"/>
              <w:spacing w:after="0"/>
              <w:rPr>
                <w:sz w:val="20"/>
                <w:szCs w:val="20"/>
                <w:color w:val="auto"/>
              </w:rPr>
            </w:pPr>
            <w:r>
              <w:rPr>
                <w:rFonts w:ascii="Arial" w:cs="Arial" w:eastAsia="Arial" w:hAnsi="Arial"/>
                <w:sz w:val="16"/>
                <w:szCs w:val="16"/>
                <w:color w:val="auto"/>
                <w:w w:val="89"/>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6"/>
                <w:szCs w:val="16"/>
                <w:color w:val="auto"/>
                <w:w w:val="96"/>
              </w:rPr>
              <w:t>159,521</w:t>
            </w:r>
          </w:p>
        </w:tc>
        <w:tc>
          <w:tcPr>
            <w:tcW w:w="280" w:type="dxa"/>
            <w:vAlign w:val="bottom"/>
            <w:shd w:val="clear" w:color="auto" w:fill="CFF0FC"/>
          </w:tcPr>
          <w:p>
            <w:pPr>
              <w:spacing w:after="0"/>
              <w:rPr>
                <w:sz w:val="20"/>
                <w:szCs w:val="20"/>
                <w:color w:val="auto"/>
              </w:rPr>
            </w:pPr>
          </w:p>
        </w:tc>
        <w:tc>
          <w:tcPr>
            <w:tcW w:w="560" w:type="dxa"/>
            <w:vAlign w:val="bottom"/>
            <w:shd w:val="clear" w:color="auto" w:fill="CFF0FC"/>
          </w:tcPr>
          <w:p>
            <w:pPr>
              <w:jc w:val="right"/>
              <w:ind w:right="379"/>
              <w:spacing w:after="0"/>
              <w:rPr>
                <w:sz w:val="20"/>
                <w:szCs w:val="20"/>
                <w:color w:val="auto"/>
              </w:rPr>
            </w:pPr>
            <w:r>
              <w:rPr>
                <w:rFonts w:ascii="Arial" w:cs="Arial" w:eastAsia="Arial" w:hAnsi="Arial"/>
                <w:sz w:val="16"/>
                <w:szCs w:val="16"/>
                <w:color w:val="auto"/>
                <w:w w:val="89"/>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334,427</w:t>
            </w:r>
          </w:p>
        </w:tc>
        <w:tc>
          <w:tcPr>
            <w:tcW w:w="100" w:type="dxa"/>
            <w:vAlign w:val="bottom"/>
            <w:shd w:val="clear" w:color="auto" w:fill="CFF0FC"/>
          </w:tcPr>
          <w:p>
            <w:pPr>
              <w:spacing w:after="0"/>
              <w:rPr>
                <w:sz w:val="20"/>
                <w:szCs w:val="20"/>
                <w:color w:val="auto"/>
              </w:rPr>
            </w:pPr>
          </w:p>
        </w:tc>
      </w:tr>
      <w:tr>
        <w:trPr>
          <w:trHeight w:val="220"/>
        </w:trPr>
        <w:tc>
          <w:tcPr>
            <w:tcW w:w="7740" w:type="dxa"/>
            <w:vAlign w:val="bottom"/>
          </w:tcPr>
          <w:p>
            <w:pPr>
              <w:ind w:left="200"/>
              <w:spacing w:after="0"/>
              <w:rPr>
                <w:sz w:val="20"/>
                <w:szCs w:val="20"/>
                <w:color w:val="auto"/>
              </w:rPr>
            </w:pPr>
            <w:r>
              <w:rPr>
                <w:rFonts w:ascii="Arial" w:cs="Arial" w:eastAsia="Arial" w:hAnsi="Arial"/>
                <w:sz w:val="16"/>
                <w:szCs w:val="16"/>
                <w:color w:val="auto"/>
              </w:rPr>
              <w:t>Marketable securities</w:t>
            </w:r>
          </w:p>
        </w:tc>
        <w:tc>
          <w:tcPr>
            <w:tcW w:w="9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w w:val="96"/>
              </w:rPr>
              <w:t>184,420</w:t>
            </w:r>
          </w:p>
        </w:tc>
        <w:tc>
          <w:tcPr>
            <w:tcW w:w="2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7,439</w:t>
            </w:r>
          </w:p>
        </w:tc>
        <w:tc>
          <w:tcPr>
            <w:tcW w:w="100" w:type="dxa"/>
            <w:vAlign w:val="bottom"/>
          </w:tcPr>
          <w:p>
            <w:pPr>
              <w:spacing w:after="0"/>
              <w:rPr>
                <w:sz w:val="19"/>
                <w:szCs w:val="19"/>
                <w:color w:val="auto"/>
              </w:rPr>
            </w:pPr>
          </w:p>
        </w:tc>
      </w:tr>
      <w:tr>
        <w:trPr>
          <w:trHeight w:val="239"/>
        </w:trPr>
        <w:tc>
          <w:tcPr>
            <w:tcW w:w="7740" w:type="dxa"/>
            <w:vAlign w:val="bottom"/>
            <w:shd w:val="clear" w:color="auto" w:fill="CFF0FC"/>
          </w:tcPr>
          <w:p>
            <w:pPr>
              <w:ind w:left="200"/>
              <w:spacing w:after="0"/>
              <w:rPr>
                <w:sz w:val="20"/>
                <w:szCs w:val="20"/>
                <w:color w:val="auto"/>
              </w:rPr>
            </w:pPr>
            <w:r>
              <w:rPr>
                <w:rFonts w:ascii="Arial" w:cs="Arial" w:eastAsia="Arial" w:hAnsi="Arial"/>
                <w:sz w:val="16"/>
                <w:szCs w:val="16"/>
                <w:color w:val="auto"/>
              </w:rPr>
              <w:t>Research and development tax credits receivable</w:t>
            </w:r>
          </w:p>
        </w:tc>
        <w:tc>
          <w:tcPr>
            <w:tcW w:w="940" w:type="dxa"/>
            <w:vAlign w:val="bottom"/>
            <w:shd w:val="clear" w:color="auto" w:fill="CFF0FC"/>
          </w:tcPr>
          <w:p>
            <w:pPr>
              <w:spacing w:after="0"/>
              <w:rPr>
                <w:sz w:val="20"/>
                <w:szCs w:val="20"/>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1,280</w:t>
            </w:r>
          </w:p>
        </w:tc>
        <w:tc>
          <w:tcPr>
            <w:tcW w:w="280" w:type="dxa"/>
            <w:vAlign w:val="bottom"/>
            <w:shd w:val="clear" w:color="auto" w:fill="CFF0FC"/>
          </w:tcPr>
          <w:p>
            <w:pPr>
              <w:spacing w:after="0"/>
              <w:rPr>
                <w:sz w:val="20"/>
                <w:szCs w:val="20"/>
                <w:color w:val="auto"/>
              </w:rPr>
            </w:pPr>
          </w:p>
        </w:tc>
        <w:tc>
          <w:tcPr>
            <w:tcW w:w="560" w:type="dxa"/>
            <w:vAlign w:val="bottom"/>
            <w:shd w:val="clear" w:color="auto" w:fill="CFF0FC"/>
          </w:tcPr>
          <w:p>
            <w:pPr>
              <w:spacing w:after="0"/>
              <w:rPr>
                <w:sz w:val="20"/>
                <w:szCs w:val="20"/>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2,580</w:t>
            </w:r>
          </w:p>
        </w:tc>
        <w:tc>
          <w:tcPr>
            <w:tcW w:w="100" w:type="dxa"/>
            <w:vAlign w:val="bottom"/>
            <w:shd w:val="clear" w:color="auto" w:fill="CFF0FC"/>
          </w:tcPr>
          <w:p>
            <w:pPr>
              <w:spacing w:after="0"/>
              <w:rPr>
                <w:sz w:val="20"/>
                <w:szCs w:val="20"/>
                <w:color w:val="auto"/>
              </w:rPr>
            </w:pPr>
          </w:p>
        </w:tc>
      </w:tr>
      <w:tr>
        <w:trPr>
          <w:trHeight w:val="220"/>
        </w:trPr>
        <w:tc>
          <w:tcPr>
            <w:tcW w:w="7740" w:type="dxa"/>
            <w:vAlign w:val="bottom"/>
          </w:tcPr>
          <w:p>
            <w:pPr>
              <w:ind w:left="200"/>
              <w:spacing w:after="0"/>
              <w:rPr>
                <w:sz w:val="20"/>
                <w:szCs w:val="20"/>
                <w:color w:val="auto"/>
              </w:rPr>
            </w:pPr>
            <w:r>
              <w:rPr>
                <w:rFonts w:ascii="Arial" w:cs="Arial" w:eastAsia="Arial" w:hAnsi="Arial"/>
                <w:sz w:val="16"/>
                <w:szCs w:val="16"/>
                <w:color w:val="auto"/>
              </w:rPr>
              <w:t>Collaboration revenue receivable</w:t>
            </w:r>
          </w:p>
        </w:tc>
        <w:tc>
          <w:tcPr>
            <w:tcW w:w="9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1,525</w:t>
            </w:r>
          </w:p>
        </w:tc>
        <w:tc>
          <w:tcPr>
            <w:tcW w:w="2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r>
      <w:tr>
        <w:trPr>
          <w:trHeight w:val="239"/>
        </w:trPr>
        <w:tc>
          <w:tcPr>
            <w:tcW w:w="7740" w:type="dxa"/>
            <w:vAlign w:val="bottom"/>
            <w:shd w:val="clear" w:color="auto" w:fill="CFF0FC"/>
          </w:tcPr>
          <w:p>
            <w:pPr>
              <w:ind w:left="200"/>
              <w:spacing w:after="0"/>
              <w:rPr>
                <w:sz w:val="20"/>
                <w:szCs w:val="20"/>
                <w:color w:val="auto"/>
              </w:rPr>
            </w:pPr>
            <w:r>
              <w:rPr>
                <w:rFonts w:ascii="Arial" w:cs="Arial" w:eastAsia="Arial" w:hAnsi="Arial"/>
                <w:sz w:val="16"/>
                <w:szCs w:val="16"/>
                <w:color w:val="auto"/>
              </w:rPr>
              <w:t>Other receivables</w:t>
            </w:r>
          </w:p>
        </w:tc>
        <w:tc>
          <w:tcPr>
            <w:tcW w:w="940" w:type="dxa"/>
            <w:vAlign w:val="bottom"/>
            <w:shd w:val="clear" w:color="auto" w:fill="CFF0FC"/>
          </w:tcPr>
          <w:p>
            <w:pPr>
              <w:spacing w:after="0"/>
              <w:rPr>
                <w:sz w:val="20"/>
                <w:szCs w:val="20"/>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1,518</w:t>
            </w:r>
          </w:p>
        </w:tc>
        <w:tc>
          <w:tcPr>
            <w:tcW w:w="280" w:type="dxa"/>
            <w:vAlign w:val="bottom"/>
            <w:shd w:val="clear" w:color="auto" w:fill="CFF0FC"/>
          </w:tcPr>
          <w:p>
            <w:pPr>
              <w:spacing w:after="0"/>
              <w:rPr>
                <w:sz w:val="20"/>
                <w:szCs w:val="20"/>
                <w:color w:val="auto"/>
              </w:rPr>
            </w:pPr>
          </w:p>
        </w:tc>
        <w:tc>
          <w:tcPr>
            <w:tcW w:w="560" w:type="dxa"/>
            <w:vAlign w:val="bottom"/>
            <w:shd w:val="clear" w:color="auto" w:fill="CFF0FC"/>
          </w:tcPr>
          <w:p>
            <w:pPr>
              <w:spacing w:after="0"/>
              <w:rPr>
                <w:sz w:val="20"/>
                <w:szCs w:val="20"/>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654</w:t>
            </w:r>
          </w:p>
        </w:tc>
        <w:tc>
          <w:tcPr>
            <w:tcW w:w="100" w:type="dxa"/>
            <w:vAlign w:val="bottom"/>
            <w:shd w:val="clear" w:color="auto" w:fill="CFF0FC"/>
          </w:tcPr>
          <w:p>
            <w:pPr>
              <w:spacing w:after="0"/>
              <w:rPr>
                <w:sz w:val="20"/>
                <w:szCs w:val="20"/>
                <w:color w:val="auto"/>
              </w:rPr>
            </w:pPr>
          </w:p>
        </w:tc>
      </w:tr>
      <w:tr>
        <w:trPr>
          <w:trHeight w:val="223"/>
        </w:trPr>
        <w:tc>
          <w:tcPr>
            <w:tcW w:w="7740" w:type="dxa"/>
            <w:vAlign w:val="bottom"/>
          </w:tcPr>
          <w:p>
            <w:pPr>
              <w:ind w:left="200"/>
              <w:spacing w:after="0"/>
              <w:rPr>
                <w:sz w:val="20"/>
                <w:szCs w:val="20"/>
                <w:color w:val="auto"/>
              </w:rPr>
            </w:pPr>
            <w:r>
              <w:rPr>
                <w:rFonts w:ascii="Arial" w:cs="Arial" w:eastAsia="Arial" w:hAnsi="Arial"/>
                <w:sz w:val="16"/>
                <w:szCs w:val="16"/>
                <w:color w:val="auto"/>
              </w:rPr>
              <w:t>Prepaid expenses</w:t>
            </w:r>
          </w:p>
        </w:tc>
        <w:tc>
          <w:tcPr>
            <w:tcW w:w="94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5,715</w:t>
            </w:r>
          </w:p>
        </w:tc>
        <w:tc>
          <w:tcPr>
            <w:tcW w:w="280" w:type="dxa"/>
            <w:vAlign w:val="bottom"/>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6,314</w:t>
            </w:r>
          </w:p>
        </w:tc>
        <w:tc>
          <w:tcPr>
            <w:tcW w:w="100" w:type="dxa"/>
            <w:vAlign w:val="bottom"/>
          </w:tcPr>
          <w:p>
            <w:pPr>
              <w:spacing w:after="0"/>
              <w:rPr>
                <w:sz w:val="19"/>
                <w:szCs w:val="19"/>
                <w:color w:val="auto"/>
              </w:rPr>
            </w:pPr>
          </w:p>
        </w:tc>
      </w:tr>
      <w:tr>
        <w:trPr>
          <w:trHeight w:val="230"/>
        </w:trPr>
        <w:tc>
          <w:tcPr>
            <w:tcW w:w="7740" w:type="dxa"/>
            <w:vAlign w:val="bottom"/>
            <w:shd w:val="clear" w:color="auto" w:fill="CFF0FC"/>
          </w:tcPr>
          <w:p>
            <w:pPr>
              <w:ind w:left="20"/>
              <w:spacing w:after="0"/>
              <w:rPr>
                <w:sz w:val="20"/>
                <w:szCs w:val="20"/>
                <w:color w:val="auto"/>
              </w:rPr>
            </w:pPr>
            <w:r>
              <w:rPr>
                <w:rFonts w:ascii="Arial" w:cs="Arial" w:eastAsia="Arial" w:hAnsi="Arial"/>
                <w:sz w:val="16"/>
                <w:szCs w:val="16"/>
                <w:color w:val="auto"/>
              </w:rPr>
              <w:t>Total current assets</w:t>
            </w:r>
          </w:p>
        </w:tc>
        <w:tc>
          <w:tcPr>
            <w:tcW w:w="940" w:type="dxa"/>
            <w:vAlign w:val="bottom"/>
            <w:shd w:val="clear" w:color="auto" w:fill="CFF0FC"/>
          </w:tcPr>
          <w:p>
            <w:pPr>
              <w:spacing w:after="0"/>
              <w:rPr>
                <w:sz w:val="19"/>
                <w:szCs w:val="19"/>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6"/>
                <w:szCs w:val="16"/>
                <w:color w:val="auto"/>
                <w:w w:val="96"/>
              </w:rPr>
              <w:t>353,979</w:t>
            </w:r>
          </w:p>
        </w:tc>
        <w:tc>
          <w:tcPr>
            <w:tcW w:w="28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351,414</w:t>
            </w:r>
          </w:p>
        </w:tc>
        <w:tc>
          <w:tcPr>
            <w:tcW w:w="100" w:type="dxa"/>
            <w:vAlign w:val="bottom"/>
            <w:shd w:val="clear" w:color="auto" w:fill="CFF0FC"/>
          </w:tcPr>
          <w:p>
            <w:pPr>
              <w:spacing w:after="0"/>
              <w:rPr>
                <w:sz w:val="19"/>
                <w:szCs w:val="19"/>
                <w:color w:val="auto"/>
              </w:rPr>
            </w:pPr>
          </w:p>
        </w:tc>
      </w:tr>
      <w:tr>
        <w:trPr>
          <w:trHeight w:val="220"/>
        </w:trPr>
        <w:tc>
          <w:tcPr>
            <w:tcW w:w="7740" w:type="dxa"/>
            <w:vAlign w:val="bottom"/>
          </w:tcPr>
          <w:p>
            <w:pPr>
              <w:ind w:left="20"/>
              <w:spacing w:after="0"/>
              <w:rPr>
                <w:sz w:val="20"/>
                <w:szCs w:val="20"/>
                <w:color w:val="auto"/>
              </w:rPr>
            </w:pPr>
            <w:r>
              <w:rPr>
                <w:rFonts w:ascii="Arial" w:cs="Arial" w:eastAsia="Arial" w:hAnsi="Arial"/>
                <w:sz w:val="16"/>
                <w:szCs w:val="16"/>
                <w:color w:val="auto"/>
              </w:rPr>
              <w:t>Property and equipment, net</w:t>
            </w:r>
          </w:p>
        </w:tc>
        <w:tc>
          <w:tcPr>
            <w:tcW w:w="9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4,228</w:t>
            </w:r>
          </w:p>
        </w:tc>
        <w:tc>
          <w:tcPr>
            <w:tcW w:w="2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5,604</w:t>
            </w:r>
          </w:p>
        </w:tc>
        <w:tc>
          <w:tcPr>
            <w:tcW w:w="100" w:type="dxa"/>
            <w:vAlign w:val="bottom"/>
          </w:tcPr>
          <w:p>
            <w:pPr>
              <w:spacing w:after="0"/>
              <w:rPr>
                <w:sz w:val="19"/>
                <w:szCs w:val="19"/>
                <w:color w:val="auto"/>
              </w:rPr>
            </w:pPr>
          </w:p>
        </w:tc>
      </w:tr>
      <w:tr>
        <w:trPr>
          <w:trHeight w:val="239"/>
        </w:trPr>
        <w:tc>
          <w:tcPr>
            <w:tcW w:w="7740" w:type="dxa"/>
            <w:vAlign w:val="bottom"/>
            <w:shd w:val="clear" w:color="auto" w:fill="CFF0FC"/>
          </w:tcPr>
          <w:p>
            <w:pPr>
              <w:ind w:left="20"/>
              <w:spacing w:after="0"/>
              <w:rPr>
                <w:sz w:val="20"/>
                <w:szCs w:val="20"/>
                <w:color w:val="auto"/>
              </w:rPr>
            </w:pPr>
            <w:r>
              <w:rPr>
                <w:rFonts w:ascii="Arial" w:cs="Arial" w:eastAsia="Arial" w:hAnsi="Arial"/>
                <w:sz w:val="16"/>
                <w:szCs w:val="16"/>
                <w:color w:val="auto"/>
              </w:rPr>
              <w:t>Operating lease right-of-use assets</w:t>
            </w:r>
          </w:p>
        </w:tc>
        <w:tc>
          <w:tcPr>
            <w:tcW w:w="940" w:type="dxa"/>
            <w:vAlign w:val="bottom"/>
            <w:shd w:val="clear" w:color="auto" w:fill="CFF0FC"/>
          </w:tcPr>
          <w:p>
            <w:pPr>
              <w:spacing w:after="0"/>
              <w:rPr>
                <w:sz w:val="20"/>
                <w:szCs w:val="20"/>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5,371</w:t>
            </w:r>
          </w:p>
        </w:tc>
        <w:tc>
          <w:tcPr>
            <w:tcW w:w="280" w:type="dxa"/>
            <w:vAlign w:val="bottom"/>
            <w:shd w:val="clear" w:color="auto" w:fill="CFF0FC"/>
          </w:tcPr>
          <w:p>
            <w:pPr>
              <w:spacing w:after="0"/>
              <w:rPr>
                <w:sz w:val="20"/>
                <w:szCs w:val="20"/>
                <w:color w:val="auto"/>
              </w:rPr>
            </w:pPr>
          </w:p>
        </w:tc>
        <w:tc>
          <w:tcPr>
            <w:tcW w:w="560" w:type="dxa"/>
            <w:vAlign w:val="bottom"/>
            <w:shd w:val="clear" w:color="auto" w:fill="CFF0FC"/>
          </w:tcPr>
          <w:p>
            <w:pPr>
              <w:spacing w:after="0"/>
              <w:rPr>
                <w:sz w:val="20"/>
                <w:szCs w:val="20"/>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7,491</w:t>
            </w:r>
          </w:p>
        </w:tc>
        <w:tc>
          <w:tcPr>
            <w:tcW w:w="100" w:type="dxa"/>
            <w:vAlign w:val="bottom"/>
            <w:shd w:val="clear" w:color="auto" w:fill="CFF0FC"/>
          </w:tcPr>
          <w:p>
            <w:pPr>
              <w:spacing w:after="0"/>
              <w:rPr>
                <w:sz w:val="20"/>
                <w:szCs w:val="20"/>
                <w:color w:val="auto"/>
              </w:rPr>
            </w:pPr>
          </w:p>
        </w:tc>
      </w:tr>
      <w:tr>
        <w:trPr>
          <w:trHeight w:val="220"/>
        </w:trPr>
        <w:tc>
          <w:tcPr>
            <w:tcW w:w="7740" w:type="dxa"/>
            <w:vAlign w:val="bottom"/>
          </w:tcPr>
          <w:p>
            <w:pPr>
              <w:ind w:left="20"/>
              <w:spacing w:after="0"/>
              <w:rPr>
                <w:sz w:val="20"/>
                <w:szCs w:val="20"/>
                <w:color w:val="auto"/>
              </w:rPr>
            </w:pPr>
            <w:r>
              <w:rPr>
                <w:rFonts w:ascii="Arial" w:cs="Arial" w:eastAsia="Arial" w:hAnsi="Arial"/>
                <w:sz w:val="16"/>
                <w:szCs w:val="16"/>
                <w:color w:val="auto"/>
              </w:rPr>
              <w:t>Other assets</w:t>
            </w:r>
          </w:p>
        </w:tc>
        <w:tc>
          <w:tcPr>
            <w:tcW w:w="9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497</w:t>
            </w:r>
          </w:p>
        </w:tc>
        <w:tc>
          <w:tcPr>
            <w:tcW w:w="2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586</w:t>
            </w:r>
          </w:p>
        </w:tc>
        <w:tc>
          <w:tcPr>
            <w:tcW w:w="100" w:type="dxa"/>
            <w:vAlign w:val="bottom"/>
          </w:tcPr>
          <w:p>
            <w:pPr>
              <w:spacing w:after="0"/>
              <w:rPr>
                <w:sz w:val="19"/>
                <w:szCs w:val="19"/>
                <w:color w:val="auto"/>
              </w:rPr>
            </w:pPr>
          </w:p>
        </w:tc>
      </w:tr>
      <w:tr>
        <w:trPr>
          <w:trHeight w:val="233"/>
        </w:trPr>
        <w:tc>
          <w:tcPr>
            <w:tcW w:w="7740" w:type="dxa"/>
            <w:vAlign w:val="bottom"/>
            <w:shd w:val="clear" w:color="auto" w:fill="CFF0FC"/>
          </w:tcPr>
          <w:p>
            <w:pPr>
              <w:ind w:left="20"/>
              <w:spacing w:after="0"/>
              <w:rPr>
                <w:sz w:val="20"/>
                <w:szCs w:val="20"/>
                <w:color w:val="auto"/>
              </w:rPr>
            </w:pPr>
            <w:r>
              <w:rPr>
                <w:rFonts w:ascii="Arial" w:cs="Arial" w:eastAsia="Arial" w:hAnsi="Arial"/>
                <w:sz w:val="16"/>
                <w:szCs w:val="16"/>
                <w:color w:val="auto"/>
              </w:rPr>
              <w:t>Deferred tax assets</w:t>
            </w:r>
          </w:p>
        </w:tc>
        <w:tc>
          <w:tcPr>
            <w:tcW w:w="940" w:type="dxa"/>
            <w:vAlign w:val="bottom"/>
            <w:shd w:val="clear" w:color="auto" w:fill="CFF0FC"/>
          </w:tcPr>
          <w:p>
            <w:pPr>
              <w:spacing w:after="0"/>
              <w:rPr>
                <w:sz w:val="20"/>
                <w:szCs w:val="20"/>
                <w:color w:val="auto"/>
              </w:rPr>
            </w:pPr>
          </w:p>
        </w:tc>
        <w:tc>
          <w:tcPr>
            <w:tcW w:w="880" w:type="dxa"/>
            <w:vAlign w:val="bottom"/>
            <w:gridSpan w:val="2"/>
            <w:shd w:val="clear" w:color="auto" w:fill="CFF0FC"/>
          </w:tcPr>
          <w:p>
            <w:pPr>
              <w:jc w:val="right"/>
              <w:ind w:right="300"/>
              <w:spacing w:after="0"/>
              <w:rPr>
                <w:sz w:val="20"/>
                <w:szCs w:val="20"/>
                <w:color w:val="auto"/>
              </w:rPr>
            </w:pPr>
            <w:r>
              <w:rPr>
                <w:rFonts w:ascii="Arial" w:cs="Arial" w:eastAsia="Arial" w:hAnsi="Arial"/>
                <w:sz w:val="16"/>
                <w:szCs w:val="16"/>
                <w:color w:val="auto"/>
              </w:rPr>
              <w:t>—</w:t>
            </w:r>
          </w:p>
        </w:tc>
        <w:tc>
          <w:tcPr>
            <w:tcW w:w="560" w:type="dxa"/>
            <w:vAlign w:val="bottom"/>
            <w:shd w:val="clear" w:color="auto" w:fill="CFF0FC"/>
          </w:tcPr>
          <w:p>
            <w:pPr>
              <w:spacing w:after="0"/>
              <w:rPr>
                <w:sz w:val="20"/>
                <w:szCs w:val="20"/>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3,620</w:t>
            </w:r>
          </w:p>
        </w:tc>
        <w:tc>
          <w:tcPr>
            <w:tcW w:w="100" w:type="dxa"/>
            <w:vAlign w:val="bottom"/>
            <w:shd w:val="clear" w:color="auto" w:fill="CFF0FC"/>
          </w:tcPr>
          <w:p>
            <w:pPr>
              <w:spacing w:after="0"/>
              <w:rPr>
                <w:sz w:val="20"/>
                <w:szCs w:val="20"/>
                <w:color w:val="auto"/>
              </w:rPr>
            </w:pPr>
          </w:p>
        </w:tc>
      </w:tr>
      <w:tr>
        <w:trPr>
          <w:trHeight w:val="223"/>
        </w:trPr>
        <w:tc>
          <w:tcPr>
            <w:tcW w:w="7740" w:type="dxa"/>
            <w:vAlign w:val="bottom"/>
            <w:tcBorders>
              <w:top w:val="single" w:sz="8" w:color="CFF0FC"/>
            </w:tcBorders>
          </w:tcPr>
          <w:p>
            <w:pPr>
              <w:ind w:left="20"/>
              <w:spacing w:after="0"/>
              <w:rPr>
                <w:sz w:val="20"/>
                <w:szCs w:val="20"/>
                <w:color w:val="auto"/>
              </w:rPr>
            </w:pPr>
            <w:r>
              <w:rPr>
                <w:rFonts w:ascii="Arial" w:cs="Arial" w:eastAsia="Arial" w:hAnsi="Arial"/>
                <w:sz w:val="16"/>
                <w:szCs w:val="16"/>
                <w:b w:val="1"/>
                <w:bCs w:val="1"/>
                <w:color w:val="auto"/>
              </w:rPr>
              <w:t>TOTAL ASSETS</w:t>
            </w:r>
          </w:p>
        </w:tc>
        <w:tc>
          <w:tcPr>
            <w:tcW w:w="940" w:type="dxa"/>
            <w:vAlign w:val="bottom"/>
            <w:tcBorders>
              <w:top w:val="single" w:sz="8" w:color="auto"/>
              <w:bottom w:val="single" w:sz="8" w:color="auto"/>
            </w:tcBorders>
          </w:tcPr>
          <w:p>
            <w:pPr>
              <w:jc w:val="right"/>
              <w:ind w:right="761"/>
              <w:spacing w:after="0"/>
              <w:rPr>
                <w:sz w:val="20"/>
                <w:szCs w:val="20"/>
                <w:color w:val="auto"/>
              </w:rPr>
            </w:pPr>
            <w:r>
              <w:rPr>
                <w:rFonts w:ascii="Arial" w:cs="Arial" w:eastAsia="Arial" w:hAnsi="Arial"/>
                <w:sz w:val="16"/>
                <w:szCs w:val="16"/>
                <w:color w:val="auto"/>
                <w:w w:val="8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96"/>
              </w:rPr>
              <w:t>364,075</w:t>
            </w:r>
          </w:p>
        </w:tc>
        <w:tc>
          <w:tcPr>
            <w:tcW w:w="280" w:type="dxa"/>
            <w:vAlign w:val="bottom"/>
            <w:tcBorders>
              <w:top w:val="single" w:sz="8" w:color="CFF0FC"/>
            </w:tcBorders>
          </w:tcPr>
          <w:p>
            <w:pPr>
              <w:spacing w:after="0"/>
              <w:rPr>
                <w:sz w:val="19"/>
                <w:szCs w:val="19"/>
                <w:color w:val="auto"/>
              </w:rPr>
            </w:pPr>
          </w:p>
        </w:tc>
        <w:tc>
          <w:tcPr>
            <w:tcW w:w="560" w:type="dxa"/>
            <w:vAlign w:val="bottom"/>
            <w:tcBorders>
              <w:top w:val="single" w:sz="8" w:color="auto"/>
              <w:bottom w:val="single" w:sz="8" w:color="auto"/>
            </w:tcBorders>
          </w:tcPr>
          <w:p>
            <w:pPr>
              <w:jc w:val="right"/>
              <w:ind w:right="379"/>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368,715</w:t>
            </w:r>
          </w:p>
        </w:tc>
        <w:tc>
          <w:tcPr>
            <w:tcW w:w="100" w:type="dxa"/>
            <w:vAlign w:val="bottom"/>
            <w:tcBorders>
              <w:top w:val="single" w:sz="8" w:color="CFF0FC"/>
            </w:tcBorders>
          </w:tcPr>
          <w:p>
            <w:pPr>
              <w:spacing w:after="0"/>
              <w:rPr>
                <w:sz w:val="19"/>
                <w:szCs w:val="19"/>
                <w:color w:val="auto"/>
              </w:rPr>
            </w:pPr>
          </w:p>
        </w:tc>
      </w:tr>
      <w:tr>
        <w:trPr>
          <w:trHeight w:val="20"/>
        </w:trPr>
        <w:tc>
          <w:tcPr>
            <w:tcW w:w="774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7"/>
        </w:trPr>
        <w:tc>
          <w:tcPr>
            <w:tcW w:w="7740" w:type="dxa"/>
            <w:vAlign w:val="bottom"/>
            <w:shd w:val="clear" w:color="auto" w:fill="CFF0FC"/>
          </w:tcPr>
          <w:p>
            <w:pPr>
              <w:ind w:left="20"/>
              <w:spacing w:after="0"/>
              <w:rPr>
                <w:sz w:val="20"/>
                <w:szCs w:val="20"/>
                <w:color w:val="auto"/>
              </w:rPr>
            </w:pPr>
            <w:r>
              <w:rPr>
                <w:rFonts w:ascii="Arial" w:cs="Arial" w:eastAsia="Arial" w:hAnsi="Arial"/>
                <w:sz w:val="16"/>
                <w:szCs w:val="16"/>
                <w:b w:val="1"/>
                <w:bCs w:val="1"/>
                <w:color w:val="auto"/>
              </w:rPr>
              <w:t>LIABILITIES AND SHAREHOLDERS’ EQUITY</w:t>
            </w:r>
          </w:p>
        </w:tc>
        <w:tc>
          <w:tcPr>
            <w:tcW w:w="940" w:type="dxa"/>
            <w:vAlign w:val="bottom"/>
            <w:shd w:val="clear" w:color="auto" w:fill="CFF0FC"/>
          </w:tcPr>
          <w:p>
            <w:pPr>
              <w:spacing w:after="0"/>
              <w:rPr>
                <w:sz w:val="18"/>
                <w:szCs w:val="18"/>
                <w:color w:val="auto"/>
              </w:rPr>
            </w:pPr>
          </w:p>
        </w:tc>
        <w:tc>
          <w:tcPr>
            <w:tcW w:w="60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56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20"/>
        </w:trPr>
        <w:tc>
          <w:tcPr>
            <w:tcW w:w="7740" w:type="dxa"/>
            <w:vAlign w:val="bottom"/>
          </w:tcPr>
          <w:p>
            <w:pPr>
              <w:ind w:left="20"/>
              <w:spacing w:after="0"/>
              <w:rPr>
                <w:sz w:val="20"/>
                <w:szCs w:val="20"/>
                <w:color w:val="auto"/>
              </w:rPr>
            </w:pPr>
            <w:r>
              <w:rPr>
                <w:rFonts w:ascii="Arial" w:cs="Arial" w:eastAsia="Arial" w:hAnsi="Arial"/>
                <w:sz w:val="16"/>
                <w:szCs w:val="16"/>
                <w:color w:val="auto"/>
              </w:rPr>
              <w:t>Current liabilities:</w:t>
            </w:r>
          </w:p>
        </w:tc>
        <w:tc>
          <w:tcPr>
            <w:tcW w:w="9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9"/>
        </w:trPr>
        <w:tc>
          <w:tcPr>
            <w:tcW w:w="7740" w:type="dxa"/>
            <w:vAlign w:val="bottom"/>
            <w:shd w:val="clear" w:color="auto" w:fill="CFF0FC"/>
          </w:tcPr>
          <w:p>
            <w:pPr>
              <w:ind w:left="200"/>
              <w:spacing w:after="0"/>
              <w:rPr>
                <w:sz w:val="20"/>
                <w:szCs w:val="20"/>
                <w:color w:val="auto"/>
              </w:rPr>
            </w:pPr>
            <w:r>
              <w:rPr>
                <w:rFonts w:ascii="Arial" w:cs="Arial" w:eastAsia="Arial" w:hAnsi="Arial"/>
                <w:sz w:val="16"/>
                <w:szCs w:val="16"/>
                <w:color w:val="auto"/>
              </w:rPr>
              <w:t>Accounts payable</w:t>
            </w:r>
          </w:p>
        </w:tc>
        <w:tc>
          <w:tcPr>
            <w:tcW w:w="940" w:type="dxa"/>
            <w:vAlign w:val="bottom"/>
            <w:shd w:val="clear" w:color="auto" w:fill="CFF0FC"/>
          </w:tcPr>
          <w:p>
            <w:pPr>
              <w:jc w:val="right"/>
              <w:ind w:right="761"/>
              <w:spacing w:after="0"/>
              <w:rPr>
                <w:sz w:val="20"/>
                <w:szCs w:val="20"/>
                <w:color w:val="auto"/>
              </w:rPr>
            </w:pPr>
            <w:r>
              <w:rPr>
                <w:rFonts w:ascii="Arial" w:cs="Arial" w:eastAsia="Arial" w:hAnsi="Arial"/>
                <w:sz w:val="16"/>
                <w:szCs w:val="16"/>
                <w:color w:val="auto"/>
                <w:w w:val="89"/>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461</w:t>
            </w:r>
          </w:p>
        </w:tc>
        <w:tc>
          <w:tcPr>
            <w:tcW w:w="280" w:type="dxa"/>
            <w:vAlign w:val="bottom"/>
            <w:shd w:val="clear" w:color="auto" w:fill="CFF0FC"/>
          </w:tcPr>
          <w:p>
            <w:pPr>
              <w:spacing w:after="0"/>
              <w:rPr>
                <w:sz w:val="20"/>
                <w:szCs w:val="20"/>
                <w:color w:val="auto"/>
              </w:rPr>
            </w:pPr>
          </w:p>
        </w:tc>
        <w:tc>
          <w:tcPr>
            <w:tcW w:w="560" w:type="dxa"/>
            <w:vAlign w:val="bottom"/>
            <w:shd w:val="clear" w:color="auto" w:fill="CFF0FC"/>
          </w:tcPr>
          <w:p>
            <w:pPr>
              <w:jc w:val="right"/>
              <w:ind w:right="379"/>
              <w:spacing w:after="0"/>
              <w:rPr>
                <w:sz w:val="20"/>
                <w:szCs w:val="20"/>
                <w:color w:val="auto"/>
              </w:rPr>
            </w:pPr>
            <w:r>
              <w:rPr>
                <w:rFonts w:ascii="Arial" w:cs="Arial" w:eastAsia="Arial" w:hAnsi="Arial"/>
                <w:sz w:val="16"/>
                <w:szCs w:val="16"/>
                <w:color w:val="auto"/>
                <w:w w:val="89"/>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2,302</w:t>
            </w:r>
          </w:p>
        </w:tc>
        <w:tc>
          <w:tcPr>
            <w:tcW w:w="100" w:type="dxa"/>
            <w:vAlign w:val="bottom"/>
            <w:shd w:val="clear" w:color="auto" w:fill="CFF0FC"/>
          </w:tcPr>
          <w:p>
            <w:pPr>
              <w:spacing w:after="0"/>
              <w:rPr>
                <w:sz w:val="20"/>
                <w:szCs w:val="20"/>
                <w:color w:val="auto"/>
              </w:rPr>
            </w:pPr>
          </w:p>
        </w:tc>
      </w:tr>
      <w:tr>
        <w:trPr>
          <w:trHeight w:val="220"/>
        </w:trPr>
        <w:tc>
          <w:tcPr>
            <w:tcW w:w="7740" w:type="dxa"/>
            <w:vAlign w:val="bottom"/>
          </w:tcPr>
          <w:p>
            <w:pPr>
              <w:ind w:left="200"/>
              <w:spacing w:after="0"/>
              <w:rPr>
                <w:sz w:val="20"/>
                <w:szCs w:val="20"/>
                <w:color w:val="auto"/>
              </w:rPr>
            </w:pPr>
            <w:r>
              <w:rPr>
                <w:rFonts w:ascii="Arial" w:cs="Arial" w:eastAsia="Arial" w:hAnsi="Arial"/>
                <w:sz w:val="16"/>
                <w:szCs w:val="16"/>
                <w:color w:val="auto"/>
              </w:rPr>
              <w:t>Accrued expenses and other current liabilities</w:t>
            </w:r>
          </w:p>
        </w:tc>
        <w:tc>
          <w:tcPr>
            <w:tcW w:w="9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21,645</w:t>
            </w:r>
          </w:p>
        </w:tc>
        <w:tc>
          <w:tcPr>
            <w:tcW w:w="2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18,622</w:t>
            </w:r>
          </w:p>
        </w:tc>
        <w:tc>
          <w:tcPr>
            <w:tcW w:w="100" w:type="dxa"/>
            <w:vAlign w:val="bottom"/>
          </w:tcPr>
          <w:p>
            <w:pPr>
              <w:spacing w:after="0"/>
              <w:rPr>
                <w:sz w:val="19"/>
                <w:szCs w:val="19"/>
                <w:color w:val="auto"/>
              </w:rPr>
            </w:pPr>
          </w:p>
        </w:tc>
      </w:tr>
      <w:tr>
        <w:trPr>
          <w:trHeight w:val="239"/>
        </w:trPr>
        <w:tc>
          <w:tcPr>
            <w:tcW w:w="7740" w:type="dxa"/>
            <w:vAlign w:val="bottom"/>
            <w:shd w:val="clear" w:color="auto" w:fill="CFF0FC"/>
          </w:tcPr>
          <w:p>
            <w:pPr>
              <w:ind w:left="200"/>
              <w:spacing w:after="0"/>
              <w:rPr>
                <w:sz w:val="20"/>
                <w:szCs w:val="20"/>
                <w:color w:val="auto"/>
              </w:rPr>
            </w:pPr>
            <w:r>
              <w:rPr>
                <w:rFonts w:ascii="Arial" w:cs="Arial" w:eastAsia="Arial" w:hAnsi="Arial"/>
                <w:sz w:val="16"/>
                <w:szCs w:val="16"/>
                <w:color w:val="auto"/>
              </w:rPr>
              <w:t>Operating lease liabilities, current portion</w:t>
            </w:r>
          </w:p>
        </w:tc>
        <w:tc>
          <w:tcPr>
            <w:tcW w:w="940" w:type="dxa"/>
            <w:vAlign w:val="bottom"/>
            <w:shd w:val="clear" w:color="auto" w:fill="CFF0FC"/>
          </w:tcPr>
          <w:p>
            <w:pPr>
              <w:spacing w:after="0"/>
              <w:rPr>
                <w:sz w:val="20"/>
                <w:szCs w:val="20"/>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2,171</w:t>
            </w:r>
          </w:p>
        </w:tc>
        <w:tc>
          <w:tcPr>
            <w:tcW w:w="280" w:type="dxa"/>
            <w:vAlign w:val="bottom"/>
            <w:shd w:val="clear" w:color="auto" w:fill="CFF0FC"/>
          </w:tcPr>
          <w:p>
            <w:pPr>
              <w:spacing w:after="0"/>
              <w:rPr>
                <w:sz w:val="20"/>
                <w:szCs w:val="20"/>
                <w:color w:val="auto"/>
              </w:rPr>
            </w:pPr>
          </w:p>
        </w:tc>
        <w:tc>
          <w:tcPr>
            <w:tcW w:w="560" w:type="dxa"/>
            <w:vAlign w:val="bottom"/>
            <w:shd w:val="clear" w:color="auto" w:fill="CFF0FC"/>
          </w:tcPr>
          <w:p>
            <w:pPr>
              <w:spacing w:after="0"/>
              <w:rPr>
                <w:sz w:val="20"/>
                <w:szCs w:val="20"/>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1,721</w:t>
            </w:r>
          </w:p>
        </w:tc>
        <w:tc>
          <w:tcPr>
            <w:tcW w:w="100" w:type="dxa"/>
            <w:vAlign w:val="bottom"/>
            <w:shd w:val="clear" w:color="auto" w:fill="CFF0FC"/>
          </w:tcPr>
          <w:p>
            <w:pPr>
              <w:spacing w:after="0"/>
              <w:rPr>
                <w:sz w:val="20"/>
                <w:szCs w:val="20"/>
                <w:color w:val="auto"/>
              </w:rPr>
            </w:pPr>
          </w:p>
        </w:tc>
      </w:tr>
      <w:tr>
        <w:trPr>
          <w:trHeight w:val="220"/>
        </w:trPr>
        <w:tc>
          <w:tcPr>
            <w:tcW w:w="7740" w:type="dxa"/>
            <w:vAlign w:val="bottom"/>
          </w:tcPr>
          <w:p>
            <w:pPr>
              <w:ind w:left="200"/>
              <w:spacing w:after="0"/>
              <w:rPr>
                <w:sz w:val="20"/>
                <w:szCs w:val="20"/>
                <w:color w:val="auto"/>
              </w:rPr>
            </w:pPr>
            <w:r>
              <w:rPr>
                <w:rFonts w:ascii="Arial" w:cs="Arial" w:eastAsia="Arial" w:hAnsi="Arial"/>
                <w:sz w:val="16"/>
                <w:szCs w:val="16"/>
                <w:color w:val="auto"/>
              </w:rPr>
              <w:t>Deferred revenue, current portion</w:t>
            </w:r>
          </w:p>
        </w:tc>
        <w:tc>
          <w:tcPr>
            <w:tcW w:w="9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53,102</w:t>
            </w:r>
          </w:p>
        </w:tc>
        <w:tc>
          <w:tcPr>
            <w:tcW w:w="2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11,921</w:t>
            </w:r>
          </w:p>
        </w:tc>
        <w:tc>
          <w:tcPr>
            <w:tcW w:w="100" w:type="dxa"/>
            <w:vAlign w:val="bottom"/>
          </w:tcPr>
          <w:p>
            <w:pPr>
              <w:spacing w:after="0"/>
              <w:rPr>
                <w:sz w:val="19"/>
                <w:szCs w:val="19"/>
                <w:color w:val="auto"/>
              </w:rPr>
            </w:pPr>
          </w:p>
        </w:tc>
      </w:tr>
      <w:tr>
        <w:trPr>
          <w:trHeight w:val="233"/>
        </w:trPr>
        <w:tc>
          <w:tcPr>
            <w:tcW w:w="7740" w:type="dxa"/>
            <w:vAlign w:val="bottom"/>
            <w:tcBorders>
              <w:bottom w:val="single" w:sz="8" w:color="CFF0FC"/>
            </w:tcBorders>
            <w:shd w:val="clear" w:color="auto" w:fill="CFF0FC"/>
          </w:tcPr>
          <w:p>
            <w:pPr>
              <w:ind w:left="200"/>
              <w:spacing w:after="0"/>
              <w:rPr>
                <w:sz w:val="20"/>
                <w:szCs w:val="20"/>
                <w:color w:val="auto"/>
              </w:rPr>
            </w:pPr>
            <w:r>
              <w:rPr>
                <w:rFonts w:ascii="Arial" w:cs="Arial" w:eastAsia="Arial" w:hAnsi="Arial"/>
                <w:sz w:val="16"/>
                <w:szCs w:val="16"/>
                <w:color w:val="auto"/>
              </w:rPr>
              <w:t>Income tax payable</w:t>
            </w:r>
          </w:p>
        </w:tc>
        <w:tc>
          <w:tcPr>
            <w:tcW w:w="940" w:type="dxa"/>
            <w:vAlign w:val="bottom"/>
            <w:tcBorders>
              <w:bottom w:val="single" w:sz="8" w:color="auto"/>
            </w:tcBorders>
            <w:shd w:val="clear" w:color="auto" w:fill="CFF0FC"/>
          </w:tcPr>
          <w:p>
            <w:pPr>
              <w:spacing w:after="0"/>
              <w:rPr>
                <w:sz w:val="20"/>
                <w:szCs w:val="20"/>
                <w:color w:val="auto"/>
              </w:rPr>
            </w:pP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1,240</w:t>
            </w:r>
          </w:p>
        </w:tc>
        <w:tc>
          <w:tcPr>
            <w:tcW w:w="280" w:type="dxa"/>
            <w:vAlign w:val="bottom"/>
            <w:tcBorders>
              <w:bottom w:val="single" w:sz="8" w:color="CFF0FC"/>
            </w:tcBorders>
            <w:shd w:val="clear" w:color="auto" w:fill="CFF0FC"/>
          </w:tcPr>
          <w:p>
            <w:pPr>
              <w:spacing w:after="0"/>
              <w:rPr>
                <w:sz w:val="20"/>
                <w:szCs w:val="20"/>
                <w:color w:val="auto"/>
              </w:rPr>
            </w:pPr>
          </w:p>
        </w:tc>
        <w:tc>
          <w:tcPr>
            <w:tcW w:w="560" w:type="dxa"/>
            <w:vAlign w:val="bottom"/>
            <w:tcBorders>
              <w:bottom w:val="single" w:sz="8" w:color="auto"/>
            </w:tcBorders>
            <w:shd w:val="clear" w:color="auto" w:fill="CFF0FC"/>
          </w:tcPr>
          <w:p>
            <w:pPr>
              <w:spacing w:after="0"/>
              <w:rPr>
                <w:sz w:val="20"/>
                <w:szCs w:val="20"/>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523</w:t>
            </w:r>
          </w:p>
        </w:tc>
        <w:tc>
          <w:tcPr>
            <w:tcW w:w="100" w:type="dxa"/>
            <w:vAlign w:val="bottom"/>
            <w:tcBorders>
              <w:bottom w:val="single" w:sz="8" w:color="CFF0FC"/>
            </w:tcBorders>
            <w:shd w:val="clear" w:color="auto" w:fill="CFF0FC"/>
          </w:tcPr>
          <w:p>
            <w:pPr>
              <w:spacing w:after="0"/>
              <w:rPr>
                <w:sz w:val="20"/>
                <w:szCs w:val="20"/>
                <w:color w:val="auto"/>
              </w:rPr>
            </w:pPr>
          </w:p>
        </w:tc>
      </w:tr>
      <w:tr>
        <w:trPr>
          <w:trHeight w:val="220"/>
        </w:trPr>
        <w:tc>
          <w:tcPr>
            <w:tcW w:w="7740" w:type="dxa"/>
            <w:vAlign w:val="bottom"/>
          </w:tcPr>
          <w:p>
            <w:pPr>
              <w:ind w:left="20"/>
              <w:spacing w:after="0"/>
              <w:rPr>
                <w:sz w:val="20"/>
                <w:szCs w:val="20"/>
                <w:color w:val="auto"/>
              </w:rPr>
            </w:pPr>
            <w:r>
              <w:rPr>
                <w:rFonts w:ascii="Arial" w:cs="Arial" w:eastAsia="Arial" w:hAnsi="Arial"/>
                <w:sz w:val="16"/>
                <w:szCs w:val="16"/>
                <w:color w:val="auto"/>
              </w:rPr>
              <w:t>Total current liabilities</w:t>
            </w:r>
          </w:p>
        </w:tc>
        <w:tc>
          <w:tcPr>
            <w:tcW w:w="9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78,619</w:t>
            </w:r>
          </w:p>
        </w:tc>
        <w:tc>
          <w:tcPr>
            <w:tcW w:w="2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35,089</w:t>
            </w:r>
          </w:p>
        </w:tc>
        <w:tc>
          <w:tcPr>
            <w:tcW w:w="100" w:type="dxa"/>
            <w:vAlign w:val="bottom"/>
          </w:tcPr>
          <w:p>
            <w:pPr>
              <w:spacing w:after="0"/>
              <w:rPr>
                <w:sz w:val="19"/>
                <w:szCs w:val="19"/>
                <w:color w:val="auto"/>
              </w:rPr>
            </w:pPr>
          </w:p>
        </w:tc>
      </w:tr>
      <w:tr>
        <w:trPr>
          <w:trHeight w:val="239"/>
        </w:trPr>
        <w:tc>
          <w:tcPr>
            <w:tcW w:w="7740" w:type="dxa"/>
            <w:vAlign w:val="bottom"/>
            <w:shd w:val="clear" w:color="auto" w:fill="CFF0FC"/>
          </w:tcPr>
          <w:p>
            <w:pPr>
              <w:ind w:left="20"/>
              <w:spacing w:after="0"/>
              <w:rPr>
                <w:sz w:val="20"/>
                <w:szCs w:val="20"/>
                <w:color w:val="auto"/>
              </w:rPr>
            </w:pPr>
            <w:r>
              <w:rPr>
                <w:rFonts w:ascii="Arial" w:cs="Arial" w:eastAsia="Arial" w:hAnsi="Arial"/>
                <w:sz w:val="16"/>
                <w:szCs w:val="16"/>
                <w:color w:val="auto"/>
              </w:rPr>
              <w:t>Operating lease liabilities, net of current portion</w:t>
            </w:r>
          </w:p>
        </w:tc>
        <w:tc>
          <w:tcPr>
            <w:tcW w:w="940" w:type="dxa"/>
            <w:vAlign w:val="bottom"/>
            <w:shd w:val="clear" w:color="auto" w:fill="CFF0FC"/>
          </w:tcPr>
          <w:p>
            <w:pPr>
              <w:spacing w:after="0"/>
              <w:rPr>
                <w:sz w:val="20"/>
                <w:szCs w:val="20"/>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3,257</w:t>
            </w:r>
          </w:p>
        </w:tc>
        <w:tc>
          <w:tcPr>
            <w:tcW w:w="280" w:type="dxa"/>
            <w:vAlign w:val="bottom"/>
            <w:shd w:val="clear" w:color="auto" w:fill="CFF0FC"/>
          </w:tcPr>
          <w:p>
            <w:pPr>
              <w:spacing w:after="0"/>
              <w:rPr>
                <w:sz w:val="20"/>
                <w:szCs w:val="20"/>
                <w:color w:val="auto"/>
              </w:rPr>
            </w:pPr>
          </w:p>
        </w:tc>
        <w:tc>
          <w:tcPr>
            <w:tcW w:w="560" w:type="dxa"/>
            <w:vAlign w:val="bottom"/>
            <w:shd w:val="clear" w:color="auto" w:fill="CFF0FC"/>
          </w:tcPr>
          <w:p>
            <w:pPr>
              <w:spacing w:after="0"/>
              <w:rPr>
                <w:sz w:val="20"/>
                <w:szCs w:val="20"/>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5,592</w:t>
            </w:r>
          </w:p>
        </w:tc>
        <w:tc>
          <w:tcPr>
            <w:tcW w:w="100" w:type="dxa"/>
            <w:vAlign w:val="bottom"/>
            <w:shd w:val="clear" w:color="auto" w:fill="CFF0FC"/>
          </w:tcPr>
          <w:p>
            <w:pPr>
              <w:spacing w:after="0"/>
              <w:rPr>
                <w:sz w:val="20"/>
                <w:szCs w:val="20"/>
                <w:color w:val="auto"/>
              </w:rPr>
            </w:pPr>
          </w:p>
        </w:tc>
      </w:tr>
      <w:tr>
        <w:trPr>
          <w:trHeight w:val="223"/>
        </w:trPr>
        <w:tc>
          <w:tcPr>
            <w:tcW w:w="7740" w:type="dxa"/>
            <w:vAlign w:val="bottom"/>
          </w:tcPr>
          <w:p>
            <w:pPr>
              <w:ind w:left="20"/>
              <w:spacing w:after="0"/>
              <w:rPr>
                <w:sz w:val="20"/>
                <w:szCs w:val="20"/>
                <w:color w:val="auto"/>
              </w:rPr>
            </w:pPr>
            <w:r>
              <w:rPr>
                <w:rFonts w:ascii="Arial" w:cs="Arial" w:eastAsia="Arial" w:hAnsi="Arial"/>
                <w:sz w:val="16"/>
                <w:szCs w:val="16"/>
                <w:color w:val="auto"/>
              </w:rPr>
              <w:t>Deferred revenue, net of current portion</w:t>
            </w:r>
          </w:p>
        </w:tc>
        <w:tc>
          <w:tcPr>
            <w:tcW w:w="94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2,682</w:t>
            </w:r>
          </w:p>
        </w:tc>
        <w:tc>
          <w:tcPr>
            <w:tcW w:w="280" w:type="dxa"/>
            <w:vAlign w:val="bottom"/>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39,613</w:t>
            </w:r>
          </w:p>
        </w:tc>
        <w:tc>
          <w:tcPr>
            <w:tcW w:w="100" w:type="dxa"/>
            <w:vAlign w:val="bottom"/>
          </w:tcPr>
          <w:p>
            <w:pPr>
              <w:spacing w:after="0"/>
              <w:rPr>
                <w:sz w:val="19"/>
                <w:szCs w:val="19"/>
                <w:color w:val="auto"/>
              </w:rPr>
            </w:pPr>
          </w:p>
        </w:tc>
      </w:tr>
      <w:tr>
        <w:trPr>
          <w:trHeight w:val="223"/>
        </w:trPr>
        <w:tc>
          <w:tcPr>
            <w:tcW w:w="774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6"/>
                <w:szCs w:val="16"/>
                <w:b w:val="1"/>
                <w:bCs w:val="1"/>
                <w:color w:val="auto"/>
              </w:rPr>
              <w:t>TOTAL LIABILITIES</w:t>
            </w:r>
          </w:p>
        </w:tc>
        <w:tc>
          <w:tcPr>
            <w:tcW w:w="940" w:type="dxa"/>
            <w:vAlign w:val="bottom"/>
            <w:tcBorders>
              <w:bottom w:val="single" w:sz="8" w:color="auto"/>
            </w:tcBorders>
            <w:shd w:val="clear" w:color="auto" w:fill="CFF0FC"/>
          </w:tcPr>
          <w:p>
            <w:pPr>
              <w:spacing w:after="0"/>
              <w:rPr>
                <w:sz w:val="19"/>
                <w:szCs w:val="19"/>
                <w:color w:val="auto"/>
              </w:rPr>
            </w:pP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84,558</w:t>
            </w:r>
          </w:p>
        </w:tc>
        <w:tc>
          <w:tcPr>
            <w:tcW w:w="280" w:type="dxa"/>
            <w:vAlign w:val="bottom"/>
            <w:tcBorders>
              <w:bottom w:val="single" w:sz="8" w:color="CFF0FC"/>
            </w:tcBorders>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80,294</w:t>
            </w:r>
          </w:p>
        </w:tc>
        <w:tc>
          <w:tcPr>
            <w:tcW w:w="100" w:type="dxa"/>
            <w:vAlign w:val="bottom"/>
            <w:tcBorders>
              <w:bottom w:val="single" w:sz="8" w:color="CFF0FC"/>
            </w:tcBorders>
            <w:shd w:val="clear" w:color="auto" w:fill="CFF0FC"/>
          </w:tcPr>
          <w:p>
            <w:pPr>
              <w:spacing w:after="0"/>
              <w:rPr>
                <w:sz w:val="19"/>
                <w:szCs w:val="19"/>
                <w:color w:val="auto"/>
              </w:rPr>
            </w:pPr>
          </w:p>
        </w:tc>
      </w:tr>
      <w:tr>
        <w:trPr>
          <w:trHeight w:val="220"/>
        </w:trPr>
        <w:tc>
          <w:tcPr>
            <w:tcW w:w="7740" w:type="dxa"/>
            <w:vAlign w:val="bottom"/>
          </w:tcPr>
          <w:p>
            <w:pPr>
              <w:ind w:left="20"/>
              <w:spacing w:after="0"/>
              <w:rPr>
                <w:sz w:val="20"/>
                <w:szCs w:val="20"/>
                <w:color w:val="auto"/>
              </w:rPr>
            </w:pPr>
            <w:r>
              <w:rPr>
                <w:rFonts w:ascii="Arial" w:cs="Arial" w:eastAsia="Arial" w:hAnsi="Arial"/>
                <w:sz w:val="16"/>
                <w:szCs w:val="16"/>
                <w:b w:val="1"/>
                <w:bCs w:val="1"/>
                <w:color w:val="auto"/>
              </w:rPr>
              <w:t>Commitments and Contingencies</w:t>
            </w:r>
          </w:p>
        </w:tc>
        <w:tc>
          <w:tcPr>
            <w:tcW w:w="9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9"/>
        </w:trPr>
        <w:tc>
          <w:tcPr>
            <w:tcW w:w="7740" w:type="dxa"/>
            <w:vAlign w:val="bottom"/>
            <w:shd w:val="clear" w:color="auto" w:fill="CFF0FC"/>
          </w:tcPr>
          <w:p>
            <w:pPr>
              <w:ind w:left="20"/>
              <w:spacing w:after="0"/>
              <w:rPr>
                <w:sz w:val="20"/>
                <w:szCs w:val="20"/>
                <w:color w:val="auto"/>
              </w:rPr>
            </w:pPr>
            <w:r>
              <w:rPr>
                <w:rFonts w:ascii="Arial" w:cs="Arial" w:eastAsia="Arial" w:hAnsi="Arial"/>
                <w:sz w:val="16"/>
                <w:szCs w:val="16"/>
                <w:b w:val="1"/>
                <w:bCs w:val="1"/>
                <w:color w:val="auto"/>
              </w:rPr>
              <w:t>SHAREHOLDERS’ EQUITY:</w:t>
            </w:r>
          </w:p>
        </w:tc>
        <w:tc>
          <w:tcPr>
            <w:tcW w:w="940" w:type="dxa"/>
            <w:vAlign w:val="bottom"/>
            <w:shd w:val="clear" w:color="auto" w:fill="CFF0FC"/>
          </w:tcPr>
          <w:p>
            <w:pPr>
              <w:spacing w:after="0"/>
              <w:rPr>
                <w:sz w:val="20"/>
                <w:szCs w:val="20"/>
                <w:color w:val="auto"/>
              </w:rPr>
            </w:pPr>
          </w:p>
        </w:tc>
        <w:tc>
          <w:tcPr>
            <w:tcW w:w="600" w:type="dxa"/>
            <w:vAlign w:val="bottom"/>
            <w:shd w:val="clear" w:color="auto" w:fill="CFF0FC"/>
          </w:tcPr>
          <w:p>
            <w:pPr>
              <w:spacing w:after="0"/>
              <w:rPr>
                <w:sz w:val="20"/>
                <w:szCs w:val="20"/>
                <w:color w:val="auto"/>
              </w:rPr>
            </w:pPr>
          </w:p>
        </w:tc>
        <w:tc>
          <w:tcPr>
            <w:tcW w:w="280" w:type="dxa"/>
            <w:vAlign w:val="bottom"/>
            <w:shd w:val="clear" w:color="auto" w:fill="CFF0FC"/>
          </w:tcPr>
          <w:p>
            <w:pPr>
              <w:spacing w:after="0"/>
              <w:rPr>
                <w:sz w:val="20"/>
                <w:szCs w:val="20"/>
                <w:color w:val="auto"/>
              </w:rPr>
            </w:pPr>
          </w:p>
        </w:tc>
        <w:tc>
          <w:tcPr>
            <w:tcW w:w="560" w:type="dxa"/>
            <w:vAlign w:val="bottom"/>
            <w:shd w:val="clear" w:color="auto" w:fill="CFF0FC"/>
          </w:tcPr>
          <w:p>
            <w:pPr>
              <w:spacing w:after="0"/>
              <w:rPr>
                <w:sz w:val="20"/>
                <w:szCs w:val="20"/>
                <w:color w:val="auto"/>
              </w:rPr>
            </w:pPr>
          </w:p>
        </w:tc>
        <w:tc>
          <w:tcPr>
            <w:tcW w:w="102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r>
      <w:tr>
        <w:trPr>
          <w:trHeight w:val="206"/>
        </w:trPr>
        <w:tc>
          <w:tcPr>
            <w:tcW w:w="7740" w:type="dxa"/>
            <w:vAlign w:val="bottom"/>
          </w:tcPr>
          <w:p>
            <w:pPr>
              <w:ind w:left="200"/>
              <w:spacing w:after="0"/>
              <w:rPr>
                <w:sz w:val="20"/>
                <w:szCs w:val="20"/>
                <w:color w:val="auto"/>
              </w:rPr>
            </w:pPr>
            <w:r>
              <w:rPr>
                <w:rFonts w:ascii="Arial" w:cs="Arial" w:eastAsia="Arial" w:hAnsi="Arial"/>
                <w:sz w:val="16"/>
                <w:szCs w:val="16"/>
                <w:color w:val="auto"/>
              </w:rPr>
              <w:t>Preferred shares, no par value per share; unlimited shares authorized as</w:t>
            </w:r>
          </w:p>
        </w:tc>
        <w:tc>
          <w:tcPr>
            <w:tcW w:w="94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3"/>
        </w:trPr>
        <w:tc>
          <w:tcPr>
            <w:tcW w:w="7740" w:type="dxa"/>
            <w:vAlign w:val="bottom"/>
          </w:tcPr>
          <w:p>
            <w:pPr>
              <w:ind w:left="280"/>
              <w:spacing w:after="0"/>
              <w:rPr>
                <w:sz w:val="20"/>
                <w:szCs w:val="20"/>
                <w:color w:val="auto"/>
              </w:rPr>
            </w:pPr>
            <w:r>
              <w:rPr>
                <w:rFonts w:ascii="Arial" w:cs="Arial" w:eastAsia="Arial" w:hAnsi="Arial"/>
                <w:sz w:val="16"/>
                <w:szCs w:val="16"/>
                <w:color w:val="auto"/>
              </w:rPr>
              <w:t>of December 31, 2022 and December 31, 2021, respectively; 0 shares issued</w:t>
            </w:r>
          </w:p>
        </w:tc>
        <w:tc>
          <w:tcPr>
            <w:tcW w:w="94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7740" w:type="dxa"/>
            <w:vAlign w:val="bottom"/>
          </w:tcPr>
          <w:p>
            <w:pPr>
              <w:ind w:left="280"/>
              <w:spacing w:after="0"/>
              <w:rPr>
                <w:sz w:val="20"/>
                <w:szCs w:val="20"/>
                <w:color w:val="auto"/>
              </w:rPr>
            </w:pPr>
            <w:r>
              <w:rPr>
                <w:rFonts w:ascii="Arial" w:cs="Arial" w:eastAsia="Arial" w:hAnsi="Arial"/>
                <w:sz w:val="16"/>
                <w:szCs w:val="16"/>
                <w:color w:val="auto"/>
              </w:rPr>
              <w:t>and outstanding as of December 31, 2022 and December 31, 2021, respectively</w:t>
            </w:r>
          </w:p>
        </w:tc>
        <w:tc>
          <w:tcPr>
            <w:tcW w:w="940" w:type="dxa"/>
            <w:vAlign w:val="bottom"/>
          </w:tcPr>
          <w:p>
            <w:pPr>
              <w:spacing w:after="0"/>
              <w:rPr>
                <w:sz w:val="18"/>
                <w:szCs w:val="18"/>
                <w:color w:val="auto"/>
              </w:rPr>
            </w:pPr>
          </w:p>
        </w:tc>
        <w:tc>
          <w:tcPr>
            <w:tcW w:w="88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56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r>
      <w:tr>
        <w:trPr>
          <w:trHeight w:val="216"/>
        </w:trPr>
        <w:tc>
          <w:tcPr>
            <w:tcW w:w="7740" w:type="dxa"/>
            <w:vAlign w:val="bottom"/>
            <w:shd w:val="clear" w:color="auto" w:fill="CFF0FC"/>
          </w:tcPr>
          <w:p>
            <w:pPr>
              <w:ind w:left="200"/>
              <w:spacing w:after="0"/>
              <w:rPr>
                <w:sz w:val="20"/>
                <w:szCs w:val="20"/>
                <w:color w:val="auto"/>
              </w:rPr>
            </w:pPr>
            <w:r>
              <w:rPr>
                <w:rFonts w:ascii="Arial" w:cs="Arial" w:eastAsia="Arial" w:hAnsi="Arial"/>
                <w:sz w:val="16"/>
                <w:szCs w:val="16"/>
                <w:color w:val="auto"/>
              </w:rPr>
              <w:t>Common shares, no par value per share; unlimited shares authorized as</w:t>
            </w:r>
          </w:p>
        </w:tc>
        <w:tc>
          <w:tcPr>
            <w:tcW w:w="940" w:type="dxa"/>
            <w:vAlign w:val="bottom"/>
            <w:shd w:val="clear" w:color="auto" w:fill="CFF0FC"/>
          </w:tcPr>
          <w:p>
            <w:pPr>
              <w:spacing w:after="0"/>
              <w:rPr>
                <w:sz w:val="18"/>
                <w:szCs w:val="18"/>
                <w:color w:val="auto"/>
              </w:rPr>
            </w:pPr>
          </w:p>
        </w:tc>
        <w:tc>
          <w:tcPr>
            <w:tcW w:w="60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56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03"/>
        </w:trPr>
        <w:tc>
          <w:tcPr>
            <w:tcW w:w="7740" w:type="dxa"/>
            <w:vAlign w:val="bottom"/>
            <w:shd w:val="clear" w:color="auto" w:fill="CFF0FC"/>
          </w:tcPr>
          <w:p>
            <w:pPr>
              <w:ind w:left="320"/>
              <w:spacing w:after="0"/>
              <w:rPr>
                <w:sz w:val="20"/>
                <w:szCs w:val="20"/>
                <w:color w:val="auto"/>
              </w:rPr>
            </w:pPr>
            <w:r>
              <w:rPr>
                <w:rFonts w:ascii="Arial" w:cs="Arial" w:eastAsia="Arial" w:hAnsi="Arial"/>
                <w:sz w:val="16"/>
                <w:szCs w:val="16"/>
                <w:color w:val="auto"/>
              </w:rPr>
              <w:t>of December 31, 2022 and December 31, 2021; 42,036,193 and 41,850,162</w:t>
            </w:r>
          </w:p>
        </w:tc>
        <w:tc>
          <w:tcPr>
            <w:tcW w:w="940" w:type="dxa"/>
            <w:vAlign w:val="bottom"/>
            <w:shd w:val="clear" w:color="auto" w:fill="CFF0FC"/>
          </w:tcPr>
          <w:p>
            <w:pPr>
              <w:spacing w:after="0"/>
              <w:rPr>
                <w:sz w:val="17"/>
                <w:szCs w:val="17"/>
                <w:color w:val="auto"/>
              </w:rPr>
            </w:pPr>
          </w:p>
        </w:tc>
        <w:tc>
          <w:tcPr>
            <w:tcW w:w="60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560" w:type="dxa"/>
            <w:vAlign w:val="bottom"/>
            <w:shd w:val="clear" w:color="auto" w:fill="CFF0FC"/>
          </w:tcPr>
          <w:p>
            <w:pPr>
              <w:spacing w:after="0"/>
              <w:rPr>
                <w:sz w:val="17"/>
                <w:szCs w:val="17"/>
                <w:color w:val="auto"/>
              </w:rPr>
            </w:pPr>
          </w:p>
        </w:tc>
        <w:tc>
          <w:tcPr>
            <w:tcW w:w="102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203"/>
        </w:trPr>
        <w:tc>
          <w:tcPr>
            <w:tcW w:w="7740" w:type="dxa"/>
            <w:vAlign w:val="bottom"/>
            <w:shd w:val="clear" w:color="auto" w:fill="CFF0FC"/>
          </w:tcPr>
          <w:p>
            <w:pPr>
              <w:ind w:left="320"/>
              <w:spacing w:after="0"/>
              <w:rPr>
                <w:sz w:val="20"/>
                <w:szCs w:val="20"/>
                <w:color w:val="auto"/>
              </w:rPr>
            </w:pPr>
            <w:r>
              <w:rPr>
                <w:rFonts w:ascii="Arial" w:cs="Arial" w:eastAsia="Arial" w:hAnsi="Arial"/>
                <w:sz w:val="16"/>
                <w:szCs w:val="16"/>
                <w:color w:val="auto"/>
              </w:rPr>
              <w:t>shares issued and outstanding as of December 31, 2022 and December 31, 2021,</w:t>
            </w:r>
          </w:p>
        </w:tc>
        <w:tc>
          <w:tcPr>
            <w:tcW w:w="940" w:type="dxa"/>
            <w:vAlign w:val="bottom"/>
            <w:shd w:val="clear" w:color="auto" w:fill="CFF0FC"/>
          </w:tcPr>
          <w:p>
            <w:pPr>
              <w:spacing w:after="0"/>
              <w:rPr>
                <w:sz w:val="17"/>
                <w:szCs w:val="17"/>
                <w:color w:val="auto"/>
              </w:rPr>
            </w:pPr>
          </w:p>
        </w:tc>
        <w:tc>
          <w:tcPr>
            <w:tcW w:w="60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560" w:type="dxa"/>
            <w:vAlign w:val="bottom"/>
            <w:shd w:val="clear" w:color="auto" w:fill="CFF0FC"/>
          </w:tcPr>
          <w:p>
            <w:pPr>
              <w:spacing w:after="0"/>
              <w:rPr>
                <w:sz w:val="17"/>
                <w:szCs w:val="17"/>
                <w:color w:val="auto"/>
              </w:rPr>
            </w:pPr>
          </w:p>
        </w:tc>
        <w:tc>
          <w:tcPr>
            <w:tcW w:w="102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226"/>
        </w:trPr>
        <w:tc>
          <w:tcPr>
            <w:tcW w:w="7740" w:type="dxa"/>
            <w:vAlign w:val="bottom"/>
            <w:shd w:val="clear" w:color="auto" w:fill="CFF0FC"/>
          </w:tcPr>
          <w:p>
            <w:pPr>
              <w:ind w:left="320"/>
              <w:spacing w:after="0"/>
              <w:rPr>
                <w:sz w:val="20"/>
                <w:szCs w:val="20"/>
                <w:color w:val="auto"/>
              </w:rPr>
            </w:pPr>
            <w:r>
              <w:rPr>
                <w:rFonts w:ascii="Arial" w:cs="Arial" w:eastAsia="Arial" w:hAnsi="Arial"/>
                <w:sz w:val="16"/>
                <w:szCs w:val="16"/>
                <w:color w:val="auto"/>
              </w:rPr>
              <w:t>respectively</w:t>
            </w:r>
          </w:p>
        </w:tc>
        <w:tc>
          <w:tcPr>
            <w:tcW w:w="940" w:type="dxa"/>
            <w:vAlign w:val="bottom"/>
            <w:shd w:val="clear" w:color="auto" w:fill="CFF0FC"/>
          </w:tcPr>
          <w:p>
            <w:pPr>
              <w:spacing w:after="0"/>
              <w:rPr>
                <w:sz w:val="19"/>
                <w:szCs w:val="19"/>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6"/>
                <w:szCs w:val="16"/>
                <w:color w:val="auto"/>
                <w:w w:val="96"/>
              </w:rPr>
              <w:t>482,032</w:t>
            </w:r>
          </w:p>
        </w:tc>
        <w:tc>
          <w:tcPr>
            <w:tcW w:w="28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480,699</w:t>
            </w:r>
          </w:p>
        </w:tc>
        <w:tc>
          <w:tcPr>
            <w:tcW w:w="100" w:type="dxa"/>
            <w:vAlign w:val="bottom"/>
            <w:shd w:val="clear" w:color="auto" w:fill="CFF0FC"/>
          </w:tcPr>
          <w:p>
            <w:pPr>
              <w:spacing w:after="0"/>
              <w:rPr>
                <w:sz w:val="19"/>
                <w:szCs w:val="19"/>
                <w:color w:val="auto"/>
              </w:rPr>
            </w:pPr>
          </w:p>
        </w:tc>
      </w:tr>
      <w:tr>
        <w:trPr>
          <w:trHeight w:val="220"/>
        </w:trPr>
        <w:tc>
          <w:tcPr>
            <w:tcW w:w="7740" w:type="dxa"/>
            <w:vAlign w:val="bottom"/>
          </w:tcPr>
          <w:p>
            <w:pPr>
              <w:ind w:left="200"/>
              <w:spacing w:after="0"/>
              <w:rPr>
                <w:sz w:val="20"/>
                <w:szCs w:val="20"/>
                <w:color w:val="auto"/>
              </w:rPr>
            </w:pPr>
            <w:r>
              <w:rPr>
                <w:rFonts w:ascii="Arial" w:cs="Arial" w:eastAsia="Arial" w:hAnsi="Arial"/>
                <w:sz w:val="16"/>
                <w:szCs w:val="16"/>
                <w:color w:val="auto"/>
              </w:rPr>
              <w:t>Additional paid-in capital</w:t>
            </w:r>
          </w:p>
        </w:tc>
        <w:tc>
          <w:tcPr>
            <w:tcW w:w="9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37,226</w:t>
            </w:r>
          </w:p>
        </w:tc>
        <w:tc>
          <w:tcPr>
            <w:tcW w:w="2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17,988</w:t>
            </w:r>
          </w:p>
        </w:tc>
        <w:tc>
          <w:tcPr>
            <w:tcW w:w="100" w:type="dxa"/>
            <w:vAlign w:val="bottom"/>
          </w:tcPr>
          <w:p>
            <w:pPr>
              <w:spacing w:after="0"/>
              <w:rPr>
                <w:sz w:val="19"/>
                <w:szCs w:val="19"/>
                <w:color w:val="auto"/>
              </w:rPr>
            </w:pPr>
          </w:p>
        </w:tc>
      </w:tr>
      <w:tr>
        <w:trPr>
          <w:trHeight w:val="239"/>
        </w:trPr>
        <w:tc>
          <w:tcPr>
            <w:tcW w:w="7740" w:type="dxa"/>
            <w:vAlign w:val="bottom"/>
            <w:shd w:val="clear" w:color="auto" w:fill="CFF0FC"/>
          </w:tcPr>
          <w:p>
            <w:pPr>
              <w:ind w:left="200"/>
              <w:spacing w:after="0"/>
              <w:rPr>
                <w:sz w:val="20"/>
                <w:szCs w:val="20"/>
                <w:color w:val="auto"/>
              </w:rPr>
            </w:pPr>
            <w:r>
              <w:rPr>
                <w:rFonts w:ascii="Arial" w:cs="Arial" w:eastAsia="Arial" w:hAnsi="Arial"/>
                <w:sz w:val="16"/>
                <w:szCs w:val="16"/>
                <w:color w:val="auto"/>
              </w:rPr>
              <w:t>Accumulated other comprehensive loss</w:t>
            </w:r>
          </w:p>
        </w:tc>
        <w:tc>
          <w:tcPr>
            <w:tcW w:w="940" w:type="dxa"/>
            <w:vAlign w:val="bottom"/>
            <w:shd w:val="clear" w:color="auto" w:fill="CFF0FC"/>
          </w:tcPr>
          <w:p>
            <w:pPr>
              <w:spacing w:after="0"/>
              <w:rPr>
                <w:sz w:val="20"/>
                <w:szCs w:val="20"/>
                <w:color w:val="auto"/>
              </w:rPr>
            </w:pPr>
          </w:p>
        </w:tc>
        <w:tc>
          <w:tcPr>
            <w:tcW w:w="880" w:type="dxa"/>
            <w:vAlign w:val="bottom"/>
            <w:gridSpan w:val="2"/>
            <w:shd w:val="clear" w:color="auto" w:fill="CFF0FC"/>
          </w:tcPr>
          <w:p>
            <w:pPr>
              <w:jc w:val="right"/>
              <w:ind w:right="200"/>
              <w:spacing w:after="0"/>
              <w:rPr>
                <w:sz w:val="20"/>
                <w:szCs w:val="20"/>
                <w:color w:val="auto"/>
              </w:rPr>
            </w:pPr>
            <w:r>
              <w:rPr>
                <w:rFonts w:ascii="Arial" w:cs="Arial" w:eastAsia="Arial" w:hAnsi="Arial"/>
                <w:sz w:val="16"/>
                <w:szCs w:val="16"/>
                <w:color w:val="auto"/>
              </w:rPr>
              <w:t>(428 )</w:t>
            </w:r>
          </w:p>
        </w:tc>
        <w:tc>
          <w:tcPr>
            <w:tcW w:w="560" w:type="dxa"/>
            <w:vAlign w:val="bottom"/>
            <w:shd w:val="clear" w:color="auto" w:fill="CFF0FC"/>
          </w:tcPr>
          <w:p>
            <w:pPr>
              <w:spacing w:after="0"/>
              <w:rPr>
                <w:sz w:val="20"/>
                <w:szCs w:val="20"/>
                <w:color w:val="auto"/>
              </w:rPr>
            </w:pPr>
          </w:p>
        </w:tc>
        <w:tc>
          <w:tcPr>
            <w:tcW w:w="1120" w:type="dxa"/>
            <w:vAlign w:val="bottom"/>
            <w:gridSpan w:val="2"/>
            <w:shd w:val="clear" w:color="auto" w:fill="CFF0FC"/>
          </w:tcPr>
          <w:p>
            <w:pPr>
              <w:jc w:val="right"/>
              <w:ind w:right="120"/>
              <w:spacing w:after="0"/>
              <w:rPr>
                <w:sz w:val="20"/>
                <w:szCs w:val="20"/>
                <w:color w:val="auto"/>
              </w:rPr>
            </w:pPr>
            <w:r>
              <w:rPr>
                <w:rFonts w:ascii="Arial" w:cs="Arial" w:eastAsia="Arial" w:hAnsi="Arial"/>
                <w:sz w:val="16"/>
                <w:szCs w:val="16"/>
                <w:color w:val="auto"/>
              </w:rPr>
              <w:t>—</w:t>
            </w:r>
          </w:p>
        </w:tc>
      </w:tr>
      <w:tr>
        <w:trPr>
          <w:trHeight w:val="223"/>
        </w:trPr>
        <w:tc>
          <w:tcPr>
            <w:tcW w:w="7740" w:type="dxa"/>
            <w:vAlign w:val="bottom"/>
          </w:tcPr>
          <w:p>
            <w:pPr>
              <w:ind w:left="200"/>
              <w:spacing w:after="0"/>
              <w:rPr>
                <w:sz w:val="20"/>
                <w:szCs w:val="20"/>
                <w:color w:val="auto"/>
              </w:rPr>
            </w:pPr>
            <w:r>
              <w:rPr>
                <w:rFonts w:ascii="Arial" w:cs="Arial" w:eastAsia="Arial" w:hAnsi="Arial"/>
                <w:sz w:val="16"/>
                <w:szCs w:val="16"/>
                <w:color w:val="auto"/>
              </w:rPr>
              <w:t>Accumulated deficit</w:t>
            </w:r>
          </w:p>
        </w:tc>
        <w:tc>
          <w:tcPr>
            <w:tcW w:w="940" w:type="dxa"/>
            <w:vAlign w:val="bottom"/>
          </w:tcPr>
          <w:p>
            <w:pPr>
              <w:spacing w:after="0"/>
              <w:rPr>
                <w:sz w:val="19"/>
                <w:szCs w:val="19"/>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6"/>
                <w:szCs w:val="16"/>
                <w:color w:val="auto"/>
                <w:w w:val="90"/>
              </w:rPr>
              <w:t>(239,313 )</w:t>
            </w:r>
          </w:p>
        </w:tc>
        <w:tc>
          <w:tcPr>
            <w:tcW w:w="560" w:type="dxa"/>
            <w:vAlign w:val="bottom"/>
          </w:tcPr>
          <w:p>
            <w:pPr>
              <w:spacing w:after="0"/>
              <w:rPr>
                <w:sz w:val="19"/>
                <w:szCs w:val="19"/>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6"/>
                <w:szCs w:val="16"/>
                <w:color w:val="auto"/>
              </w:rPr>
              <w:t>(210,266 )</w:t>
            </w:r>
          </w:p>
        </w:tc>
      </w:tr>
      <w:tr>
        <w:trPr>
          <w:trHeight w:val="223"/>
        </w:trPr>
        <w:tc>
          <w:tcPr>
            <w:tcW w:w="774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6"/>
                <w:szCs w:val="16"/>
                <w:b w:val="1"/>
                <w:bCs w:val="1"/>
                <w:color w:val="auto"/>
              </w:rPr>
              <w:t>TOTAL SHAREHOLDERS’ EQUITY</w:t>
            </w:r>
          </w:p>
        </w:tc>
        <w:tc>
          <w:tcPr>
            <w:tcW w:w="940" w:type="dxa"/>
            <w:vAlign w:val="bottom"/>
            <w:tcBorders>
              <w:top w:val="single" w:sz="8" w:color="auto"/>
              <w:bottom w:val="single" w:sz="8" w:color="auto"/>
            </w:tcBorders>
            <w:shd w:val="clear" w:color="auto" w:fill="CFF0FC"/>
          </w:tcPr>
          <w:p>
            <w:pPr>
              <w:spacing w:after="0"/>
              <w:rPr>
                <w:sz w:val="19"/>
                <w:szCs w:val="19"/>
                <w:color w:val="auto"/>
              </w:rPr>
            </w:pPr>
          </w:p>
        </w:tc>
        <w:tc>
          <w:tcPr>
            <w:tcW w:w="6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w w:val="96"/>
              </w:rPr>
              <w:t>279,517</w:t>
            </w:r>
          </w:p>
        </w:tc>
        <w:tc>
          <w:tcPr>
            <w:tcW w:w="280" w:type="dxa"/>
            <w:vAlign w:val="bottom"/>
            <w:tcBorders>
              <w:bottom w:val="single" w:sz="8" w:color="CFF0FC"/>
            </w:tcBorders>
            <w:shd w:val="clear" w:color="auto" w:fill="CFF0FC"/>
          </w:tcPr>
          <w:p>
            <w:pPr>
              <w:spacing w:after="0"/>
              <w:rPr>
                <w:sz w:val="19"/>
                <w:szCs w:val="19"/>
                <w:color w:val="auto"/>
              </w:rPr>
            </w:pPr>
          </w:p>
        </w:tc>
        <w:tc>
          <w:tcPr>
            <w:tcW w:w="560" w:type="dxa"/>
            <w:vAlign w:val="bottom"/>
            <w:tcBorders>
              <w:top w:val="single" w:sz="8" w:color="auto"/>
              <w:bottom w:val="single" w:sz="8" w:color="auto"/>
            </w:tcBorders>
            <w:shd w:val="clear" w:color="auto" w:fill="CFF0FC"/>
          </w:tcPr>
          <w:p>
            <w:pPr>
              <w:spacing w:after="0"/>
              <w:rPr>
                <w:sz w:val="19"/>
                <w:szCs w:val="19"/>
                <w:color w:val="auto"/>
              </w:rPr>
            </w:pPr>
          </w:p>
        </w:tc>
        <w:tc>
          <w:tcPr>
            <w:tcW w:w="10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288,421</w:t>
            </w:r>
          </w:p>
        </w:tc>
        <w:tc>
          <w:tcPr>
            <w:tcW w:w="100" w:type="dxa"/>
            <w:vAlign w:val="bottom"/>
            <w:tcBorders>
              <w:bottom w:val="single" w:sz="8" w:color="CFF0FC"/>
            </w:tcBorders>
            <w:shd w:val="clear" w:color="auto" w:fill="CFF0FC"/>
          </w:tcPr>
          <w:p>
            <w:pPr>
              <w:spacing w:after="0"/>
              <w:rPr>
                <w:sz w:val="19"/>
                <w:szCs w:val="19"/>
                <w:color w:val="auto"/>
              </w:rPr>
            </w:pPr>
          </w:p>
        </w:tc>
      </w:tr>
      <w:tr>
        <w:trPr>
          <w:trHeight w:val="223"/>
        </w:trPr>
        <w:tc>
          <w:tcPr>
            <w:tcW w:w="7740" w:type="dxa"/>
            <w:vAlign w:val="bottom"/>
          </w:tcPr>
          <w:p>
            <w:pPr>
              <w:ind w:left="20"/>
              <w:spacing w:after="0"/>
              <w:rPr>
                <w:sz w:val="20"/>
                <w:szCs w:val="20"/>
                <w:color w:val="auto"/>
              </w:rPr>
            </w:pPr>
            <w:r>
              <w:rPr>
                <w:rFonts w:ascii="Arial" w:cs="Arial" w:eastAsia="Arial" w:hAnsi="Arial"/>
                <w:sz w:val="16"/>
                <w:szCs w:val="16"/>
                <w:b w:val="1"/>
                <w:bCs w:val="1"/>
                <w:color w:val="auto"/>
              </w:rPr>
              <w:t>TOTAL LIABILITIES AND SHAREHOLDERS’ EQUITY</w:t>
            </w:r>
          </w:p>
        </w:tc>
        <w:tc>
          <w:tcPr>
            <w:tcW w:w="940" w:type="dxa"/>
            <w:vAlign w:val="bottom"/>
            <w:tcBorders>
              <w:bottom w:val="single" w:sz="8" w:color="auto"/>
            </w:tcBorders>
          </w:tcPr>
          <w:p>
            <w:pPr>
              <w:jc w:val="right"/>
              <w:ind w:right="761"/>
              <w:spacing w:after="0"/>
              <w:rPr>
                <w:sz w:val="20"/>
                <w:szCs w:val="20"/>
                <w:color w:val="auto"/>
              </w:rPr>
            </w:pPr>
            <w:r>
              <w:rPr>
                <w:rFonts w:ascii="Arial" w:cs="Arial" w:eastAsia="Arial" w:hAnsi="Arial"/>
                <w:sz w:val="16"/>
                <w:szCs w:val="16"/>
                <w:color w:val="auto"/>
                <w:w w:val="89"/>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6"/>
              </w:rPr>
              <w:t>364,075</w:t>
            </w:r>
          </w:p>
        </w:tc>
        <w:tc>
          <w:tcPr>
            <w:tcW w:w="280" w:type="dxa"/>
            <w:vAlign w:val="bottom"/>
          </w:tcPr>
          <w:p>
            <w:pPr>
              <w:spacing w:after="0"/>
              <w:rPr>
                <w:sz w:val="19"/>
                <w:szCs w:val="19"/>
                <w:color w:val="auto"/>
              </w:rPr>
            </w:pPr>
          </w:p>
        </w:tc>
        <w:tc>
          <w:tcPr>
            <w:tcW w:w="560" w:type="dxa"/>
            <w:vAlign w:val="bottom"/>
            <w:tcBorders>
              <w:bottom w:val="single" w:sz="8" w:color="auto"/>
            </w:tcBorders>
          </w:tcPr>
          <w:p>
            <w:pPr>
              <w:jc w:val="right"/>
              <w:ind w:right="379"/>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368,715</w:t>
            </w:r>
          </w:p>
        </w:tc>
        <w:tc>
          <w:tcPr>
            <w:tcW w:w="100" w:type="dxa"/>
            <w:vAlign w:val="bottom"/>
          </w:tcPr>
          <w:p>
            <w:pPr>
              <w:spacing w:after="0"/>
              <w:rPr>
                <w:sz w:val="19"/>
                <w:szCs w:val="19"/>
                <w:color w:val="auto"/>
              </w:rPr>
            </w:pPr>
          </w:p>
        </w:tc>
      </w:tr>
      <w:tr>
        <w:trPr>
          <w:trHeight w:val="20"/>
        </w:trPr>
        <w:tc>
          <w:tcPr>
            <w:tcW w:w="774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534"/>
        </w:trPr>
        <w:tc>
          <w:tcPr>
            <w:tcW w:w="7740" w:type="dxa"/>
            <w:vAlign w:val="bottom"/>
            <w:tcBorders>
              <w:bottom w:val="single" w:sz="8" w:color="9A9A9A"/>
            </w:tcBorders>
          </w:tcPr>
          <w:p>
            <w:pPr>
              <w:spacing w:after="0"/>
              <w:rPr>
                <w:sz w:val="24"/>
                <w:szCs w:val="24"/>
                <w:color w:val="auto"/>
              </w:rPr>
            </w:pPr>
          </w:p>
        </w:tc>
        <w:tc>
          <w:tcPr>
            <w:tcW w:w="940" w:type="dxa"/>
            <w:vAlign w:val="bottom"/>
            <w:tcBorders>
              <w:bottom w:val="single" w:sz="8" w:color="9A9A9A"/>
            </w:tcBorders>
          </w:tcPr>
          <w:p>
            <w:pPr>
              <w:spacing w:after="0"/>
              <w:rPr>
                <w:sz w:val="24"/>
                <w:szCs w:val="24"/>
                <w:color w:val="auto"/>
              </w:rPr>
            </w:pPr>
          </w:p>
        </w:tc>
        <w:tc>
          <w:tcPr>
            <w:tcW w:w="60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560" w:type="dxa"/>
            <w:vAlign w:val="bottom"/>
            <w:tcBorders>
              <w:bottom w:val="single" w:sz="8" w:color="9A9A9A"/>
            </w:tcBorders>
          </w:tcPr>
          <w:p>
            <w:pPr>
              <w:spacing w:after="0"/>
              <w:rPr>
                <w:sz w:val="24"/>
                <w:szCs w:val="24"/>
                <w:color w:val="auto"/>
              </w:rPr>
            </w:pPr>
          </w:p>
        </w:tc>
        <w:tc>
          <w:tcPr>
            <w:tcW w:w="102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5894070</wp:posOffset>
            </wp:positionH>
            <wp:positionV relativeFrom="paragraph">
              <wp:posOffset>-4165600</wp:posOffset>
            </wp:positionV>
            <wp:extent cx="68580" cy="1797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8580" cy="17970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-4165600</wp:posOffset>
            </wp:positionV>
            <wp:extent cx="68580" cy="1797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8580" cy="17970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-2965450</wp:posOffset>
            </wp:positionV>
            <wp:extent cx="68580" cy="1543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-2965450</wp:posOffset>
            </wp:positionV>
            <wp:extent cx="68580" cy="1543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-2365375</wp:posOffset>
            </wp:positionV>
            <wp:extent cx="68580" cy="1543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-2365375</wp:posOffset>
            </wp:positionV>
            <wp:extent cx="68580" cy="1543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8580" cy="15430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-539115</wp:posOffset>
            </wp:positionV>
            <wp:extent cx="68580" cy="1803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8580" cy="18034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-539115</wp:posOffset>
            </wp:positionV>
            <wp:extent cx="68580" cy="1803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8580" cy="180340"/>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b w:val="1"/>
          <w:bCs w:val="1"/>
          <w:color w:val="auto"/>
        </w:rPr>
        <w:t>Repare Therapeutics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of U.S. dollars, except share and per share data)</w:t>
      </w:r>
    </w:p>
    <w:p>
      <w:pPr>
        <w:spacing w:after="0" w:line="216" w:lineRule="exact"/>
        <w:rPr>
          <w:sz w:val="20"/>
          <w:szCs w:val="20"/>
          <w:color w:val="auto"/>
        </w:rPr>
      </w:pPr>
    </w:p>
    <w:p>
      <w:pPr>
        <w:ind w:left="9040"/>
        <w:spacing w:after="0"/>
        <w:rPr>
          <w:sz w:val="20"/>
          <w:szCs w:val="20"/>
          <w:color w:val="auto"/>
        </w:rPr>
      </w:pPr>
      <w:r>
        <w:rPr>
          <w:rFonts w:ascii="Arial" w:cs="Arial" w:eastAsia="Arial" w:hAnsi="Arial"/>
          <w:sz w:val="14"/>
          <w:szCs w:val="14"/>
          <w:b w:val="1"/>
          <w:bCs w:val="1"/>
          <w:color w:val="auto"/>
        </w:rPr>
        <w:t>Year Ended</w:t>
      </w:r>
    </w:p>
    <w:p>
      <w:pPr>
        <w:spacing w:after="0" w:line="4" w:lineRule="exact"/>
        <w:rPr>
          <w:sz w:val="20"/>
          <w:szCs w:val="20"/>
          <w:color w:val="auto"/>
        </w:rPr>
      </w:pPr>
    </w:p>
    <w:p>
      <w:pPr>
        <w:ind w:left="9000"/>
        <w:spacing w:after="0"/>
        <w:rPr>
          <w:sz w:val="20"/>
          <w:szCs w:val="20"/>
          <w:color w:val="auto"/>
        </w:rPr>
      </w:pPr>
      <w:r>
        <w:rPr>
          <w:rFonts w:ascii="Arial" w:cs="Arial" w:eastAsia="Arial" w:hAnsi="Arial"/>
          <w:sz w:val="14"/>
          <w:szCs w:val="14"/>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4899660</wp:posOffset>
            </wp:positionH>
            <wp:positionV relativeFrom="paragraph">
              <wp:posOffset>5080</wp:posOffset>
            </wp:positionV>
            <wp:extent cx="2168525"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2168525" cy="8255"/>
                    </a:xfrm>
                    <a:prstGeom prst="rect">
                      <a:avLst/>
                    </a:prstGeom>
                    <a:noFill/>
                  </pic:spPr>
                </pic:pic>
              </a:graphicData>
            </a:graphic>
          </wp:anchor>
        </w:drawing>
      </w:r>
    </w:p>
    <w:p>
      <w:pPr>
        <w:spacing w:after="0" w:line="46"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77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53"/>
              <w:spacing w:after="0"/>
              <w:rPr>
                <w:sz w:val="20"/>
                <w:szCs w:val="20"/>
                <w:color w:val="auto"/>
              </w:rPr>
            </w:pPr>
            <w:r>
              <w:rPr>
                <w:rFonts w:ascii="Arial" w:cs="Arial" w:eastAsia="Arial" w:hAnsi="Arial"/>
                <w:sz w:val="14"/>
                <w:szCs w:val="14"/>
                <w:b w:val="1"/>
                <w:bCs w:val="1"/>
                <w:color w:val="auto"/>
              </w:rPr>
              <w:t>2022</w:t>
            </w:r>
          </w:p>
        </w:tc>
        <w:tc>
          <w:tcPr>
            <w:tcW w:w="280" w:type="dxa"/>
            <w:vAlign w:val="bottom"/>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552"/>
              <w:spacing w:after="0"/>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6"/>
                <w:szCs w:val="16"/>
                <w:color w:val="auto"/>
              </w:rPr>
            </w:pPr>
          </w:p>
        </w:tc>
      </w:tr>
      <w:tr>
        <w:trPr>
          <w:trHeight w:val="237"/>
        </w:trPr>
        <w:tc>
          <w:tcPr>
            <w:tcW w:w="772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Revenue:</w:t>
            </w:r>
          </w:p>
        </w:tc>
        <w:tc>
          <w:tcPr>
            <w:tcW w:w="360" w:type="dxa"/>
            <w:vAlign w:val="bottom"/>
            <w:shd w:val="clear" w:color="auto" w:fill="CFF0FC"/>
          </w:tcPr>
          <w:p>
            <w:pPr>
              <w:spacing w:after="0"/>
              <w:rPr>
                <w:sz w:val="20"/>
                <w:szCs w:val="20"/>
                <w:color w:val="auto"/>
              </w:rPr>
            </w:pPr>
          </w:p>
        </w:tc>
        <w:tc>
          <w:tcPr>
            <w:tcW w:w="1200" w:type="dxa"/>
            <w:vAlign w:val="bottom"/>
            <w:shd w:val="clear" w:color="auto" w:fill="CFF0FC"/>
          </w:tcPr>
          <w:p>
            <w:pPr>
              <w:spacing w:after="0"/>
              <w:rPr>
                <w:sz w:val="20"/>
                <w:szCs w:val="20"/>
                <w:color w:val="auto"/>
              </w:rPr>
            </w:pPr>
          </w:p>
        </w:tc>
        <w:tc>
          <w:tcPr>
            <w:tcW w:w="280" w:type="dxa"/>
            <w:vAlign w:val="bottom"/>
            <w:shd w:val="clear" w:color="auto" w:fill="CFF0FC"/>
          </w:tcPr>
          <w:p>
            <w:pPr>
              <w:spacing w:after="0"/>
              <w:rPr>
                <w:sz w:val="20"/>
                <w:szCs w:val="20"/>
                <w:color w:val="auto"/>
              </w:rPr>
            </w:pPr>
          </w:p>
        </w:tc>
        <w:tc>
          <w:tcPr>
            <w:tcW w:w="580" w:type="dxa"/>
            <w:vAlign w:val="bottom"/>
            <w:shd w:val="clear" w:color="auto" w:fill="CFF0FC"/>
          </w:tcPr>
          <w:p>
            <w:pPr>
              <w:spacing w:after="0"/>
              <w:rPr>
                <w:sz w:val="20"/>
                <w:szCs w:val="20"/>
                <w:color w:val="auto"/>
              </w:rPr>
            </w:pPr>
          </w:p>
        </w:tc>
        <w:tc>
          <w:tcPr>
            <w:tcW w:w="100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r>
      <w:tr>
        <w:trPr>
          <w:trHeight w:val="237"/>
        </w:trPr>
        <w:tc>
          <w:tcPr>
            <w:tcW w:w="7720" w:type="dxa"/>
            <w:vAlign w:val="bottom"/>
          </w:tcPr>
          <w:p>
            <w:pPr>
              <w:ind w:left="200"/>
              <w:spacing w:after="0"/>
              <w:rPr>
                <w:sz w:val="20"/>
                <w:szCs w:val="20"/>
                <w:color w:val="auto"/>
              </w:rPr>
            </w:pPr>
            <w:r>
              <w:rPr>
                <w:rFonts w:ascii="Arial" w:cs="Arial" w:eastAsia="Arial" w:hAnsi="Arial"/>
                <w:sz w:val="18"/>
                <w:szCs w:val="18"/>
                <w:color w:val="auto"/>
              </w:rPr>
              <w:t>Collaboration agreements</w:t>
            </w: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131,830</w:t>
            </w:r>
          </w:p>
        </w:tc>
        <w:tc>
          <w:tcPr>
            <w:tcW w:w="280" w:type="dxa"/>
            <w:vAlign w:val="bottom"/>
          </w:tcPr>
          <w:p>
            <w:pPr>
              <w:spacing w:after="0"/>
              <w:rPr>
                <w:sz w:val="20"/>
                <w:szCs w:val="20"/>
                <w:color w:val="auto"/>
              </w:rPr>
            </w:pPr>
          </w:p>
        </w:tc>
        <w:tc>
          <w:tcPr>
            <w:tcW w:w="580" w:type="dxa"/>
            <w:vAlign w:val="bottom"/>
          </w:tcPr>
          <w:p>
            <w:pPr>
              <w:jc w:val="right"/>
              <w:ind w:right="390"/>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7,600</w:t>
            </w:r>
          </w:p>
        </w:tc>
        <w:tc>
          <w:tcPr>
            <w:tcW w:w="100" w:type="dxa"/>
            <w:vAlign w:val="bottom"/>
          </w:tcPr>
          <w:p>
            <w:pPr>
              <w:spacing w:after="0"/>
              <w:rPr>
                <w:sz w:val="20"/>
                <w:szCs w:val="20"/>
                <w:color w:val="auto"/>
              </w:rPr>
            </w:pPr>
          </w:p>
        </w:tc>
      </w:tr>
      <w:tr>
        <w:trPr>
          <w:trHeight w:val="249"/>
        </w:trPr>
        <w:tc>
          <w:tcPr>
            <w:tcW w:w="772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Operating expenses:</w:t>
            </w:r>
          </w:p>
        </w:tc>
        <w:tc>
          <w:tcPr>
            <w:tcW w:w="360" w:type="dxa"/>
            <w:vAlign w:val="bottom"/>
            <w:shd w:val="clear" w:color="auto" w:fill="CFF0FC"/>
          </w:tcPr>
          <w:p>
            <w:pPr>
              <w:spacing w:after="0"/>
              <w:rPr>
                <w:sz w:val="21"/>
                <w:szCs w:val="21"/>
                <w:color w:val="auto"/>
              </w:rPr>
            </w:pPr>
          </w:p>
        </w:tc>
        <w:tc>
          <w:tcPr>
            <w:tcW w:w="1200" w:type="dxa"/>
            <w:vAlign w:val="bottom"/>
            <w:shd w:val="clear" w:color="auto" w:fill="CFF0FC"/>
          </w:tcPr>
          <w:p>
            <w:pPr>
              <w:spacing w:after="0"/>
              <w:rPr>
                <w:sz w:val="21"/>
                <w:szCs w:val="21"/>
                <w:color w:val="auto"/>
              </w:rPr>
            </w:pPr>
          </w:p>
        </w:tc>
        <w:tc>
          <w:tcPr>
            <w:tcW w:w="280" w:type="dxa"/>
            <w:vAlign w:val="bottom"/>
            <w:shd w:val="clear" w:color="auto" w:fill="CFF0FC"/>
          </w:tcPr>
          <w:p>
            <w:pPr>
              <w:spacing w:after="0"/>
              <w:rPr>
                <w:sz w:val="21"/>
                <w:szCs w:val="21"/>
                <w:color w:val="auto"/>
              </w:rPr>
            </w:pPr>
          </w:p>
        </w:tc>
        <w:tc>
          <w:tcPr>
            <w:tcW w:w="580" w:type="dxa"/>
            <w:vAlign w:val="bottom"/>
            <w:shd w:val="clear" w:color="auto" w:fill="CFF0FC"/>
          </w:tcPr>
          <w:p>
            <w:pPr>
              <w:spacing w:after="0"/>
              <w:rPr>
                <w:sz w:val="21"/>
                <w:szCs w:val="21"/>
                <w:color w:val="auto"/>
              </w:rPr>
            </w:pPr>
          </w:p>
        </w:tc>
        <w:tc>
          <w:tcPr>
            <w:tcW w:w="100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r>
      <w:tr>
        <w:trPr>
          <w:trHeight w:val="237"/>
        </w:trPr>
        <w:tc>
          <w:tcPr>
            <w:tcW w:w="7720" w:type="dxa"/>
            <w:vAlign w:val="bottom"/>
          </w:tcPr>
          <w:p>
            <w:pPr>
              <w:ind w:left="200"/>
              <w:spacing w:after="0"/>
              <w:rPr>
                <w:sz w:val="20"/>
                <w:szCs w:val="20"/>
                <w:color w:val="auto"/>
              </w:rPr>
            </w:pPr>
            <w:r>
              <w:rPr>
                <w:rFonts w:ascii="Arial" w:cs="Arial" w:eastAsia="Arial" w:hAnsi="Arial"/>
                <w:sz w:val="18"/>
                <w:szCs w:val="18"/>
                <w:color w:val="auto"/>
              </w:rPr>
              <w:t>Research and development, net of tax credits</w:t>
            </w:r>
          </w:p>
        </w:tc>
        <w:tc>
          <w:tcPr>
            <w:tcW w:w="3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119,066</w:t>
            </w:r>
          </w:p>
        </w:tc>
        <w:tc>
          <w:tcPr>
            <w:tcW w:w="2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90,047</w:t>
            </w:r>
          </w:p>
        </w:tc>
        <w:tc>
          <w:tcPr>
            <w:tcW w:w="100" w:type="dxa"/>
            <w:vAlign w:val="bottom"/>
          </w:tcPr>
          <w:p>
            <w:pPr>
              <w:spacing w:after="0"/>
              <w:rPr>
                <w:sz w:val="20"/>
                <w:szCs w:val="20"/>
                <w:color w:val="auto"/>
              </w:rPr>
            </w:pPr>
          </w:p>
        </w:tc>
      </w:tr>
      <w:tr>
        <w:trPr>
          <w:trHeight w:val="243"/>
        </w:trPr>
        <w:tc>
          <w:tcPr>
            <w:tcW w:w="7720" w:type="dxa"/>
            <w:vAlign w:val="bottom"/>
            <w:tcBorders>
              <w:bottom w:val="single" w:sz="8" w:color="CFF0FC"/>
            </w:tcBorders>
            <w:shd w:val="clear" w:color="auto" w:fill="CFF0FC"/>
          </w:tcPr>
          <w:p>
            <w:pPr>
              <w:ind w:left="200"/>
              <w:spacing w:after="0"/>
              <w:rPr>
                <w:sz w:val="20"/>
                <w:szCs w:val="20"/>
                <w:color w:val="auto"/>
              </w:rPr>
            </w:pPr>
            <w:r>
              <w:rPr>
                <w:rFonts w:ascii="Arial" w:cs="Arial" w:eastAsia="Arial" w:hAnsi="Arial"/>
                <w:sz w:val="18"/>
                <w:szCs w:val="18"/>
                <w:color w:val="auto"/>
              </w:rPr>
              <w:t>General and administrative</w:t>
            </w:r>
          </w:p>
        </w:tc>
        <w:tc>
          <w:tcPr>
            <w:tcW w:w="360" w:type="dxa"/>
            <w:vAlign w:val="bottom"/>
            <w:tcBorders>
              <w:bottom w:val="single" w:sz="8" w:color="auto"/>
            </w:tcBorders>
            <w:shd w:val="clear" w:color="auto" w:fill="CFF0FC"/>
          </w:tcPr>
          <w:p>
            <w:pPr>
              <w:spacing w:after="0"/>
              <w:rPr>
                <w:sz w:val="21"/>
                <w:szCs w:val="21"/>
                <w:color w:val="auto"/>
              </w:rPr>
            </w:pP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32,560</w:t>
            </w:r>
          </w:p>
        </w:tc>
        <w:tc>
          <w:tcPr>
            <w:tcW w:w="280" w:type="dxa"/>
            <w:vAlign w:val="bottom"/>
            <w:tcBorders>
              <w:bottom w:val="single" w:sz="8" w:color="CFF0FC"/>
            </w:tcBorders>
            <w:shd w:val="clear" w:color="auto" w:fill="CFF0FC"/>
          </w:tcPr>
          <w:p>
            <w:pPr>
              <w:spacing w:after="0"/>
              <w:rPr>
                <w:sz w:val="21"/>
                <w:szCs w:val="21"/>
                <w:color w:val="auto"/>
              </w:rPr>
            </w:pPr>
          </w:p>
        </w:tc>
        <w:tc>
          <w:tcPr>
            <w:tcW w:w="580" w:type="dxa"/>
            <w:vAlign w:val="bottom"/>
            <w:tcBorders>
              <w:bottom w:val="single" w:sz="8" w:color="auto"/>
            </w:tcBorders>
            <w:shd w:val="clear" w:color="auto" w:fill="CFF0FC"/>
          </w:tcPr>
          <w:p>
            <w:pPr>
              <w:spacing w:after="0"/>
              <w:rPr>
                <w:sz w:val="21"/>
                <w:szCs w:val="21"/>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26,213</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237"/>
        </w:trPr>
        <w:tc>
          <w:tcPr>
            <w:tcW w:w="7720" w:type="dxa"/>
            <w:vAlign w:val="bottom"/>
          </w:tcPr>
          <w:p>
            <w:pPr>
              <w:ind w:left="20"/>
              <w:spacing w:after="0"/>
              <w:rPr>
                <w:sz w:val="20"/>
                <w:szCs w:val="20"/>
                <w:color w:val="auto"/>
              </w:rPr>
            </w:pPr>
            <w:r>
              <w:rPr>
                <w:rFonts w:ascii="Arial" w:cs="Arial" w:eastAsia="Arial" w:hAnsi="Arial"/>
                <w:sz w:val="18"/>
                <w:szCs w:val="18"/>
                <w:color w:val="auto"/>
              </w:rPr>
              <w:t>Total operating expenses</w:t>
            </w:r>
          </w:p>
        </w:tc>
        <w:tc>
          <w:tcPr>
            <w:tcW w:w="36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151,626</w:t>
            </w:r>
          </w:p>
        </w:tc>
        <w:tc>
          <w:tcPr>
            <w:tcW w:w="280" w:type="dxa"/>
            <w:vAlign w:val="bottom"/>
          </w:tcPr>
          <w:p>
            <w:pPr>
              <w:spacing w:after="0"/>
              <w:rPr>
                <w:sz w:val="20"/>
                <w:szCs w:val="20"/>
                <w:color w:val="auto"/>
              </w:rPr>
            </w:pPr>
          </w:p>
        </w:tc>
        <w:tc>
          <w:tcPr>
            <w:tcW w:w="58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116,260</w:t>
            </w:r>
          </w:p>
        </w:tc>
        <w:tc>
          <w:tcPr>
            <w:tcW w:w="100" w:type="dxa"/>
            <w:vAlign w:val="bottom"/>
          </w:tcPr>
          <w:p>
            <w:pPr>
              <w:spacing w:after="0"/>
              <w:rPr>
                <w:sz w:val="20"/>
                <w:szCs w:val="20"/>
                <w:color w:val="auto"/>
              </w:rPr>
            </w:pPr>
          </w:p>
        </w:tc>
      </w:tr>
      <w:tr>
        <w:trPr>
          <w:trHeight w:val="236"/>
        </w:trPr>
        <w:tc>
          <w:tcPr>
            <w:tcW w:w="772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Loss from operations</w:t>
            </w:r>
          </w:p>
        </w:tc>
        <w:tc>
          <w:tcPr>
            <w:tcW w:w="360" w:type="dxa"/>
            <w:vAlign w:val="bottom"/>
            <w:tcBorders>
              <w:bottom w:val="single" w:sz="8" w:color="auto"/>
            </w:tcBorders>
            <w:shd w:val="clear" w:color="auto" w:fill="CFF0FC"/>
          </w:tcPr>
          <w:p>
            <w:pPr>
              <w:spacing w:after="0"/>
              <w:rPr>
                <w:sz w:val="20"/>
                <w:szCs w:val="20"/>
                <w:color w:val="auto"/>
              </w:rPr>
            </w:pP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(19,796</w:t>
            </w:r>
          </w:p>
        </w:tc>
        <w:tc>
          <w:tcPr>
            <w:tcW w:w="280" w:type="dxa"/>
            <w:vAlign w:val="bottom"/>
            <w:tcBorders>
              <w:bottom w:val="single" w:sz="8" w:color="CFF0FC"/>
            </w:tcBorders>
            <w:shd w:val="clear" w:color="auto" w:fill="CFF0FC"/>
          </w:tcPr>
          <w:p>
            <w:pPr>
              <w:jc w:val="right"/>
              <w:ind w:right="110"/>
              <w:spacing w:after="0"/>
              <w:rPr>
                <w:sz w:val="20"/>
                <w:szCs w:val="20"/>
                <w:color w:val="auto"/>
              </w:rPr>
            </w:pPr>
            <w:r>
              <w:rPr>
                <w:rFonts w:ascii="Arial" w:cs="Arial" w:eastAsia="Arial" w:hAnsi="Arial"/>
                <w:sz w:val="18"/>
                <w:szCs w:val="18"/>
                <w:color w:val="auto"/>
                <w:w w:val="99"/>
              </w:rPr>
              <w:t>)</w:t>
            </w:r>
          </w:p>
        </w:tc>
        <w:tc>
          <w:tcPr>
            <w:tcW w:w="580" w:type="dxa"/>
            <w:vAlign w:val="bottom"/>
            <w:tcBorders>
              <w:bottom w:val="single" w:sz="8" w:color="auto"/>
            </w:tcBorders>
            <w:shd w:val="clear" w:color="auto" w:fill="CFF0FC"/>
          </w:tcPr>
          <w:p>
            <w:pPr>
              <w:spacing w:after="0"/>
              <w:rPr>
                <w:sz w:val="20"/>
                <w:szCs w:val="20"/>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(108,660</w:t>
            </w:r>
          </w:p>
        </w:tc>
        <w:tc>
          <w:tcPr>
            <w:tcW w:w="10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w w:val="74"/>
              </w:rPr>
              <w:t>)</w:t>
            </w:r>
          </w:p>
        </w:tc>
      </w:tr>
      <w:tr>
        <w:trPr>
          <w:trHeight w:val="236"/>
        </w:trPr>
        <w:tc>
          <w:tcPr>
            <w:tcW w:w="7720" w:type="dxa"/>
            <w:vAlign w:val="bottom"/>
          </w:tcPr>
          <w:p>
            <w:pPr>
              <w:ind w:left="20"/>
              <w:spacing w:after="0"/>
              <w:rPr>
                <w:sz w:val="20"/>
                <w:szCs w:val="20"/>
                <w:color w:val="auto"/>
              </w:rPr>
            </w:pPr>
            <w:r>
              <w:rPr>
                <w:rFonts w:ascii="Arial" w:cs="Arial" w:eastAsia="Arial" w:hAnsi="Arial"/>
                <w:sz w:val="18"/>
                <w:szCs w:val="18"/>
                <w:color w:val="auto"/>
              </w:rPr>
              <w:t>Other income (expense), net</w:t>
            </w:r>
          </w:p>
        </w:tc>
        <w:tc>
          <w:tcPr>
            <w:tcW w:w="3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49"/>
        </w:trPr>
        <w:tc>
          <w:tcPr>
            <w:tcW w:w="7720" w:type="dxa"/>
            <w:vAlign w:val="bottom"/>
            <w:shd w:val="clear" w:color="auto" w:fill="CFF0FC"/>
          </w:tcPr>
          <w:p>
            <w:pPr>
              <w:ind w:left="200"/>
              <w:spacing w:after="0"/>
              <w:rPr>
                <w:sz w:val="20"/>
                <w:szCs w:val="20"/>
                <w:color w:val="auto"/>
              </w:rPr>
            </w:pPr>
            <w:r>
              <w:rPr>
                <w:rFonts w:ascii="Arial" w:cs="Arial" w:eastAsia="Arial" w:hAnsi="Arial"/>
                <w:sz w:val="18"/>
                <w:szCs w:val="18"/>
                <w:color w:val="auto"/>
              </w:rPr>
              <w:t>Realized and unrealized (loss) gain on foreign exchange</w:t>
            </w:r>
          </w:p>
        </w:tc>
        <w:tc>
          <w:tcPr>
            <w:tcW w:w="360" w:type="dxa"/>
            <w:vAlign w:val="bottom"/>
            <w:shd w:val="clear" w:color="auto" w:fill="CFF0FC"/>
          </w:tcPr>
          <w:p>
            <w:pPr>
              <w:spacing w:after="0"/>
              <w:rPr>
                <w:sz w:val="21"/>
                <w:szCs w:val="21"/>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308</w:t>
            </w:r>
          </w:p>
        </w:tc>
        <w:tc>
          <w:tcPr>
            <w:tcW w:w="280" w:type="dxa"/>
            <w:vAlign w:val="bottom"/>
            <w:shd w:val="clear" w:color="auto" w:fill="CFF0FC"/>
          </w:tcPr>
          <w:p>
            <w:pPr>
              <w:spacing w:after="0"/>
              <w:rPr>
                <w:sz w:val="21"/>
                <w:szCs w:val="21"/>
                <w:color w:val="auto"/>
              </w:rPr>
            </w:pPr>
          </w:p>
        </w:tc>
        <w:tc>
          <w:tcPr>
            <w:tcW w:w="580" w:type="dxa"/>
            <w:vAlign w:val="bottom"/>
            <w:shd w:val="clear" w:color="auto" w:fill="CFF0FC"/>
          </w:tcPr>
          <w:p>
            <w:pPr>
              <w:spacing w:after="0"/>
              <w:rPr>
                <w:sz w:val="21"/>
                <w:szCs w:val="21"/>
                <w:color w:val="auto"/>
              </w:rPr>
            </w:pP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(144 )</w:t>
            </w:r>
          </w:p>
        </w:tc>
      </w:tr>
      <w:tr>
        <w:trPr>
          <w:trHeight w:val="237"/>
        </w:trPr>
        <w:tc>
          <w:tcPr>
            <w:tcW w:w="7720" w:type="dxa"/>
            <w:vAlign w:val="bottom"/>
          </w:tcPr>
          <w:p>
            <w:pPr>
              <w:ind w:left="200"/>
              <w:spacing w:after="0"/>
              <w:rPr>
                <w:sz w:val="20"/>
                <w:szCs w:val="20"/>
                <w:color w:val="auto"/>
              </w:rPr>
            </w:pPr>
            <w:r>
              <w:rPr>
                <w:rFonts w:ascii="Arial" w:cs="Arial" w:eastAsia="Arial" w:hAnsi="Arial"/>
                <w:sz w:val="18"/>
                <w:szCs w:val="18"/>
                <w:color w:val="auto"/>
              </w:rPr>
              <w:t>Interest income</w:t>
            </w:r>
          </w:p>
        </w:tc>
        <w:tc>
          <w:tcPr>
            <w:tcW w:w="3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5,631</w:t>
            </w:r>
          </w:p>
        </w:tc>
        <w:tc>
          <w:tcPr>
            <w:tcW w:w="2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259</w:t>
            </w:r>
          </w:p>
        </w:tc>
        <w:tc>
          <w:tcPr>
            <w:tcW w:w="100" w:type="dxa"/>
            <w:vAlign w:val="bottom"/>
          </w:tcPr>
          <w:p>
            <w:pPr>
              <w:spacing w:after="0"/>
              <w:rPr>
                <w:sz w:val="20"/>
                <w:szCs w:val="20"/>
                <w:color w:val="auto"/>
              </w:rPr>
            </w:pPr>
          </w:p>
        </w:tc>
      </w:tr>
      <w:tr>
        <w:trPr>
          <w:trHeight w:val="243"/>
        </w:trPr>
        <w:tc>
          <w:tcPr>
            <w:tcW w:w="7720" w:type="dxa"/>
            <w:vAlign w:val="bottom"/>
            <w:shd w:val="clear" w:color="auto" w:fill="CFF0FC"/>
          </w:tcPr>
          <w:p>
            <w:pPr>
              <w:ind w:left="200"/>
              <w:spacing w:after="0"/>
              <w:rPr>
                <w:sz w:val="20"/>
                <w:szCs w:val="20"/>
                <w:color w:val="auto"/>
              </w:rPr>
            </w:pPr>
            <w:r>
              <w:rPr>
                <w:rFonts w:ascii="Arial" w:cs="Arial" w:eastAsia="Arial" w:hAnsi="Arial"/>
                <w:sz w:val="18"/>
                <w:szCs w:val="18"/>
                <w:color w:val="auto"/>
              </w:rPr>
              <w:t>Other expense, net</w:t>
            </w:r>
          </w:p>
        </w:tc>
        <w:tc>
          <w:tcPr>
            <w:tcW w:w="360" w:type="dxa"/>
            <w:vAlign w:val="bottom"/>
            <w:shd w:val="clear" w:color="auto" w:fill="CFF0FC"/>
          </w:tcPr>
          <w:p>
            <w:pPr>
              <w:spacing w:after="0"/>
              <w:rPr>
                <w:sz w:val="21"/>
                <w:szCs w:val="21"/>
                <w:color w:val="auto"/>
              </w:rPr>
            </w:pPr>
          </w:p>
        </w:tc>
        <w:tc>
          <w:tcPr>
            <w:tcW w:w="1480" w:type="dxa"/>
            <w:vAlign w:val="bottom"/>
            <w:gridSpan w:val="2"/>
            <w:shd w:val="clear" w:color="auto" w:fill="CFF0FC"/>
          </w:tcPr>
          <w:p>
            <w:pPr>
              <w:jc w:val="right"/>
              <w:ind w:right="110"/>
              <w:spacing w:after="0"/>
              <w:rPr>
                <w:sz w:val="20"/>
                <w:szCs w:val="20"/>
                <w:color w:val="auto"/>
              </w:rPr>
            </w:pPr>
            <w:r>
              <w:rPr>
                <w:rFonts w:ascii="Arial" w:cs="Arial" w:eastAsia="Arial" w:hAnsi="Arial"/>
                <w:sz w:val="18"/>
                <w:szCs w:val="18"/>
                <w:color w:val="auto"/>
              </w:rPr>
              <w:t>(43 )</w:t>
            </w:r>
          </w:p>
        </w:tc>
        <w:tc>
          <w:tcPr>
            <w:tcW w:w="580" w:type="dxa"/>
            <w:vAlign w:val="bottom"/>
            <w:shd w:val="clear" w:color="auto" w:fill="CFF0FC"/>
          </w:tcPr>
          <w:p>
            <w:pPr>
              <w:spacing w:after="0"/>
              <w:rPr>
                <w:sz w:val="21"/>
                <w:szCs w:val="21"/>
                <w:color w:val="auto"/>
              </w:rPr>
            </w:pP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(41 )</w:t>
            </w:r>
          </w:p>
        </w:tc>
      </w:tr>
      <w:tr>
        <w:trPr>
          <w:trHeight w:val="236"/>
        </w:trPr>
        <w:tc>
          <w:tcPr>
            <w:tcW w:w="7720" w:type="dxa"/>
            <w:vAlign w:val="bottom"/>
            <w:tcBorders>
              <w:top w:val="single" w:sz="8" w:color="CFF0FC"/>
            </w:tcBorders>
          </w:tcPr>
          <w:p>
            <w:pPr>
              <w:ind w:left="20"/>
              <w:spacing w:after="0"/>
              <w:rPr>
                <w:sz w:val="20"/>
                <w:szCs w:val="20"/>
                <w:color w:val="auto"/>
              </w:rPr>
            </w:pPr>
            <w:r>
              <w:rPr>
                <w:rFonts w:ascii="Arial" w:cs="Arial" w:eastAsia="Arial" w:hAnsi="Arial"/>
                <w:sz w:val="18"/>
                <w:szCs w:val="18"/>
                <w:color w:val="auto"/>
              </w:rPr>
              <w:t>Total other income, net</w:t>
            </w:r>
          </w:p>
        </w:tc>
        <w:tc>
          <w:tcPr>
            <w:tcW w:w="360" w:type="dxa"/>
            <w:vAlign w:val="bottom"/>
            <w:tcBorders>
              <w:top w:val="single" w:sz="8" w:color="auto"/>
              <w:bottom w:val="single" w:sz="8" w:color="auto"/>
            </w:tcBorders>
          </w:tcPr>
          <w:p>
            <w:pPr>
              <w:spacing w:after="0"/>
              <w:rPr>
                <w:sz w:val="20"/>
                <w:szCs w:val="20"/>
                <w:color w:val="auto"/>
              </w:rPr>
            </w:pP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5,896</w:t>
            </w:r>
          </w:p>
        </w:tc>
        <w:tc>
          <w:tcPr>
            <w:tcW w:w="280" w:type="dxa"/>
            <w:vAlign w:val="bottom"/>
            <w:tcBorders>
              <w:top w:val="single" w:sz="8" w:color="CFF0FC"/>
            </w:tcBorders>
          </w:tcPr>
          <w:p>
            <w:pPr>
              <w:spacing w:after="0"/>
              <w:rPr>
                <w:sz w:val="20"/>
                <w:szCs w:val="20"/>
                <w:color w:val="auto"/>
              </w:rPr>
            </w:pPr>
          </w:p>
        </w:tc>
        <w:tc>
          <w:tcPr>
            <w:tcW w:w="580" w:type="dxa"/>
            <w:vAlign w:val="bottom"/>
            <w:tcBorders>
              <w:top w:val="single" w:sz="8" w:color="auto"/>
              <w:bottom w:val="single" w:sz="8" w:color="auto"/>
            </w:tcBorders>
          </w:tcPr>
          <w:p>
            <w:pPr>
              <w:spacing w:after="0"/>
              <w:rPr>
                <w:sz w:val="20"/>
                <w:szCs w:val="20"/>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74</w:t>
            </w:r>
          </w:p>
        </w:tc>
        <w:tc>
          <w:tcPr>
            <w:tcW w:w="100" w:type="dxa"/>
            <w:vAlign w:val="bottom"/>
            <w:tcBorders>
              <w:top w:val="single" w:sz="8" w:color="CFF0FC"/>
            </w:tcBorders>
          </w:tcPr>
          <w:p>
            <w:pPr>
              <w:spacing w:after="0"/>
              <w:rPr>
                <w:sz w:val="20"/>
                <w:szCs w:val="20"/>
                <w:color w:val="auto"/>
              </w:rPr>
            </w:pPr>
          </w:p>
        </w:tc>
      </w:tr>
      <w:tr>
        <w:trPr>
          <w:trHeight w:val="243"/>
        </w:trPr>
        <w:tc>
          <w:tcPr>
            <w:tcW w:w="7720" w:type="dxa"/>
            <w:vAlign w:val="bottom"/>
            <w:shd w:val="clear" w:color="auto" w:fill="CFF0FC"/>
          </w:tcPr>
          <w:p>
            <w:pPr>
              <w:ind w:left="20"/>
              <w:spacing w:after="0"/>
              <w:rPr>
                <w:sz w:val="20"/>
                <w:szCs w:val="20"/>
                <w:color w:val="auto"/>
              </w:rPr>
            </w:pPr>
            <w:r>
              <w:rPr>
                <w:rFonts w:ascii="Arial" w:cs="Arial" w:eastAsia="Arial" w:hAnsi="Arial"/>
                <w:sz w:val="18"/>
                <w:szCs w:val="18"/>
                <w:color w:val="auto"/>
              </w:rPr>
              <w:t>Loss before income taxes</w:t>
            </w:r>
          </w:p>
        </w:tc>
        <w:tc>
          <w:tcPr>
            <w:tcW w:w="360" w:type="dxa"/>
            <w:vAlign w:val="bottom"/>
            <w:shd w:val="clear" w:color="auto" w:fill="CFF0FC"/>
          </w:tcPr>
          <w:p>
            <w:pPr>
              <w:spacing w:after="0"/>
              <w:rPr>
                <w:sz w:val="21"/>
                <w:szCs w:val="21"/>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(13,900</w:t>
            </w:r>
          </w:p>
        </w:tc>
        <w:tc>
          <w:tcPr>
            <w:tcW w:w="280" w:type="dxa"/>
            <w:vAlign w:val="bottom"/>
            <w:shd w:val="clear" w:color="auto" w:fill="CFF0FC"/>
          </w:tcPr>
          <w:p>
            <w:pPr>
              <w:jc w:val="right"/>
              <w:ind w:right="110"/>
              <w:spacing w:after="0"/>
              <w:rPr>
                <w:sz w:val="20"/>
                <w:szCs w:val="20"/>
                <w:color w:val="auto"/>
              </w:rPr>
            </w:pPr>
            <w:r>
              <w:rPr>
                <w:rFonts w:ascii="Arial" w:cs="Arial" w:eastAsia="Arial" w:hAnsi="Arial"/>
                <w:sz w:val="18"/>
                <w:szCs w:val="18"/>
                <w:color w:val="auto"/>
                <w:w w:val="99"/>
              </w:rPr>
              <w:t>)</w:t>
            </w:r>
          </w:p>
        </w:tc>
        <w:tc>
          <w:tcPr>
            <w:tcW w:w="580" w:type="dxa"/>
            <w:vAlign w:val="bottom"/>
            <w:shd w:val="clear" w:color="auto" w:fill="CFF0FC"/>
          </w:tcPr>
          <w:p>
            <w:pPr>
              <w:spacing w:after="0"/>
              <w:rPr>
                <w:sz w:val="21"/>
                <w:szCs w:val="21"/>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(108,586</w:t>
            </w:r>
          </w:p>
        </w:tc>
        <w:tc>
          <w:tcPr>
            <w:tcW w:w="100" w:type="dxa"/>
            <w:vAlign w:val="bottom"/>
            <w:shd w:val="clear" w:color="auto" w:fill="CFF0FC"/>
          </w:tcPr>
          <w:p>
            <w:pPr>
              <w:jc w:val="right"/>
              <w:spacing w:after="0"/>
              <w:rPr>
                <w:sz w:val="20"/>
                <w:szCs w:val="20"/>
                <w:color w:val="auto"/>
              </w:rPr>
            </w:pPr>
            <w:r>
              <w:rPr>
                <w:rFonts w:ascii="Arial" w:cs="Arial" w:eastAsia="Arial" w:hAnsi="Arial"/>
                <w:sz w:val="16"/>
                <w:szCs w:val="16"/>
                <w:color w:val="auto"/>
                <w:w w:val="74"/>
              </w:rPr>
              <w:t>)</w:t>
            </w:r>
          </w:p>
        </w:tc>
      </w:tr>
      <w:tr>
        <w:trPr>
          <w:trHeight w:val="237"/>
        </w:trPr>
        <w:tc>
          <w:tcPr>
            <w:tcW w:w="7720" w:type="dxa"/>
            <w:vAlign w:val="bottom"/>
          </w:tcPr>
          <w:p>
            <w:pPr>
              <w:ind w:left="200"/>
              <w:spacing w:after="0"/>
              <w:rPr>
                <w:sz w:val="20"/>
                <w:szCs w:val="20"/>
                <w:color w:val="auto"/>
              </w:rPr>
            </w:pPr>
            <w:r>
              <w:rPr>
                <w:rFonts w:ascii="Arial" w:cs="Arial" w:eastAsia="Arial" w:hAnsi="Arial"/>
                <w:sz w:val="18"/>
                <w:szCs w:val="18"/>
                <w:color w:val="auto"/>
              </w:rPr>
              <w:t>Income tax (expense) benefit</w:t>
            </w:r>
          </w:p>
        </w:tc>
        <w:tc>
          <w:tcPr>
            <w:tcW w:w="360" w:type="dxa"/>
            <w:vAlign w:val="bottom"/>
          </w:tcPr>
          <w:p>
            <w:pPr>
              <w:spacing w:after="0"/>
              <w:rPr>
                <w:sz w:val="20"/>
                <w:szCs w:val="20"/>
                <w:color w:val="auto"/>
              </w:rPr>
            </w:pPr>
          </w:p>
        </w:tc>
        <w:tc>
          <w:tcPr>
            <w:tcW w:w="1480" w:type="dxa"/>
            <w:vAlign w:val="bottom"/>
            <w:gridSpan w:val="2"/>
          </w:tcPr>
          <w:p>
            <w:pPr>
              <w:jc w:val="right"/>
              <w:ind w:right="110"/>
              <w:spacing w:after="0"/>
              <w:rPr>
                <w:sz w:val="20"/>
                <w:szCs w:val="20"/>
                <w:color w:val="auto"/>
              </w:rPr>
            </w:pPr>
            <w:r>
              <w:rPr>
                <w:rFonts w:ascii="Arial" w:cs="Arial" w:eastAsia="Arial" w:hAnsi="Arial"/>
                <w:sz w:val="18"/>
                <w:szCs w:val="18"/>
                <w:color w:val="auto"/>
              </w:rPr>
              <w:t>(15,147 )</w:t>
            </w:r>
          </w:p>
        </w:tc>
        <w:tc>
          <w:tcPr>
            <w:tcW w:w="58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1,678</w:t>
            </w:r>
          </w:p>
        </w:tc>
        <w:tc>
          <w:tcPr>
            <w:tcW w:w="100" w:type="dxa"/>
            <w:vAlign w:val="bottom"/>
          </w:tcPr>
          <w:p>
            <w:pPr>
              <w:spacing w:after="0"/>
              <w:rPr>
                <w:sz w:val="20"/>
                <w:szCs w:val="20"/>
                <w:color w:val="auto"/>
              </w:rPr>
            </w:pPr>
          </w:p>
        </w:tc>
      </w:tr>
      <w:tr>
        <w:trPr>
          <w:trHeight w:val="279"/>
        </w:trPr>
        <w:tc>
          <w:tcPr>
            <w:tcW w:w="772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b w:val="1"/>
                <w:bCs w:val="1"/>
                <w:color w:val="auto"/>
              </w:rPr>
              <w:t>Net loss</w:t>
            </w:r>
          </w:p>
        </w:tc>
        <w:tc>
          <w:tcPr>
            <w:tcW w:w="360" w:type="dxa"/>
            <w:vAlign w:val="bottom"/>
            <w:tcBorders>
              <w:top w:val="single" w:sz="8" w:color="auto"/>
              <w:bottom w:val="single" w:sz="8" w:color="auto"/>
            </w:tcBorders>
            <w:shd w:val="clear" w:color="auto" w:fill="CFF0FC"/>
          </w:tcPr>
          <w:p>
            <w:pPr>
              <w:jc w:val="right"/>
              <w:ind w:right="170"/>
              <w:spacing w:after="0"/>
              <w:rPr>
                <w:sz w:val="20"/>
                <w:szCs w:val="20"/>
                <w:color w:val="auto"/>
              </w:rPr>
            </w:pPr>
            <w:r>
              <w:rPr>
                <w:rFonts w:ascii="Arial" w:cs="Arial" w:eastAsia="Arial" w:hAnsi="Arial"/>
                <w:sz w:val="18"/>
                <w:szCs w:val="18"/>
                <w:color w:val="auto"/>
                <w:w w:val="79"/>
              </w:rPr>
              <w:t>$</w:t>
            </w:r>
          </w:p>
        </w:tc>
        <w:tc>
          <w:tcPr>
            <w:tcW w:w="12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(29,047</w:t>
            </w:r>
          </w:p>
        </w:tc>
        <w:tc>
          <w:tcPr>
            <w:tcW w:w="280" w:type="dxa"/>
            <w:vAlign w:val="bottom"/>
            <w:tcBorders>
              <w:bottom w:val="single" w:sz="8" w:color="CFF0FC"/>
            </w:tcBorders>
            <w:shd w:val="clear" w:color="auto" w:fill="CFF0FC"/>
          </w:tcPr>
          <w:p>
            <w:pPr>
              <w:jc w:val="right"/>
              <w:ind w:right="110"/>
              <w:spacing w:after="0"/>
              <w:rPr>
                <w:sz w:val="20"/>
                <w:szCs w:val="20"/>
                <w:color w:val="auto"/>
              </w:rPr>
            </w:pPr>
            <w:r>
              <w:rPr>
                <w:rFonts w:ascii="Arial" w:cs="Arial" w:eastAsia="Arial" w:hAnsi="Arial"/>
                <w:sz w:val="18"/>
                <w:szCs w:val="18"/>
                <w:color w:val="auto"/>
                <w:w w:val="99"/>
              </w:rPr>
              <w:t>)</w:t>
            </w:r>
          </w:p>
        </w:tc>
        <w:tc>
          <w:tcPr>
            <w:tcW w:w="580" w:type="dxa"/>
            <w:vAlign w:val="bottom"/>
            <w:tcBorders>
              <w:top w:val="single" w:sz="8" w:color="auto"/>
              <w:bottom w:val="single" w:sz="8" w:color="auto"/>
            </w:tcBorders>
            <w:shd w:val="clear" w:color="auto" w:fill="CFF0FC"/>
          </w:tcPr>
          <w:p>
            <w:pPr>
              <w:jc w:val="right"/>
              <w:ind w:right="390"/>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(106,908</w:t>
            </w:r>
          </w:p>
        </w:tc>
        <w:tc>
          <w:tcPr>
            <w:tcW w:w="10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w w:val="74"/>
              </w:rPr>
              <w:t>)</w:t>
            </w:r>
          </w:p>
        </w:tc>
      </w:tr>
      <w:tr>
        <w:trPr>
          <w:trHeight w:val="221"/>
        </w:trPr>
        <w:tc>
          <w:tcPr>
            <w:tcW w:w="7720" w:type="dxa"/>
            <w:vAlign w:val="bottom"/>
          </w:tcPr>
          <w:p>
            <w:pPr>
              <w:ind w:left="20"/>
              <w:spacing w:after="0"/>
              <w:rPr>
                <w:sz w:val="20"/>
                <w:szCs w:val="20"/>
                <w:color w:val="auto"/>
              </w:rPr>
            </w:pPr>
            <w:r>
              <w:rPr>
                <w:rFonts w:ascii="Arial" w:cs="Arial" w:eastAsia="Arial" w:hAnsi="Arial"/>
                <w:sz w:val="18"/>
                <w:szCs w:val="18"/>
                <w:color w:val="auto"/>
              </w:rPr>
              <w:t>Net loss per share attributable to common shareholders—basic and diluted</w:t>
            </w: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1480" w:type="dxa"/>
            <w:vAlign w:val="bottom"/>
            <w:gridSpan w:val="2"/>
          </w:tcPr>
          <w:p>
            <w:pPr>
              <w:jc w:val="right"/>
              <w:ind w:right="110"/>
              <w:spacing w:after="0"/>
              <w:rPr>
                <w:sz w:val="20"/>
                <w:szCs w:val="20"/>
                <w:color w:val="auto"/>
              </w:rPr>
            </w:pPr>
            <w:r>
              <w:rPr>
                <w:rFonts w:ascii="Arial" w:cs="Arial" w:eastAsia="Arial" w:hAnsi="Arial"/>
                <w:sz w:val="18"/>
                <w:szCs w:val="18"/>
                <w:color w:val="auto"/>
              </w:rPr>
              <w:t>(0.69 )</w:t>
            </w:r>
          </w:p>
        </w:tc>
        <w:tc>
          <w:tcPr>
            <w:tcW w:w="580" w:type="dxa"/>
            <w:vAlign w:val="bottom"/>
          </w:tcPr>
          <w:p>
            <w:pPr>
              <w:jc w:val="right"/>
              <w:ind w:right="390"/>
              <w:spacing w:after="0"/>
              <w:rPr>
                <w:sz w:val="20"/>
                <w:szCs w:val="20"/>
                <w:color w:val="auto"/>
              </w:rPr>
            </w:pPr>
            <w:r>
              <w:rPr>
                <w:rFonts w:ascii="Arial" w:cs="Arial" w:eastAsia="Arial" w:hAnsi="Arial"/>
                <w:sz w:val="18"/>
                <w:szCs w:val="18"/>
                <w:color w:val="auto"/>
                <w:w w:val="79"/>
              </w:rPr>
              <w:t>$</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(2.83 )</w:t>
            </w:r>
          </w:p>
        </w:tc>
      </w:tr>
      <w:tr>
        <w:trPr>
          <w:trHeight w:val="20"/>
        </w:trPr>
        <w:tc>
          <w:tcPr>
            <w:tcW w:w="77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64"/>
        </w:trPr>
        <w:tc>
          <w:tcPr>
            <w:tcW w:w="772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Weighted-average common shares outstanding—basic and diluted</w:t>
            </w:r>
          </w:p>
        </w:tc>
        <w:tc>
          <w:tcPr>
            <w:tcW w:w="360" w:type="dxa"/>
            <w:vAlign w:val="bottom"/>
            <w:tcBorders>
              <w:bottom w:val="single" w:sz="8" w:color="auto"/>
            </w:tcBorders>
            <w:shd w:val="clear" w:color="auto" w:fill="CFF0FC"/>
          </w:tcPr>
          <w:p>
            <w:pPr>
              <w:spacing w:after="0"/>
              <w:rPr>
                <w:sz w:val="22"/>
                <w:szCs w:val="22"/>
                <w:color w:val="auto"/>
              </w:rPr>
            </w:pP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41,922,042</w:t>
            </w:r>
          </w:p>
        </w:tc>
        <w:tc>
          <w:tcPr>
            <w:tcW w:w="280" w:type="dxa"/>
            <w:vAlign w:val="bottom"/>
            <w:tcBorders>
              <w:bottom w:val="single" w:sz="8" w:color="CFF0FC"/>
            </w:tcBorders>
            <w:shd w:val="clear" w:color="auto" w:fill="CFF0FC"/>
          </w:tcPr>
          <w:p>
            <w:pPr>
              <w:spacing w:after="0"/>
              <w:rPr>
                <w:sz w:val="22"/>
                <w:szCs w:val="22"/>
                <w:color w:val="auto"/>
              </w:rPr>
            </w:pPr>
          </w:p>
        </w:tc>
        <w:tc>
          <w:tcPr>
            <w:tcW w:w="580" w:type="dxa"/>
            <w:vAlign w:val="bottom"/>
            <w:tcBorders>
              <w:bottom w:val="single" w:sz="8" w:color="auto"/>
            </w:tcBorders>
            <w:shd w:val="clear" w:color="auto" w:fill="CFF0FC"/>
          </w:tcPr>
          <w:p>
            <w:pPr>
              <w:spacing w:after="0"/>
              <w:rPr>
                <w:sz w:val="22"/>
                <w:szCs w:val="22"/>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37,818,115</w:t>
            </w:r>
          </w:p>
        </w:tc>
        <w:tc>
          <w:tcPr>
            <w:tcW w:w="100" w:type="dxa"/>
            <w:vAlign w:val="bottom"/>
            <w:tcBorders>
              <w:bottom w:val="single" w:sz="8" w:color="CFF0FC"/>
            </w:tcBorders>
            <w:shd w:val="clear" w:color="auto" w:fill="CFF0FC"/>
          </w:tcPr>
          <w:p>
            <w:pPr>
              <w:spacing w:after="0"/>
              <w:rPr>
                <w:sz w:val="22"/>
                <w:szCs w:val="22"/>
                <w:color w:val="auto"/>
              </w:rPr>
            </w:pPr>
          </w:p>
        </w:tc>
      </w:tr>
      <w:tr>
        <w:trPr>
          <w:trHeight w:val="369"/>
        </w:trPr>
        <w:tc>
          <w:tcPr>
            <w:tcW w:w="7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60" w:type="dxa"/>
            <w:vAlign w:val="bottom"/>
            <w:gridSpan w:val="3"/>
          </w:tcPr>
          <w:p>
            <w:pPr>
              <w:jc w:val="right"/>
              <w:spacing w:after="0"/>
              <w:rPr>
                <w:sz w:val="20"/>
                <w:szCs w:val="20"/>
                <w:color w:val="auto"/>
              </w:rPr>
            </w:pPr>
            <w:r>
              <w:rPr>
                <w:rFonts w:ascii="Arial" w:cs="Arial" w:eastAsia="Arial" w:hAnsi="Arial"/>
                <w:sz w:val="14"/>
                <w:szCs w:val="14"/>
                <w:b w:val="1"/>
                <w:bCs w:val="1"/>
                <w:color w:val="auto"/>
              </w:rPr>
              <w:t>Three Months Ended</w:t>
            </w: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85"/>
        </w:trPr>
        <w:tc>
          <w:tcPr>
            <w:tcW w:w="77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060" w:type="dxa"/>
            <w:vAlign w:val="bottom"/>
            <w:tcBorders>
              <w:bottom w:val="single" w:sz="8" w:color="auto"/>
            </w:tcBorders>
            <w:gridSpan w:val="3"/>
          </w:tcPr>
          <w:p>
            <w:pPr>
              <w:jc w:val="right"/>
              <w:ind w:right="210"/>
              <w:spacing w:after="0"/>
              <w:rPr>
                <w:sz w:val="20"/>
                <w:szCs w:val="20"/>
                <w:color w:val="auto"/>
              </w:rPr>
            </w:pPr>
            <w:r>
              <w:rPr>
                <w:rFonts w:ascii="Arial" w:cs="Arial" w:eastAsia="Arial" w:hAnsi="Arial"/>
                <w:sz w:val="14"/>
                <w:szCs w:val="14"/>
                <w:b w:val="1"/>
                <w:bCs w:val="1"/>
                <w:color w:val="auto"/>
              </w:rPr>
              <w:t>December 31,</w:t>
            </w:r>
          </w:p>
        </w:tc>
        <w:tc>
          <w:tcPr>
            <w:tcW w:w="10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223"/>
        </w:trPr>
        <w:tc>
          <w:tcPr>
            <w:tcW w:w="7720" w:type="dxa"/>
            <w:vAlign w:val="bottom"/>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ind w:right="553"/>
              <w:spacing w:after="0"/>
              <w:rPr>
                <w:sz w:val="20"/>
                <w:szCs w:val="20"/>
                <w:color w:val="auto"/>
              </w:rPr>
            </w:pPr>
            <w:r>
              <w:rPr>
                <w:rFonts w:ascii="Arial" w:cs="Arial" w:eastAsia="Arial" w:hAnsi="Arial"/>
                <w:sz w:val="14"/>
                <w:szCs w:val="14"/>
                <w:b w:val="1"/>
                <w:bCs w:val="1"/>
                <w:color w:val="auto"/>
              </w:rPr>
              <w:t>2022</w:t>
            </w:r>
          </w:p>
        </w:tc>
        <w:tc>
          <w:tcPr>
            <w:tcW w:w="280" w:type="dxa"/>
            <w:vAlign w:val="bottom"/>
          </w:tcPr>
          <w:p>
            <w:pPr>
              <w:spacing w:after="0"/>
              <w:rPr>
                <w:sz w:val="19"/>
                <w:szCs w:val="19"/>
                <w:color w:val="auto"/>
              </w:rPr>
            </w:pPr>
          </w:p>
        </w:tc>
        <w:tc>
          <w:tcPr>
            <w:tcW w:w="5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552"/>
              <w:spacing w:after="0"/>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9"/>
                <w:szCs w:val="19"/>
                <w:color w:val="auto"/>
              </w:rPr>
            </w:pPr>
          </w:p>
        </w:tc>
      </w:tr>
      <w:tr>
        <w:trPr>
          <w:trHeight w:val="230"/>
        </w:trPr>
        <w:tc>
          <w:tcPr>
            <w:tcW w:w="7720" w:type="dxa"/>
            <w:vAlign w:val="bottom"/>
          </w:tcPr>
          <w:p>
            <w:pPr>
              <w:ind w:left="20"/>
              <w:spacing w:after="0"/>
              <w:rPr>
                <w:sz w:val="20"/>
                <w:szCs w:val="20"/>
                <w:color w:val="auto"/>
              </w:rPr>
            </w:pPr>
            <w:r>
              <w:rPr>
                <w:rFonts w:ascii="Arial" w:cs="Arial" w:eastAsia="Arial" w:hAnsi="Arial"/>
                <w:sz w:val="18"/>
                <w:szCs w:val="18"/>
                <w:b w:val="1"/>
                <w:bCs w:val="1"/>
                <w:color w:val="auto"/>
              </w:rPr>
              <w:t>Key financial highlights:</w:t>
            </w:r>
          </w:p>
        </w:tc>
        <w:tc>
          <w:tcPr>
            <w:tcW w:w="3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50"/>
        </w:trPr>
        <w:tc>
          <w:tcPr>
            <w:tcW w:w="7720" w:type="dxa"/>
            <w:vAlign w:val="bottom"/>
            <w:shd w:val="clear" w:color="auto" w:fill="CFF0FC"/>
          </w:tcPr>
          <w:p>
            <w:pPr>
              <w:ind w:left="200"/>
              <w:spacing w:after="0"/>
              <w:rPr>
                <w:sz w:val="20"/>
                <w:szCs w:val="20"/>
                <w:color w:val="auto"/>
              </w:rPr>
            </w:pPr>
            <w:r>
              <w:rPr>
                <w:rFonts w:ascii="Arial" w:cs="Arial" w:eastAsia="Arial" w:hAnsi="Arial"/>
                <w:sz w:val="18"/>
                <w:szCs w:val="18"/>
                <w:color w:val="auto"/>
              </w:rPr>
              <w:t>Revenues from collaboration agreements</w:t>
            </w:r>
          </w:p>
        </w:tc>
        <w:tc>
          <w:tcPr>
            <w:tcW w:w="360" w:type="dxa"/>
            <w:vAlign w:val="bottom"/>
            <w:shd w:val="clear" w:color="auto" w:fill="CFF0FC"/>
          </w:tcPr>
          <w:p>
            <w:pPr>
              <w:jc w:val="right"/>
              <w:ind w:right="170"/>
              <w:spacing w:after="0"/>
              <w:rPr>
                <w:sz w:val="20"/>
                <w:szCs w:val="20"/>
                <w:color w:val="auto"/>
              </w:rPr>
            </w:pPr>
            <w:r>
              <w:rPr>
                <w:rFonts w:ascii="Arial" w:cs="Arial" w:eastAsia="Arial" w:hAnsi="Arial"/>
                <w:sz w:val="18"/>
                <w:szCs w:val="18"/>
                <w:color w:val="auto"/>
                <w:w w:val="79"/>
              </w:rPr>
              <w:t>$</w:t>
            </w: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18,198</w:t>
            </w:r>
          </w:p>
        </w:tc>
        <w:tc>
          <w:tcPr>
            <w:tcW w:w="280" w:type="dxa"/>
            <w:vAlign w:val="bottom"/>
            <w:shd w:val="clear" w:color="auto" w:fill="CFF0FC"/>
          </w:tcPr>
          <w:p>
            <w:pPr>
              <w:spacing w:after="0"/>
              <w:rPr>
                <w:sz w:val="21"/>
                <w:szCs w:val="21"/>
                <w:color w:val="auto"/>
              </w:rPr>
            </w:pPr>
          </w:p>
        </w:tc>
        <w:tc>
          <w:tcPr>
            <w:tcW w:w="580" w:type="dxa"/>
            <w:vAlign w:val="bottom"/>
            <w:shd w:val="clear" w:color="auto" w:fill="CFF0FC"/>
          </w:tcPr>
          <w:p>
            <w:pPr>
              <w:jc w:val="right"/>
              <w:ind w:right="39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6,877</w:t>
            </w:r>
          </w:p>
        </w:tc>
        <w:tc>
          <w:tcPr>
            <w:tcW w:w="100" w:type="dxa"/>
            <w:vAlign w:val="bottom"/>
            <w:shd w:val="clear" w:color="auto" w:fill="CFF0FC"/>
          </w:tcPr>
          <w:p>
            <w:pPr>
              <w:spacing w:after="0"/>
              <w:rPr>
                <w:sz w:val="21"/>
                <w:szCs w:val="21"/>
                <w:color w:val="auto"/>
              </w:rPr>
            </w:pPr>
          </w:p>
        </w:tc>
      </w:tr>
      <w:tr>
        <w:trPr>
          <w:trHeight w:val="237"/>
        </w:trPr>
        <w:tc>
          <w:tcPr>
            <w:tcW w:w="7720" w:type="dxa"/>
            <w:vAlign w:val="bottom"/>
          </w:tcPr>
          <w:p>
            <w:pPr>
              <w:ind w:left="200"/>
              <w:spacing w:after="0"/>
              <w:rPr>
                <w:sz w:val="20"/>
                <w:szCs w:val="20"/>
                <w:color w:val="auto"/>
              </w:rPr>
            </w:pPr>
            <w:r>
              <w:rPr>
                <w:rFonts w:ascii="Arial" w:cs="Arial" w:eastAsia="Arial" w:hAnsi="Arial"/>
                <w:sz w:val="18"/>
                <w:szCs w:val="18"/>
                <w:color w:val="auto"/>
              </w:rPr>
              <w:t>Research and development, net of tax credits</w:t>
            </w: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29,891</w:t>
            </w:r>
          </w:p>
        </w:tc>
        <w:tc>
          <w:tcPr>
            <w:tcW w:w="280" w:type="dxa"/>
            <w:vAlign w:val="bottom"/>
          </w:tcPr>
          <w:p>
            <w:pPr>
              <w:spacing w:after="0"/>
              <w:rPr>
                <w:sz w:val="20"/>
                <w:szCs w:val="20"/>
                <w:color w:val="auto"/>
              </w:rPr>
            </w:pPr>
          </w:p>
        </w:tc>
        <w:tc>
          <w:tcPr>
            <w:tcW w:w="580" w:type="dxa"/>
            <w:vAlign w:val="bottom"/>
          </w:tcPr>
          <w:p>
            <w:pPr>
              <w:jc w:val="right"/>
              <w:ind w:right="390"/>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27,972</w:t>
            </w:r>
          </w:p>
        </w:tc>
        <w:tc>
          <w:tcPr>
            <w:tcW w:w="100" w:type="dxa"/>
            <w:vAlign w:val="bottom"/>
          </w:tcPr>
          <w:p>
            <w:pPr>
              <w:spacing w:after="0"/>
              <w:rPr>
                <w:sz w:val="20"/>
                <w:szCs w:val="20"/>
                <w:color w:val="auto"/>
              </w:rPr>
            </w:pPr>
          </w:p>
        </w:tc>
      </w:tr>
      <w:tr>
        <w:trPr>
          <w:trHeight w:val="249"/>
        </w:trPr>
        <w:tc>
          <w:tcPr>
            <w:tcW w:w="7720" w:type="dxa"/>
            <w:vAlign w:val="bottom"/>
            <w:shd w:val="clear" w:color="auto" w:fill="CFF0FC"/>
          </w:tcPr>
          <w:p>
            <w:pPr>
              <w:ind w:left="200"/>
              <w:spacing w:after="0"/>
              <w:rPr>
                <w:sz w:val="20"/>
                <w:szCs w:val="20"/>
                <w:color w:val="auto"/>
              </w:rPr>
            </w:pPr>
            <w:r>
              <w:rPr>
                <w:rFonts w:ascii="Arial" w:cs="Arial" w:eastAsia="Arial" w:hAnsi="Arial"/>
                <w:sz w:val="18"/>
                <w:szCs w:val="18"/>
                <w:color w:val="auto"/>
              </w:rPr>
              <w:t>General and administrative</w:t>
            </w:r>
          </w:p>
        </w:tc>
        <w:tc>
          <w:tcPr>
            <w:tcW w:w="360" w:type="dxa"/>
            <w:vAlign w:val="bottom"/>
            <w:shd w:val="clear" w:color="auto" w:fill="CFF0FC"/>
          </w:tcPr>
          <w:p>
            <w:pPr>
              <w:jc w:val="right"/>
              <w:ind w:right="170"/>
              <w:spacing w:after="0"/>
              <w:rPr>
                <w:sz w:val="20"/>
                <w:szCs w:val="20"/>
                <w:color w:val="auto"/>
              </w:rPr>
            </w:pPr>
            <w:r>
              <w:rPr>
                <w:rFonts w:ascii="Arial" w:cs="Arial" w:eastAsia="Arial" w:hAnsi="Arial"/>
                <w:sz w:val="18"/>
                <w:szCs w:val="18"/>
                <w:color w:val="auto"/>
                <w:w w:val="79"/>
              </w:rPr>
              <w:t>$</w:t>
            </w: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7,939</w:t>
            </w:r>
          </w:p>
        </w:tc>
        <w:tc>
          <w:tcPr>
            <w:tcW w:w="280" w:type="dxa"/>
            <w:vAlign w:val="bottom"/>
            <w:shd w:val="clear" w:color="auto" w:fill="CFF0FC"/>
          </w:tcPr>
          <w:p>
            <w:pPr>
              <w:spacing w:after="0"/>
              <w:rPr>
                <w:sz w:val="21"/>
                <w:szCs w:val="21"/>
                <w:color w:val="auto"/>
              </w:rPr>
            </w:pPr>
          </w:p>
        </w:tc>
        <w:tc>
          <w:tcPr>
            <w:tcW w:w="580" w:type="dxa"/>
            <w:vAlign w:val="bottom"/>
            <w:shd w:val="clear" w:color="auto" w:fill="CFF0FC"/>
          </w:tcPr>
          <w:p>
            <w:pPr>
              <w:jc w:val="right"/>
              <w:ind w:right="39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7,639</w:t>
            </w:r>
          </w:p>
        </w:tc>
        <w:tc>
          <w:tcPr>
            <w:tcW w:w="100" w:type="dxa"/>
            <w:vAlign w:val="bottom"/>
            <w:shd w:val="clear" w:color="auto" w:fill="CFF0FC"/>
          </w:tcPr>
          <w:p>
            <w:pPr>
              <w:spacing w:after="0"/>
              <w:rPr>
                <w:sz w:val="21"/>
                <w:szCs w:val="21"/>
                <w:color w:val="auto"/>
              </w:rPr>
            </w:pPr>
          </w:p>
        </w:tc>
      </w:tr>
      <w:tr>
        <w:trPr>
          <w:trHeight w:val="237"/>
        </w:trPr>
        <w:tc>
          <w:tcPr>
            <w:tcW w:w="7720" w:type="dxa"/>
            <w:vAlign w:val="bottom"/>
          </w:tcPr>
          <w:p>
            <w:pPr>
              <w:ind w:left="200"/>
              <w:spacing w:after="0"/>
              <w:rPr>
                <w:sz w:val="20"/>
                <w:szCs w:val="20"/>
                <w:color w:val="auto"/>
              </w:rPr>
            </w:pPr>
            <w:r>
              <w:rPr>
                <w:rFonts w:ascii="Arial" w:cs="Arial" w:eastAsia="Arial" w:hAnsi="Arial"/>
                <w:sz w:val="18"/>
                <w:szCs w:val="18"/>
                <w:color w:val="auto"/>
              </w:rPr>
              <w:t>Net loss</w:t>
            </w: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1480" w:type="dxa"/>
            <w:vAlign w:val="bottom"/>
            <w:gridSpan w:val="2"/>
          </w:tcPr>
          <w:p>
            <w:pPr>
              <w:jc w:val="right"/>
              <w:ind w:right="110"/>
              <w:spacing w:after="0"/>
              <w:rPr>
                <w:sz w:val="20"/>
                <w:szCs w:val="20"/>
                <w:color w:val="auto"/>
              </w:rPr>
            </w:pPr>
            <w:r>
              <w:rPr>
                <w:rFonts w:ascii="Arial" w:cs="Arial" w:eastAsia="Arial" w:hAnsi="Arial"/>
                <w:sz w:val="18"/>
                <w:szCs w:val="18"/>
                <w:color w:val="auto"/>
              </w:rPr>
              <w:t>(31,658 )</w:t>
            </w:r>
          </w:p>
        </w:tc>
        <w:tc>
          <w:tcPr>
            <w:tcW w:w="580" w:type="dxa"/>
            <w:vAlign w:val="bottom"/>
          </w:tcPr>
          <w:p>
            <w:pPr>
              <w:jc w:val="right"/>
              <w:ind w:right="390"/>
              <w:spacing w:after="0"/>
              <w:rPr>
                <w:sz w:val="20"/>
                <w:szCs w:val="20"/>
                <w:color w:val="auto"/>
              </w:rPr>
            </w:pPr>
            <w:r>
              <w:rPr>
                <w:rFonts w:ascii="Arial" w:cs="Arial" w:eastAsia="Arial" w:hAnsi="Arial"/>
                <w:sz w:val="18"/>
                <w:szCs w:val="18"/>
                <w:color w:val="auto"/>
                <w:w w:val="79"/>
              </w:rPr>
              <w:t>$</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(28,290 )</w:t>
            </w:r>
          </w:p>
        </w:tc>
      </w:tr>
      <w:tr>
        <w:trPr>
          <w:trHeight w:val="249"/>
        </w:trPr>
        <w:tc>
          <w:tcPr>
            <w:tcW w:w="7720" w:type="dxa"/>
            <w:vAlign w:val="bottom"/>
            <w:shd w:val="clear" w:color="auto" w:fill="CFF0FC"/>
          </w:tcPr>
          <w:p>
            <w:pPr>
              <w:ind w:left="200"/>
              <w:spacing w:after="0"/>
              <w:rPr>
                <w:sz w:val="20"/>
                <w:szCs w:val="20"/>
                <w:color w:val="auto"/>
              </w:rPr>
            </w:pPr>
            <w:r>
              <w:rPr>
                <w:rFonts w:ascii="Arial" w:cs="Arial" w:eastAsia="Arial" w:hAnsi="Arial"/>
                <w:sz w:val="18"/>
                <w:szCs w:val="18"/>
                <w:color w:val="auto"/>
              </w:rPr>
              <w:t>Net loss per share attributable to common shareholders—basic and diluted</w:t>
            </w:r>
          </w:p>
        </w:tc>
        <w:tc>
          <w:tcPr>
            <w:tcW w:w="360" w:type="dxa"/>
            <w:vAlign w:val="bottom"/>
            <w:shd w:val="clear" w:color="auto" w:fill="CFF0FC"/>
          </w:tcPr>
          <w:p>
            <w:pPr>
              <w:jc w:val="right"/>
              <w:ind w:right="170"/>
              <w:spacing w:after="0"/>
              <w:rPr>
                <w:sz w:val="20"/>
                <w:szCs w:val="20"/>
                <w:color w:val="auto"/>
              </w:rPr>
            </w:pPr>
            <w:r>
              <w:rPr>
                <w:rFonts w:ascii="Arial" w:cs="Arial" w:eastAsia="Arial" w:hAnsi="Arial"/>
                <w:sz w:val="18"/>
                <w:szCs w:val="18"/>
                <w:color w:val="auto"/>
                <w:w w:val="79"/>
              </w:rPr>
              <w:t>$</w:t>
            </w:r>
          </w:p>
        </w:tc>
        <w:tc>
          <w:tcPr>
            <w:tcW w:w="1480" w:type="dxa"/>
            <w:vAlign w:val="bottom"/>
            <w:gridSpan w:val="2"/>
            <w:shd w:val="clear" w:color="auto" w:fill="CFF0FC"/>
          </w:tcPr>
          <w:p>
            <w:pPr>
              <w:jc w:val="right"/>
              <w:ind w:right="110"/>
              <w:spacing w:after="0"/>
              <w:rPr>
                <w:sz w:val="20"/>
                <w:szCs w:val="20"/>
                <w:color w:val="auto"/>
              </w:rPr>
            </w:pPr>
            <w:r>
              <w:rPr>
                <w:rFonts w:ascii="Arial" w:cs="Arial" w:eastAsia="Arial" w:hAnsi="Arial"/>
                <w:sz w:val="18"/>
                <w:szCs w:val="18"/>
                <w:color w:val="auto"/>
              </w:rPr>
              <w:t>(0.75 )</w:t>
            </w:r>
          </w:p>
        </w:tc>
        <w:tc>
          <w:tcPr>
            <w:tcW w:w="580" w:type="dxa"/>
            <w:vAlign w:val="bottom"/>
            <w:shd w:val="clear" w:color="auto" w:fill="CFF0FC"/>
          </w:tcPr>
          <w:p>
            <w:pPr>
              <w:jc w:val="right"/>
              <w:ind w:right="390"/>
              <w:spacing w:after="0"/>
              <w:rPr>
                <w:sz w:val="20"/>
                <w:szCs w:val="20"/>
                <w:color w:val="auto"/>
              </w:rPr>
            </w:pPr>
            <w:r>
              <w:rPr>
                <w:rFonts w:ascii="Arial" w:cs="Arial" w:eastAsia="Arial" w:hAnsi="Arial"/>
                <w:sz w:val="18"/>
                <w:szCs w:val="18"/>
                <w:color w:val="auto"/>
                <w:w w:val="79"/>
              </w:rPr>
              <w:t>$</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(0.70 )</w:t>
            </w:r>
          </w:p>
        </w:tc>
      </w:tr>
      <w:tr>
        <w:trPr>
          <w:trHeight w:val="230"/>
        </w:trPr>
        <w:tc>
          <w:tcPr>
            <w:tcW w:w="7720" w:type="dxa"/>
            <w:vAlign w:val="bottom"/>
          </w:tcPr>
          <w:p>
            <w:pPr>
              <w:ind w:left="200"/>
              <w:spacing w:after="0"/>
              <w:rPr>
                <w:sz w:val="20"/>
                <w:szCs w:val="20"/>
                <w:color w:val="auto"/>
              </w:rPr>
            </w:pPr>
            <w:r>
              <w:rPr>
                <w:rFonts w:ascii="Arial" w:cs="Arial" w:eastAsia="Arial" w:hAnsi="Arial"/>
                <w:sz w:val="18"/>
                <w:szCs w:val="18"/>
                <w:color w:val="auto"/>
              </w:rPr>
              <w:t>Weighted-average common shares outstanding—basic and diluted</w:t>
            </w:r>
          </w:p>
        </w:tc>
        <w:tc>
          <w:tcPr>
            <w:tcW w:w="3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41,979,869</w:t>
            </w:r>
          </w:p>
        </w:tc>
        <w:tc>
          <w:tcPr>
            <w:tcW w:w="2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40,168,285</w:t>
            </w:r>
          </w:p>
        </w:tc>
        <w:tc>
          <w:tcPr>
            <w:tcW w:w="100" w:type="dxa"/>
            <w:vAlign w:val="bottom"/>
          </w:tcPr>
          <w:p>
            <w:pPr>
              <w:spacing w:after="0"/>
              <w:rPr>
                <w:sz w:val="20"/>
                <w:szCs w:val="20"/>
                <w:color w:val="auto"/>
              </w:rPr>
            </w:pPr>
          </w:p>
        </w:tc>
      </w:tr>
      <w:tr>
        <w:trPr>
          <w:trHeight w:val="344"/>
        </w:trPr>
        <w:tc>
          <w:tcPr>
            <w:tcW w:w="7720" w:type="dxa"/>
            <w:vAlign w:val="bottom"/>
            <w:tcBorders>
              <w:bottom w:val="single" w:sz="8" w:color="9A9A9A"/>
            </w:tcBorders>
          </w:tcPr>
          <w:p>
            <w:pPr>
              <w:spacing w:after="0"/>
              <w:rPr>
                <w:sz w:val="24"/>
                <w:szCs w:val="24"/>
                <w:color w:val="auto"/>
              </w:rPr>
            </w:pPr>
          </w:p>
        </w:tc>
        <w:tc>
          <w:tcPr>
            <w:tcW w:w="360" w:type="dxa"/>
            <w:vAlign w:val="bottom"/>
            <w:tcBorders>
              <w:bottom w:val="single" w:sz="8" w:color="9A9A9A"/>
            </w:tcBorders>
          </w:tcPr>
          <w:p>
            <w:pPr>
              <w:spacing w:after="0"/>
              <w:rPr>
                <w:sz w:val="24"/>
                <w:szCs w:val="24"/>
                <w:color w:val="auto"/>
              </w:rPr>
            </w:pPr>
          </w:p>
        </w:tc>
        <w:tc>
          <w:tcPr>
            <w:tcW w:w="120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580" w:type="dxa"/>
            <w:vAlign w:val="bottom"/>
            <w:tcBorders>
              <w:bottom w:val="single" w:sz="8" w:color="9A9A9A"/>
            </w:tcBorders>
          </w:tcPr>
          <w:p>
            <w:pPr>
              <w:spacing w:after="0"/>
              <w:rPr>
                <w:sz w:val="24"/>
                <w:szCs w:val="24"/>
                <w:color w:val="auto"/>
              </w:rPr>
            </w:pPr>
          </w:p>
        </w:tc>
        <w:tc>
          <w:tcPr>
            <w:tcW w:w="100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5894070</wp:posOffset>
            </wp:positionH>
            <wp:positionV relativeFrom="paragraph">
              <wp:posOffset>-3805555</wp:posOffset>
            </wp:positionV>
            <wp:extent cx="68580" cy="1714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-3805555</wp:posOffset>
            </wp:positionV>
            <wp:extent cx="68580" cy="1714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-3479800</wp:posOffset>
            </wp:positionV>
            <wp:extent cx="68580" cy="16319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68580" cy="16319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-3479800</wp:posOffset>
            </wp:positionV>
            <wp:extent cx="68580" cy="16319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68580" cy="16319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-2853690</wp:posOffset>
            </wp:positionV>
            <wp:extent cx="68580" cy="1714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-2853690</wp:posOffset>
            </wp:positionV>
            <wp:extent cx="68580" cy="1714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-2211070</wp:posOffset>
            </wp:positionV>
            <wp:extent cx="1243330" cy="2057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243330" cy="205740"/>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-1851025</wp:posOffset>
            </wp:positionV>
            <wp:extent cx="1243330" cy="7029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243330" cy="70294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9" w:name="page10"/>
    <w:bookmarkEnd w:id="9"/>
    <w:p>
      <w:pPr>
        <w:spacing w:after="0"/>
        <w:rPr>
          <w:sz w:val="20"/>
          <w:szCs w:val="20"/>
          <w:color w:val="auto"/>
        </w:rPr>
      </w:pPr>
      <w:r>
        <w:rPr>
          <w:rFonts w:ascii="Arial" w:cs="Arial" w:eastAsia="Arial" w:hAnsi="Arial"/>
          <w:sz w:val="22"/>
          <w:szCs w:val="22"/>
          <w:b w:val="1"/>
          <w:bCs w:val="1"/>
          <w:color w:val="auto"/>
        </w:rPr>
        <w:t>Repare Contact:</w:t>
      </w:r>
    </w:p>
    <w:p>
      <w:pPr>
        <w:spacing w:after="0" w:line="114" w:lineRule="exact"/>
        <w:rPr>
          <w:sz w:val="20"/>
          <w:szCs w:val="20"/>
          <w:color w:val="auto"/>
        </w:rPr>
      </w:pPr>
    </w:p>
    <w:p>
      <w:pPr>
        <w:spacing w:after="0"/>
        <w:rPr>
          <w:sz w:val="20"/>
          <w:szCs w:val="20"/>
          <w:color w:val="auto"/>
        </w:rPr>
      </w:pPr>
      <w:r>
        <w:rPr>
          <w:rFonts w:ascii="Arial" w:cs="Arial" w:eastAsia="Arial" w:hAnsi="Arial"/>
          <w:sz w:val="22"/>
          <w:szCs w:val="22"/>
          <w:color w:val="auto"/>
        </w:rPr>
        <w:t>Robin Garner</w:t>
      </w:r>
    </w:p>
    <w:p>
      <w:pPr>
        <w:spacing w:after="0"/>
        <w:rPr>
          <w:sz w:val="20"/>
          <w:szCs w:val="20"/>
          <w:color w:val="auto"/>
        </w:rPr>
      </w:pPr>
      <w:r>
        <w:rPr>
          <w:rFonts w:ascii="Arial" w:cs="Arial" w:eastAsia="Arial" w:hAnsi="Arial"/>
          <w:sz w:val="21"/>
          <w:szCs w:val="21"/>
          <w:color w:val="auto"/>
        </w:rPr>
        <w:t>Executive Director and Head of Investor Relations</w:t>
      </w:r>
    </w:p>
    <w:p>
      <w:pPr>
        <w:spacing w:after="0" w:line="231" w:lineRule="auto"/>
        <w:rPr>
          <w:sz w:val="20"/>
          <w:szCs w:val="20"/>
          <w:color w:val="auto"/>
        </w:rPr>
      </w:pPr>
      <w:r>
        <w:rPr>
          <w:rFonts w:ascii="Arial" w:cs="Arial" w:eastAsia="Arial" w:hAnsi="Arial"/>
          <w:sz w:val="22"/>
          <w:szCs w:val="22"/>
          <w:color w:val="auto"/>
        </w:rPr>
        <w:t>Repare Therapeutics Inc.</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investor@reparerx.com</w:t>
      </w:r>
    </w:p>
    <w:p>
      <w:pPr>
        <w:spacing w:after="0" w:line="28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Investors:</w:t>
      </w:r>
    </w:p>
    <w:p>
      <w:pPr>
        <w:spacing w:after="0" w:line="114" w:lineRule="exact"/>
        <w:rPr>
          <w:sz w:val="20"/>
          <w:szCs w:val="20"/>
          <w:color w:val="auto"/>
        </w:rPr>
      </w:pPr>
    </w:p>
    <w:p>
      <w:pPr>
        <w:spacing w:after="0"/>
        <w:rPr>
          <w:sz w:val="20"/>
          <w:szCs w:val="20"/>
          <w:color w:val="auto"/>
        </w:rPr>
      </w:pPr>
      <w:r>
        <w:rPr>
          <w:rFonts w:ascii="Arial" w:cs="Arial" w:eastAsia="Arial" w:hAnsi="Arial"/>
          <w:sz w:val="22"/>
          <w:szCs w:val="22"/>
          <w:color w:val="auto"/>
        </w:rPr>
        <w:t>Matthew DeYoung</w:t>
      </w:r>
    </w:p>
    <w:p>
      <w:pPr>
        <w:spacing w:after="0" w:line="230" w:lineRule="auto"/>
        <w:rPr>
          <w:sz w:val="20"/>
          <w:szCs w:val="20"/>
          <w:color w:val="auto"/>
        </w:rPr>
      </w:pPr>
      <w:r>
        <w:rPr>
          <w:rFonts w:ascii="Arial" w:cs="Arial" w:eastAsia="Arial" w:hAnsi="Arial"/>
          <w:sz w:val="22"/>
          <w:szCs w:val="22"/>
          <w:color w:val="auto"/>
        </w:rPr>
        <w:t>Argot Partners</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repare@argotpartners.com</w:t>
      </w:r>
    </w:p>
    <w:p>
      <w:pPr>
        <w:spacing w:after="0" w:line="28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Media:</w:t>
      </w:r>
    </w:p>
    <w:p>
      <w:pPr>
        <w:spacing w:after="0" w:line="114" w:lineRule="exact"/>
        <w:rPr>
          <w:sz w:val="20"/>
          <w:szCs w:val="20"/>
          <w:color w:val="auto"/>
        </w:rPr>
      </w:pPr>
    </w:p>
    <w:p>
      <w:pPr>
        <w:spacing w:after="0"/>
        <w:rPr>
          <w:sz w:val="20"/>
          <w:szCs w:val="20"/>
          <w:color w:val="auto"/>
        </w:rPr>
      </w:pPr>
      <w:r>
        <w:rPr>
          <w:rFonts w:ascii="Arial" w:cs="Arial" w:eastAsia="Arial" w:hAnsi="Arial"/>
          <w:sz w:val="22"/>
          <w:szCs w:val="22"/>
          <w:color w:val="auto"/>
        </w:rPr>
        <w:t>David Rosen</w:t>
      </w:r>
    </w:p>
    <w:p>
      <w:pPr>
        <w:spacing w:after="0" w:line="230" w:lineRule="auto"/>
        <w:rPr>
          <w:sz w:val="20"/>
          <w:szCs w:val="20"/>
          <w:color w:val="auto"/>
        </w:rPr>
      </w:pPr>
      <w:r>
        <w:rPr>
          <w:rFonts w:ascii="Arial" w:cs="Arial" w:eastAsia="Arial" w:hAnsi="Arial"/>
          <w:sz w:val="22"/>
          <w:szCs w:val="22"/>
          <w:color w:val="auto"/>
        </w:rPr>
        <w:t>Argot Partners</w:t>
      </w:r>
    </w:p>
    <w:p>
      <w:pPr>
        <w:spacing w:after="0" w:line="231" w:lineRule="auto"/>
        <w:rPr>
          <w:sz w:val="20"/>
          <w:szCs w:val="20"/>
          <w:color w:val="auto"/>
        </w:rPr>
      </w:pPr>
      <w:r>
        <w:rPr>
          <w:rFonts w:ascii="Arial" w:cs="Arial" w:eastAsia="Arial" w:hAnsi="Arial"/>
          <w:sz w:val="22"/>
          <w:szCs w:val="22"/>
          <w:color w:val="auto"/>
        </w:rPr>
        <w:t>david.rosen@argotpartners.com</w:t>
      </w:r>
    </w:p>
    <w:p>
      <w:pPr>
        <w:spacing w:after="0"/>
        <w:rPr>
          <w:sz w:val="20"/>
          <w:szCs w:val="20"/>
          <w:color w:val="auto"/>
        </w:rPr>
      </w:pPr>
      <w:r>
        <w:rPr>
          <w:rFonts w:ascii="Arial" w:cs="Arial" w:eastAsia="Arial" w:hAnsi="Arial"/>
          <w:sz w:val="22"/>
          <w:szCs w:val="22"/>
          <w:color w:val="auto"/>
        </w:rPr>
        <w:t>212-600-1902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53975</wp:posOffset>
            </wp:positionV>
            <wp:extent cx="715772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139"/>
          </w:cols>
          <w:pgMar w:left="320" w:top="647" w:right="1440" w:bottom="1440" w:gutter="0" w:footer="0" w:header="0"/>
        </w:sectPr>
      </w:pPr>
    </w:p>
    <w:bookmarkStart w:id="10" w:name="page11"/>
    <w:bookmarkEnd w:id="10"/>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1"/>
      <w:numFmt w:val="decimal"/>
      <w:start w:val="104"/>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
      <w:numFmt w:val="bullet"/>
      <w:start w:val="1"/>
    </w:lvl>
    <w:lvl w:ilvl="1">
      <w:lvlJc w:val="left"/>
      <w:lvlText w:val="o"/>
      <w:numFmt w:val="bullet"/>
      <w:start w:val="1"/>
    </w:lvl>
  </w:abstractNum>
  <w:abstractNum w:abstractNumId="4">
    <w:nsid w:val="3D1B58BA"/>
    <w:multiLevelType w:val="hybridMultilevel"/>
    <w:lvl w:ilvl="0">
      <w:lvlJc w:val="left"/>
      <w:lvlText w:val="•"/>
      <w:numFmt w:val="bullet"/>
      <w:start w:val="1"/>
    </w:lvl>
  </w:abstractNum>
  <w:abstractNum w:abstractNumId="5">
    <w:nsid w:val="507ED7A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2023-02-28T18:57:57Z</dcterms:created>
  <dcterms:modified xsi:type="dcterms:W3CDTF">2023-02-28T18:57:57Z</dcterms:modified>
</cp:coreProperties>
</file>