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10-K</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81" w:lineRule="exact"/>
        <w:rPr>
          <w:rFonts w:ascii="MS PGothic" w:cs="MS PGothic" w:eastAsia="MS PGothic" w:hAnsi="MS PGothic"/>
          <w:sz w:val="16"/>
          <w:szCs w:val="16"/>
          <w:color w:val="auto"/>
          <w:highlight w:val="black"/>
        </w:rPr>
      </w:pPr>
    </w:p>
    <w:p>
      <w:pPr>
        <w:ind w:left="390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2022</w:t>
      </w:r>
    </w:p>
    <w:p>
      <w:pPr>
        <w:spacing w:after="0" w:line="63" w:lineRule="exact"/>
        <w:rPr>
          <w:rFonts w:ascii="MS PGothic" w:cs="MS PGothic" w:eastAsia="MS PGothic" w:hAnsi="MS PGothic"/>
          <w:sz w:val="16"/>
          <w:szCs w:val="16"/>
          <w:color w:val="auto"/>
          <w:highlight w:val="black"/>
        </w:rPr>
      </w:pPr>
    </w:p>
    <w:p>
      <w:pPr>
        <w:ind w:left="546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OR</w:t>
      </w:r>
    </w:p>
    <w:p>
      <w:pPr>
        <w:spacing w:after="0" w:line="8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37" w:lineRule="exact"/>
        <w:rPr>
          <w:sz w:val="24"/>
          <w:szCs w:val="24"/>
          <w:color w:val="auto"/>
        </w:rPr>
      </w:pP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001-39335</w:t>
      </w:r>
    </w:p>
    <w:p>
      <w:pPr>
        <w:spacing w:after="0" w:line="75"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-274320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8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Québec</w:t>
      </w:r>
    </w:p>
    <w:p>
      <w:pPr>
        <w:spacing w:after="0" w:line="41"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Not applicable</w:t>
      </w:r>
    </w:p>
    <w:p>
      <w:pPr>
        <w:spacing w:after="0" w:line="7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05" w:lineRule="exact"/>
        <w:rPr>
          <w:sz w:val="24"/>
          <w:szCs w:val="24"/>
          <w:color w:val="auto"/>
        </w:rPr>
      </w:pPr>
    </w:p>
    <w:p>
      <w:pPr>
        <w:sectPr>
          <w:pgSz w:w="11900" w:h="16838" w:orient="portrait"/>
          <w:cols w:equalWidth="0" w:num="2">
            <w:col w:w="7640" w:space="300"/>
            <w:col w:w="330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500" w:type="dxa"/>
            <w:vAlign w:val="bottom"/>
          </w:tcPr>
          <w:p>
            <w:pPr>
              <w:jc w:val="center"/>
              <w:ind w:left="1067"/>
              <w:spacing w:after="0"/>
              <w:rPr>
                <w:sz w:val="20"/>
                <w:szCs w:val="20"/>
                <w:color w:val="auto"/>
              </w:rPr>
            </w:pPr>
            <w:r>
              <w:rPr>
                <w:rFonts w:ascii="Arial" w:cs="Arial" w:eastAsia="Arial" w:hAnsi="Arial"/>
                <w:sz w:val="16"/>
                <w:szCs w:val="16"/>
                <w:b w:val="1"/>
                <w:bCs w:val="1"/>
                <w:color w:val="auto"/>
                <w:w w:val="92"/>
              </w:rPr>
              <w:t>7210 Frederick-Banting, Suite 100</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tcPr>
          <w:p>
            <w:pPr>
              <w:jc w:val="center"/>
              <w:ind w:left="1047"/>
              <w:spacing w:after="0"/>
              <w:rPr>
                <w:sz w:val="20"/>
                <w:szCs w:val="20"/>
                <w:color w:val="auto"/>
              </w:rPr>
            </w:pPr>
            <w:r>
              <w:rPr>
                <w:rFonts w:ascii="Arial" w:cs="Arial" w:eastAsia="Arial" w:hAnsi="Arial"/>
                <w:sz w:val="16"/>
                <w:szCs w:val="16"/>
                <w:b w:val="1"/>
                <w:bCs w:val="1"/>
                <w:color w:val="auto"/>
                <w:w w:val="92"/>
              </w:rPr>
              <w:t>St-Laurent, Québec, Canada</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ind w:left="1360"/>
              <w:spacing w:after="0"/>
              <w:rPr>
                <w:sz w:val="20"/>
                <w:szCs w:val="20"/>
                <w:color w:val="auto"/>
              </w:rPr>
            </w:pPr>
            <w:r>
              <w:rPr>
                <w:rFonts w:ascii="Arial" w:cs="Arial" w:eastAsia="Arial" w:hAnsi="Arial"/>
                <w:sz w:val="16"/>
                <w:szCs w:val="16"/>
                <w:b w:val="1"/>
                <w:bCs w:val="1"/>
                <w:color w:val="auto"/>
              </w:rPr>
              <w:t>H4S 2A1</w:t>
            </w:r>
          </w:p>
        </w:tc>
        <w:tc>
          <w:tcPr>
            <w:tcW w:w="0" w:type="dxa"/>
            <w:vAlign w:val="bottom"/>
          </w:tcPr>
          <w:p>
            <w:pPr>
              <w:spacing w:after="0"/>
              <w:rPr>
                <w:sz w:val="1"/>
                <w:szCs w:val="1"/>
                <w:color w:val="auto"/>
              </w:rPr>
            </w:pPr>
          </w:p>
        </w:tc>
      </w:tr>
      <w:tr>
        <w:trPr>
          <w:trHeight w:val="179"/>
        </w:trPr>
        <w:tc>
          <w:tcPr>
            <w:tcW w:w="4500" w:type="dxa"/>
            <w:vAlign w:val="bottom"/>
          </w:tcPr>
          <w:p>
            <w:pPr>
              <w:jc w:val="center"/>
              <w:ind w:left="106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Pr>
          <w:p>
            <w:pPr>
              <w:ind w:left="1380"/>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r>
        <w:trPr>
          <w:trHeight w:val="253"/>
        </w:trPr>
        <w:tc>
          <w:tcPr>
            <w:tcW w:w="112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(857) 412-7018</w:t>
            </w:r>
          </w:p>
        </w:tc>
        <w:tc>
          <w:tcPr>
            <w:tcW w:w="0" w:type="dxa"/>
            <w:vAlign w:val="bottom"/>
          </w:tcPr>
          <w:p>
            <w:pPr>
              <w:spacing w:after="0"/>
              <w:rPr>
                <w:sz w:val="1"/>
                <w:szCs w:val="1"/>
                <w:color w:val="auto"/>
              </w:rPr>
            </w:pPr>
          </w:p>
        </w:tc>
      </w:tr>
      <w:tr>
        <w:trPr>
          <w:trHeight w:val="100"/>
        </w:trPr>
        <w:tc>
          <w:tcPr>
            <w:tcW w:w="450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Trading</w:t>
            </w: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500" w:type="dxa"/>
            <w:vAlign w:val="bottom"/>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2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Symbol(s)</w:t>
            </w:r>
          </w:p>
        </w:tc>
        <w:tc>
          <w:tcPr>
            <w:tcW w:w="20" w:type="dxa"/>
            <w:vAlign w:val="bottom"/>
          </w:tcPr>
          <w:p>
            <w:pPr>
              <w:spacing w:after="0"/>
              <w:rPr>
                <w:sz w:val="14"/>
                <w:szCs w:val="14"/>
                <w:color w:val="auto"/>
              </w:rPr>
            </w:pPr>
          </w:p>
        </w:tc>
        <w:tc>
          <w:tcPr>
            <w:tcW w:w="44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77"/>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Shares, no par value</w:t>
            </w:r>
          </w:p>
        </w:tc>
        <w:tc>
          <w:tcPr>
            <w:tcW w:w="120" w:type="dxa"/>
            <w:vAlign w:val="bottom"/>
          </w:tcPr>
          <w:p>
            <w:pPr>
              <w:spacing w:after="0"/>
              <w:rPr>
                <w:sz w:val="15"/>
                <w:szCs w:val="15"/>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RPTX</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bl>
    <w:p>
      <w:pPr>
        <w:spacing w:after="0" w:line="4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32" w:lineRule="exact"/>
        <w:rPr>
          <w:sz w:val="24"/>
          <w:szCs w:val="24"/>
          <w:color w:val="auto"/>
        </w:rPr>
      </w:pPr>
    </w:p>
    <w:p>
      <w:pPr>
        <w:ind w:right="4520"/>
        <w:spacing w:after="0" w:line="20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15" w:lineRule="exact"/>
        <w:rPr>
          <w:sz w:val="24"/>
          <w:szCs w:val="24"/>
          <w:color w:val="auto"/>
        </w:rPr>
      </w:pPr>
    </w:p>
    <w:p>
      <w:pPr>
        <w:ind w:right="10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0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14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20" w:type="dxa"/>
            <w:vAlign w:val="bottom"/>
          </w:tcPr>
          <w:p>
            <w:pPr>
              <w:ind w:left="10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280" w:type="dxa"/>
            <w:vAlign w:val="bottom"/>
          </w:tcPr>
          <w:p>
            <w:pPr>
              <w:ind w:left="1860"/>
              <w:spacing w:after="0"/>
              <w:rPr>
                <w:sz w:val="20"/>
                <w:szCs w:val="20"/>
                <w:color w:val="auto"/>
              </w:rPr>
            </w:pPr>
            <w:r>
              <w:rPr>
                <w:rFonts w:ascii="Arial" w:cs="Arial" w:eastAsia="Arial" w:hAnsi="Arial"/>
                <w:sz w:val="13"/>
                <w:szCs w:val="13"/>
                <w:color w:val="auto"/>
              </w:rPr>
              <w:t>Accelerated filer</w:t>
            </w:r>
          </w:p>
        </w:tc>
        <w:tc>
          <w:tcPr>
            <w:tcW w:w="1160" w:type="dxa"/>
            <w:vAlign w:val="bottom"/>
          </w:tcPr>
          <w:p>
            <w:pPr>
              <w:ind w:left="10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43"/>
        </w:trPr>
        <w:tc>
          <w:tcPr>
            <w:tcW w:w="2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020" w:type="dxa"/>
            <w:vAlign w:val="bottom"/>
          </w:tcPr>
          <w:p>
            <w:pPr>
              <w:ind w:left="10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280" w:type="dxa"/>
            <w:vAlign w:val="bottom"/>
          </w:tcPr>
          <w:p>
            <w:pPr>
              <w:ind w:left="1860"/>
              <w:spacing w:after="0"/>
              <w:rPr>
                <w:sz w:val="20"/>
                <w:szCs w:val="20"/>
                <w:color w:val="auto"/>
              </w:rPr>
            </w:pPr>
            <w:r>
              <w:rPr>
                <w:rFonts w:ascii="Arial" w:cs="Arial" w:eastAsia="Arial" w:hAnsi="Arial"/>
                <w:sz w:val="13"/>
                <w:szCs w:val="13"/>
                <w:color w:val="auto"/>
              </w:rPr>
              <w:t>Smaller reporting company</w:t>
            </w:r>
          </w:p>
        </w:tc>
        <w:tc>
          <w:tcPr>
            <w:tcW w:w="1160" w:type="dxa"/>
            <w:vAlign w:val="bottom"/>
          </w:tcPr>
          <w:p>
            <w:pPr>
              <w:ind w:left="10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43"/>
        </w:trPr>
        <w:tc>
          <w:tcPr>
            <w:tcW w:w="24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020" w:type="dxa"/>
            <w:vAlign w:val="bottom"/>
          </w:tcPr>
          <w:p>
            <w:pPr>
              <w:ind w:left="10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2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8" w:lineRule="exact"/>
        <w:rPr>
          <w:sz w:val="24"/>
          <w:szCs w:val="24"/>
          <w:color w:val="auto"/>
        </w:rPr>
      </w:pPr>
    </w:p>
    <w:p>
      <w:pPr>
        <w:jc w:val="both"/>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right="240"/>
        <w:spacing w:after="0" w:line="174"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right="40"/>
        <w:spacing w:after="0" w:line="236" w:lineRule="auto"/>
        <w:rPr>
          <w:sz w:val="20"/>
          <w:szCs w:val="20"/>
          <w:color w:val="auto"/>
        </w:rPr>
      </w:pPr>
      <w:r>
        <w:rPr>
          <w:rFonts w:ascii="Arial" w:cs="Arial" w:eastAsia="Arial" w:hAnsi="Arial"/>
          <w:sz w:val="13"/>
          <w:szCs w:val="13"/>
          <w:color w:val="auto"/>
        </w:rPr>
        <w:t>The aggregate market value of the registrant’s common shares held by non-affiliates was $454,878,023 as of June 30, 2022, based on a total of 32,514,512 common shares held by non-affiliates and a closing price of $13.99 as reported on The Nasdaq Stock Market on June 30, 2022.</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shares outstanding as of February 24, 2023 was 42,077,896.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40"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Portions of the definitive proxy statement for the registrant’s 2023 annual meeting of shareholders, which is to be filed within 120 days after the end of the registrant’s fiscal year ended December 31, 2022, are incorporated by reference into Part III of this Form 10-K, to the extent described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580" w:type="dxa"/>
            <w:vAlign w:val="bottom"/>
            <w:gridSpan w:val="35"/>
            <w:vMerge w:val="restart"/>
          </w:tcPr>
          <w:p>
            <w:pPr>
              <w:spacing w:after="0"/>
              <w:rPr>
                <w:sz w:val="20"/>
                <w:szCs w:val="20"/>
                <w:color w:val="auto"/>
              </w:rPr>
            </w:pPr>
            <w:r>
              <w:rPr>
                <w:rFonts w:ascii="Arial" w:cs="Arial" w:eastAsia="Arial" w:hAnsi="Arial"/>
                <w:sz w:val="18"/>
                <w:szCs w:val="18"/>
                <w:b w:val="1"/>
                <w:bCs w:val="1"/>
                <w:color w:val="0000FF"/>
              </w:rPr>
              <w:t>SUMMARY RISK FACTORS</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35"/>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80" w:type="dxa"/>
            <w:vAlign w:val="bottom"/>
            <w:gridSpan w:val="35"/>
          </w:tcPr>
          <w:p>
            <w:pPr>
              <w:spacing w:after="0"/>
              <w:rPr>
                <w:sz w:val="20"/>
                <w:szCs w:val="20"/>
                <w:color w:val="auto"/>
              </w:rPr>
            </w:pPr>
            <w:r>
              <w:rPr>
                <w:rFonts w:ascii="Arial" w:cs="Arial" w:eastAsia="Arial" w:hAnsi="Arial"/>
                <w:sz w:val="18"/>
                <w:szCs w:val="18"/>
                <w:b w:val="1"/>
                <w:bCs w:val="1"/>
                <w:color w:val="0000FF"/>
              </w:rPr>
              <w:t>SPECIAL NOTE REGARDING FORWARD LOOKING STATEMENTS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b w:val="1"/>
                <w:bCs w:val="1"/>
                <w:color w:val="0000FF"/>
              </w:rPr>
              <w:t>PART I</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w:t>
            </w:r>
          </w:p>
        </w:tc>
        <w:tc>
          <w:tcPr>
            <w:tcW w:w="9140" w:type="dxa"/>
            <w:vAlign w:val="bottom"/>
            <w:gridSpan w:val="29"/>
          </w:tcPr>
          <w:p>
            <w:pPr>
              <w:spacing w:after="0"/>
              <w:rPr>
                <w:sz w:val="20"/>
                <w:szCs w:val="20"/>
                <w:color w:val="auto"/>
              </w:rPr>
            </w:pPr>
            <w:r>
              <w:rPr>
                <w:rFonts w:ascii="Arial" w:cs="Arial" w:eastAsia="Arial" w:hAnsi="Arial"/>
                <w:sz w:val="18"/>
                <w:szCs w:val="18"/>
                <w:color w:val="0000FF"/>
              </w:rPr>
              <w:t>Business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200" w:type="dxa"/>
            <w:vAlign w:val="bottom"/>
            <w:gridSpan w:val="2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Unresolved Staff Comments</w:t>
            </w:r>
          </w:p>
        </w:tc>
        <w:tc>
          <w:tcPr>
            <w:tcW w:w="7080" w:type="dxa"/>
            <w:vAlign w:val="bottom"/>
            <w:gridSpan w:val="1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bottom w:val="single" w:sz="8" w:color="0000EE"/>
            </w:tcBorders>
          </w:tcPr>
          <w:p>
            <w:pPr>
              <w:spacing w:after="0"/>
              <w:rPr>
                <w:sz w:val="18"/>
                <w:szCs w:val="18"/>
                <w:color w:val="auto"/>
              </w:rPr>
            </w:pPr>
          </w:p>
        </w:tc>
        <w:tc>
          <w:tcPr>
            <w:tcW w:w="8380" w:type="dxa"/>
            <w:vAlign w:val="bottom"/>
            <w:gridSpan w:val="2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18"/>
                <w:szCs w:val="18"/>
                <w:color w:val="auto"/>
              </w:rPr>
            </w:pPr>
          </w:p>
        </w:tc>
        <w:tc>
          <w:tcPr>
            <w:tcW w:w="7780" w:type="dxa"/>
            <w:vAlign w:val="bottom"/>
            <w:gridSpan w:val="19"/>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4.</w:t>
            </w:r>
          </w:p>
        </w:tc>
        <w:tc>
          <w:tcPr>
            <w:tcW w:w="9140" w:type="dxa"/>
            <w:vAlign w:val="bottom"/>
            <w:gridSpan w:val="29"/>
          </w:tcPr>
          <w:p>
            <w:pPr>
              <w:spacing w:after="0"/>
              <w:rPr>
                <w:sz w:val="20"/>
                <w:szCs w:val="20"/>
                <w:color w:val="auto"/>
              </w:rPr>
            </w:pPr>
            <w:r>
              <w:rPr>
                <w:rFonts w:ascii="Arial" w:cs="Arial" w:eastAsia="Arial" w:hAnsi="Arial"/>
                <w:sz w:val="18"/>
                <w:szCs w:val="18"/>
                <w:color w:val="0000FF"/>
              </w:rPr>
              <w:t>Mine Safety Disclosures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44"/>
        </w:trPr>
        <w:tc>
          <w:tcPr>
            <w:tcW w:w="1440" w:type="dxa"/>
            <w:vAlign w:val="bottom"/>
            <w:gridSpan w:val="6"/>
          </w:tcPr>
          <w:p>
            <w:pPr>
              <w:spacing w:after="0"/>
              <w:rPr>
                <w:sz w:val="20"/>
                <w:szCs w:val="20"/>
                <w:color w:val="auto"/>
              </w:rPr>
            </w:pPr>
            <w:r>
              <w:rPr>
                <w:rFonts w:ascii="Arial" w:cs="Arial" w:eastAsia="Arial" w:hAnsi="Arial"/>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ind w:left="100"/>
              <w:spacing w:after="0"/>
              <w:rPr>
                <w:sz w:val="20"/>
                <w:szCs w:val="20"/>
                <w:color w:val="auto"/>
              </w:rPr>
            </w:pPr>
            <w:r>
              <w:rPr>
                <w:rFonts w:ascii="Arial" w:cs="Arial" w:eastAsia="Arial" w:hAnsi="Arial"/>
                <w:sz w:val="18"/>
                <w:szCs w:val="18"/>
                <w:color w:val="auto"/>
                <w:w w:val="94"/>
              </w:rPr>
              <w:t>Item 5.</w:t>
            </w:r>
          </w:p>
        </w:tc>
        <w:tc>
          <w:tcPr>
            <w:tcW w:w="780" w:type="dxa"/>
            <w:vAlign w:val="bottom"/>
            <w:gridSpan w:val="3"/>
          </w:tcPr>
          <w:p>
            <w:pPr>
              <w:spacing w:after="0"/>
              <w:rPr>
                <w:sz w:val="18"/>
                <w:szCs w:val="18"/>
                <w:color w:val="auto"/>
              </w:rPr>
            </w:pPr>
          </w:p>
        </w:tc>
        <w:tc>
          <w:tcPr>
            <w:tcW w:w="80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[Reserved]</w:t>
            </w:r>
          </w:p>
        </w:tc>
        <w:tc>
          <w:tcPr>
            <w:tcW w:w="80" w:type="dxa"/>
            <w:vAlign w:val="bottom"/>
            <w:tcBorders>
              <w:bottom w:val="single" w:sz="8" w:color="0000EE"/>
            </w:tcBorders>
          </w:tcPr>
          <w:p>
            <w:pPr>
              <w:spacing w:after="0"/>
              <w:rPr>
                <w:sz w:val="18"/>
                <w:szCs w:val="18"/>
                <w:color w:val="auto"/>
              </w:rPr>
            </w:pPr>
          </w:p>
        </w:tc>
        <w:tc>
          <w:tcPr>
            <w:tcW w:w="8260" w:type="dxa"/>
            <w:vAlign w:val="bottom"/>
            <w:gridSpan w:val="2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7.</w:t>
            </w:r>
          </w:p>
        </w:tc>
        <w:tc>
          <w:tcPr>
            <w:tcW w:w="914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8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3"/>
          </w:tcPr>
          <w:p>
            <w:pPr>
              <w:spacing w:after="0"/>
              <w:rPr>
                <w:sz w:val="18"/>
                <w:szCs w:val="18"/>
                <w:color w:val="auto"/>
              </w:rPr>
            </w:pPr>
          </w:p>
        </w:tc>
        <w:tc>
          <w:tcPr>
            <w:tcW w:w="478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62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Controls and Procedures</w:t>
            </w:r>
          </w:p>
        </w:tc>
        <w:tc>
          <w:tcPr>
            <w:tcW w:w="7360" w:type="dxa"/>
            <w:vAlign w:val="bottom"/>
            <w:gridSpan w:val="1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Other Information</w:t>
            </w:r>
          </w:p>
        </w:tc>
        <w:tc>
          <w:tcPr>
            <w:tcW w:w="20" w:type="dxa"/>
            <w:vAlign w:val="bottom"/>
            <w:tcBorders>
              <w:bottom w:val="single" w:sz="8" w:color="0000EE"/>
            </w:tcBorders>
          </w:tcPr>
          <w:p>
            <w:pPr>
              <w:spacing w:after="0"/>
              <w:rPr>
                <w:sz w:val="18"/>
                <w:szCs w:val="18"/>
                <w:color w:val="auto"/>
              </w:rPr>
            </w:pPr>
          </w:p>
        </w:tc>
        <w:tc>
          <w:tcPr>
            <w:tcW w:w="7800" w:type="dxa"/>
            <w:vAlign w:val="bottom"/>
            <w:gridSpan w:val="20"/>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9C.</w:t>
            </w:r>
          </w:p>
        </w:tc>
        <w:tc>
          <w:tcPr>
            <w:tcW w:w="9140" w:type="dxa"/>
            <w:vAlign w:val="bottom"/>
            <w:gridSpan w:val="29"/>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44"/>
        </w:trPr>
        <w:tc>
          <w:tcPr>
            <w:tcW w:w="1440" w:type="dxa"/>
            <w:vAlign w:val="bottom"/>
            <w:gridSpan w:val="6"/>
          </w:tcPr>
          <w:p>
            <w:pPr>
              <w:spacing w:after="0"/>
              <w:rPr>
                <w:sz w:val="20"/>
                <w:szCs w:val="20"/>
                <w:color w:val="auto"/>
              </w:rPr>
            </w:pPr>
            <w:r>
              <w:rPr>
                <w:rFonts w:ascii="Arial" w:cs="Arial" w:eastAsia="Arial" w:hAnsi="Arial"/>
                <w:sz w:val="18"/>
                <w:szCs w:val="18"/>
                <w:b w:val="1"/>
                <w:bCs w:val="1"/>
                <w:color w:val="0000FF"/>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0000FF"/>
            </w:tcBorders>
            <w:gridSpan w:val="4"/>
          </w:tcPr>
          <w:p>
            <w:pPr>
              <w:ind w:left="100"/>
              <w:spacing w:after="0"/>
              <w:rPr>
                <w:sz w:val="20"/>
                <w:szCs w:val="20"/>
                <w:color w:val="auto"/>
              </w:rPr>
            </w:pPr>
            <w:r>
              <w:rPr>
                <w:rFonts w:ascii="Arial" w:cs="Arial" w:eastAsia="Arial" w:hAnsi="Arial"/>
                <w:sz w:val="18"/>
                <w:szCs w:val="18"/>
                <w:color w:val="auto"/>
                <w:w w:val="95"/>
              </w:rPr>
              <w:t>Item 10.</w:t>
            </w:r>
          </w:p>
        </w:tc>
        <w:tc>
          <w:tcPr>
            <w:tcW w:w="680" w:type="dxa"/>
            <w:vAlign w:val="bottom"/>
          </w:tcPr>
          <w:p>
            <w:pPr>
              <w:spacing w:after="0"/>
              <w:rPr>
                <w:sz w:val="18"/>
                <w:szCs w:val="18"/>
                <w:color w:val="auto"/>
              </w:rPr>
            </w:pPr>
          </w:p>
        </w:tc>
        <w:tc>
          <w:tcPr>
            <w:tcW w:w="41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504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11.</w:t>
            </w:r>
          </w:p>
        </w:tc>
        <w:tc>
          <w:tcPr>
            <w:tcW w:w="9140" w:type="dxa"/>
            <w:vAlign w:val="bottom"/>
            <w:gridSpan w:val="29"/>
          </w:tcPr>
          <w:p>
            <w:pPr>
              <w:spacing w:after="0"/>
              <w:rPr>
                <w:sz w:val="20"/>
                <w:szCs w:val="20"/>
                <w:color w:val="auto"/>
              </w:rPr>
            </w:pPr>
            <w:r>
              <w:rPr>
                <w:rFonts w:ascii="Arial" w:cs="Arial" w:eastAsia="Arial" w:hAnsi="Arial"/>
                <w:sz w:val="18"/>
                <w:szCs w:val="18"/>
                <w:color w:val="0000FF"/>
              </w:rPr>
              <w:t>Executive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84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68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14.</w:t>
            </w:r>
          </w:p>
        </w:tc>
        <w:tc>
          <w:tcPr>
            <w:tcW w:w="9140" w:type="dxa"/>
            <w:vAlign w:val="bottom"/>
            <w:gridSpan w:val="29"/>
          </w:tcPr>
          <w:p>
            <w:pPr>
              <w:spacing w:after="0"/>
              <w:rPr>
                <w:sz w:val="20"/>
                <w:szCs w:val="20"/>
                <w:color w:val="auto"/>
              </w:rPr>
            </w:pPr>
            <w:r>
              <w:rPr>
                <w:rFonts w:ascii="Arial" w:cs="Arial" w:eastAsia="Arial" w:hAnsi="Arial"/>
                <w:sz w:val="18"/>
                <w:szCs w:val="18"/>
                <w:color w:val="0000FF"/>
              </w:rPr>
              <w:t>Principal Accounting Fees and Services</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345"/>
        </w:trPr>
        <w:tc>
          <w:tcPr>
            <w:tcW w:w="144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24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15.</w:t>
            </w:r>
          </w:p>
        </w:tc>
        <w:tc>
          <w:tcPr>
            <w:tcW w:w="9140" w:type="dxa"/>
            <w:vAlign w:val="bottom"/>
            <w:gridSpan w:val="29"/>
          </w:tcPr>
          <w:p>
            <w:pPr>
              <w:spacing w:after="0"/>
              <w:rPr>
                <w:sz w:val="20"/>
                <w:szCs w:val="20"/>
                <w:color w:val="auto"/>
              </w:rPr>
            </w:pPr>
            <w:r>
              <w:rPr>
                <w:rFonts w:ascii="Arial" w:cs="Arial" w:eastAsia="Arial" w:hAnsi="Arial"/>
                <w:sz w:val="18"/>
                <w:szCs w:val="18"/>
                <w:color w:val="0000FF"/>
              </w:rPr>
              <w:t>Exhibits, Financial Statement Schedules</w:t>
            </w: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2"/>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320" w:type="dxa"/>
            <w:vAlign w:val="bottom"/>
            <w:tcBorders>
              <w:top w:val="single" w:sz="8" w:color="0000FF"/>
            </w:tcBorders>
            <w:gridSpan w:val="5"/>
          </w:tcPr>
          <w:p>
            <w:pPr>
              <w:spacing w:after="0"/>
              <w:rPr>
                <w:sz w:val="18"/>
                <w:szCs w:val="18"/>
                <w:color w:val="auto"/>
              </w:rPr>
            </w:pPr>
          </w:p>
        </w:tc>
        <w:tc>
          <w:tcPr>
            <w:tcW w:w="6240" w:type="dxa"/>
            <w:vAlign w:val="bottom"/>
            <w:gridSpan w:val="1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590"/>
        <w:spacing w:after="0" w:line="263" w:lineRule="auto"/>
        <w:rPr>
          <w:sz w:val="20"/>
          <w:szCs w:val="20"/>
          <w:color w:val="auto"/>
        </w:rPr>
      </w:pPr>
      <w:r>
        <w:rPr>
          <w:rFonts w:ascii="Arial" w:cs="Arial" w:eastAsia="Arial" w:hAnsi="Arial"/>
          <w:sz w:val="18"/>
          <w:szCs w:val="18"/>
          <w:i w:val="1"/>
          <w:iCs w:val="1"/>
          <w:color w:val="auto"/>
        </w:rPr>
        <w:t>Investing in our common shares involves numerous risks, including the risks described in “Part I—Item 1A. Risk Factors” of this Annual Report on Form 10-K. Below are some of our principal risks, any one of which could materially adversely affect our business, financial condition, results of operations, and prospects:</w:t>
      </w:r>
    </w:p>
    <w:p>
      <w:pPr>
        <w:spacing w:after="0" w:line="76"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limited operating history may make it difficult for you to evaluate the success of our business to date and to assess our future viability.</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very early in our development efforts. If we are unable to advance our product candidates into and through clinical development, obtain regulatory approval and ultimately commercialize our product candidates, or experience significant delays in doing so, our business will be materially harmed.</w:t>
      </w:r>
    </w:p>
    <w:p>
      <w:pPr>
        <w:spacing w:after="0" w:line="75"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initial product candidates, camonsertib and RP-6306. If we or our collaborators, are unable to obtain regulatory approval for, and successfully commercialize, products developed through the application of our SNIPRx platform, our business may be materially harmed.</w:t>
      </w:r>
    </w:p>
    <w:p>
      <w:pPr>
        <w:spacing w:after="0" w:line="78" w:lineRule="exact"/>
        <w:rPr>
          <w:rFonts w:ascii="Arial" w:cs="Arial" w:eastAsia="Arial" w:hAnsi="Arial"/>
          <w:sz w:val="18"/>
          <w:szCs w:val="18"/>
          <w:color w:val="auto"/>
        </w:rPr>
      </w:pPr>
    </w:p>
    <w:p>
      <w:pPr>
        <w:jc w:val="both"/>
        <w:ind w:left="1020" w:hanging="503"/>
        <w:spacing w:after="0" w:line="27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health epidemics, including the ongoing COVID-19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and at our clinical trial sites, as well as the business or operations of our CROs or other third parties with whom we conduct business.</w:t>
      </w:r>
    </w:p>
    <w:p>
      <w:pPr>
        <w:spacing w:after="0" w:line="63"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enrolling patients could delay or prevent clinical trials of our product candidates. We may find it difficult to enroll patients in our ongoing and planned clinical trials with the genomic alterations that these trials are designed to target.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developing or commercializing drugs before or more successfully than us.</w:t>
      </w:r>
    </w:p>
    <w:p>
      <w:pPr>
        <w:spacing w:after="0" w:line="128" w:lineRule="exact"/>
        <w:rPr>
          <w:rFonts w:ascii="Arial" w:cs="Arial" w:eastAsia="Arial" w:hAnsi="Arial"/>
          <w:sz w:val="17"/>
          <w:szCs w:val="17"/>
          <w:color w:val="auto"/>
        </w:rPr>
      </w:pPr>
    </w:p>
    <w:p>
      <w:pPr>
        <w:jc w:val="both"/>
        <w:ind w:left="102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develop new products and product candidates or compete successfully with respect to acquisitions, joint ventures, licenses or other collaboration opportunities, our ability to continue to expand our product pipeline and our growth and development would be impaired.</w:t>
      </w:r>
    </w:p>
    <w:p>
      <w:pPr>
        <w:spacing w:after="0" w:line="15" w:lineRule="exact"/>
        <w:rPr>
          <w:rFonts w:ascii="Arial" w:cs="Arial" w:eastAsia="Arial" w:hAnsi="Arial"/>
          <w:sz w:val="16"/>
          <w:szCs w:val="16"/>
          <w:color w:val="auto"/>
        </w:rPr>
      </w:pPr>
    </w:p>
    <w:p>
      <w:pPr>
        <w:jc w:val="both"/>
        <w:ind w:left="1020" w:hanging="503"/>
        <w:spacing w:after="0" w:line="30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left="503" w:hanging="503"/>
        <w:spacing w:after="0" w:line="263"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75"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common shares has been and is likely to continue to be volatile and fluctuate substantially.</w:t>
      </w:r>
    </w:p>
    <w:p>
      <w:pPr>
        <w:spacing w:after="0" w:line="225"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2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This Annual Report on Form 10-K, or Annual Report, contains forward-looking statements about us and our industry that involve substantial risks and uncertainties. All statements other than statements of historical facts contained in this Annual Report,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Annual Report include, among other things, statements about:</w:t>
      </w:r>
    </w:p>
    <w:p>
      <w:pPr>
        <w:spacing w:after="0" w:line="117" w:lineRule="exact"/>
        <w:rPr>
          <w:sz w:val="20"/>
          <w:szCs w:val="20"/>
          <w:color w:val="auto"/>
        </w:rPr>
      </w:pPr>
    </w:p>
    <w:p>
      <w:pPr>
        <w:ind w:left="1020" w:hanging="503"/>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regulatory approval of RP-6306 and any of our other current and future product candidates that we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or pandemic, such as the coronavirus disease, or COVID-19, pandemic;</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evolving impact of the COVID-19 pandemic and any variants on our operations, the continuity of our business, including our preclinical studies and clinical trials, supply chains, general economic conditions and our ability to raise additional capital;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enroll patients in clinical trials, to timely and successfully complete those trials and to receive necessary regulatory approvals;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completion of enrollment and availability of data from our current preclinical studies and clinical trials, including our Phase 1 clinical trials of RP-6306;</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timing of filings with regulatory authorities for any product candidates that we develop;</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rate and degree of market acceptance for any product candidates that we develop, including other current and future product candidates that we develop;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receive any milestone or royalty payments under our collaboration and license agreements;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 with respect to RP-6306, camonsertib or any of our other current or future product candidates, as well as innovations by current and future competitors in our industry;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 in this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509"/>
        <w:spacing w:after="0" w:line="269" w:lineRule="auto"/>
        <w:rPr>
          <w:sz w:val="20"/>
          <w:szCs w:val="20"/>
          <w:color w:val="auto"/>
        </w:rPr>
      </w:pPr>
      <w:r>
        <w:rPr>
          <w:rFonts w:ascii="Arial" w:cs="Arial" w:eastAsia="Arial" w:hAnsi="Arial"/>
          <w:sz w:val="17"/>
          <w:szCs w:val="17"/>
          <w:color w:val="auto"/>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the COVID-19 pandemic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 concerning these risks and other factors that may affect our business and operating results in this Annual Report.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initial product candidate, camonsertib (RP-3500 or RG6526), a potent and selective oral small molecule inhibitor of ATR (Ataxia-Telangiectasia and Rad3-related protein kinase) for the treatment of solid tumors with specific DNA damage repair-related genomic alterations, including those in the ATM gene (ataxia telangiectasia mutated kinase). In July 2020, we began dosing patients in our Phase 1/2 TRESR (Treatment Enabled by SNIPRx) clinical trial of camonsertib in advanced solid tumors and, in August 2021, we began dosing patients in our Phase 1b/2 ATTACC clinical trial of camonsertib to evaluate the safety and efficacy of camonsertib in combination with approved poly (ADP-ribose) polymerase, or PARP, inhibitors, olaparib and niraparib, in patients with molecularly selected cancers. We signed a worldwide license and collaboration agreement with Roche for the development and commercialization of camonsertib in June 2022, which resulted in a $125 million upfront payment and up to an additional $1.172 billion in potential development, regulatory, commercial and sales milestones, plus royalties on global net product sales.</w:t>
      </w:r>
    </w:p>
    <w:p>
      <w:pPr>
        <w:spacing w:after="0" w:line="1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April 2021, we initiated our Phase 1 MYTHIC clinical trial for RP-6306, our PKMYT1 (Protein Kinase Membrane-associated tyrosine- and threonine- specific cdc-2 inhibitory kinase) SL inhibitor, as a monotherapy for the treatment of molecularly selected advanced solid tumors, and anticipate early Phase 1 read-outs from the trial in the first half of 2023. We initiated Phase 1 combination studies of RP-6306 with gemcitabine (MAGNETIC) in December 2021, camonsertib (MYTHIC) in May 2022, and FOLFIRI (MINOTAUR) in August 2022, each for the treatment of molecularly selected advanced solid tumors, and anticipate providing an update on some of these combination studies in the fourth quarter of 2023. In the fourth quarter of 2022, we received fast track designation for RP-6306 in combination with gemcitabine for the treatment of adult patients with CCNE1 amplified, or FBXW7, or PPP2R1A mutated platinum resistant ovarian cancer. Based on promising preclinical data released at the 34th EORTC-NCI-AACR Symposium in October 2022, we are working with clinical investigators to initiate clinical testing, as part of an investigator-sponsored trial (IST), of a fourth new RP-6306 combination with carboplatin, with first patient dosing expected in the first half of 2023. In the fourth quarter of 2022, we entered into an agreement with Canadian Cancer Trials Group, or CCTG, for a planned, basket Phase 2 IST to evaluate RP-6306 in patients with selected, advanced cancers receiving standard agents. We plan to modify the trial to include a sub-study, which will evaluate RP-6306 in combination with gemcitabine in patients with CD4/6i-resistant ER+/HER2- metastatic breast cancer.</w:t>
      </w:r>
    </w:p>
    <w:p>
      <w:pPr>
        <w:spacing w:after="0" w:line="17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continue to focus on the advancement of our preclinical programs into clinical development. We expect to initiate IND-enabling studies in the first half of 2023 for a small molecule against an undisclosed target with potential to enter the clinic in late 2023 or early 2024, which represents an acceleration from our prior expectations for this program. We are also pursuing development of an inhibitor of polymerase theta (Polθ) in collaboration with Ono, as Polθ is SL with multiple gene deficiencies found in tumors, including BRCA alterations. In 2022, we selected a proposed inhibitor, which we designated as RP-2119. In February 2023, based on our review of ongoing preclinical studies, we elected to prioritize other Polθ inhibiting compounds in our preclinical development portfolio, which we believe have a higher probability for clinical impact relative to RP-2119. We are now guiding toward clinical entry for a Polθ inhibitor in 2024.</w:t>
      </w:r>
    </w:p>
    <w:p>
      <w:pPr>
        <w:spacing w:after="0" w:line="1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Enhanced benefit-risk profile</w:t>
      </w:r>
      <w:r>
        <w:rPr>
          <w:rFonts w:ascii="Arial" w:cs="Arial" w:eastAsia="Arial" w:hAnsi="Arial"/>
          <w:sz w:val="17"/>
          <w:szCs w:val="17"/>
          <w:color w:val="auto"/>
        </w:rPr>
        <w:t>, by precisely targeting tumor cells with the defined mutation while sparing normal, non-cancerous cells;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initial product candidate, camonsertib,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camonsertib in our preclinical models. We believe that the preclinical selectivity and pharmacokinetic properties of camonsertib support the profile of a differentiated therapy with the potential to enhance anti-tumor activity as compared to third party ATR inhibitors currently in development. Based on our preclinical studies, we believe camonsertib has the potential to provide therapeutic benefit to identified patient populations both as a monotherapy and in combination with other therapies such as poly (ADP-ribose) polymerase, or PARP, inhibitors.</w:t>
      </w:r>
    </w:p>
    <w:p>
      <w:pPr>
        <w:spacing w:after="0" w:line="18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are developing a portfolio of product candidates based on targets identified using our SNIPRx platform to treat cancers with a high unmet medical need. Our second designated program, RP-6306, is focused on a novel target we discovered to be SL with amplification of cyclin E1, or CCNE1, or deleterious alterations in FBXW7, or PPP2R1A in tumors such as gynecological, colorectal and upper gastrointestinal malignancies.</w:t>
      </w:r>
    </w:p>
    <w:p>
      <w:pPr>
        <w:spacing w:after="0" w:line="1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core of our SNIPRx platform is the ability to identify both known and novel SL targets. 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 set of clinically relevant tumor genomic alterations, which we refer to as tumor lesions, that are linked to genomic instability. The initial tumor lesions are present in approximately 30% of tumors. For each of these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or STEP</w:t>
      </w:r>
      <w:r>
        <w:rPr>
          <w:rFonts w:ascii="Arial" w:cs="Arial" w:eastAsia="Arial" w:hAnsi="Arial"/>
          <w:sz w:val="23"/>
          <w:szCs w:val="23"/>
          <w:color w:val="auto"/>
          <w:vertAlign w:val="superscript"/>
        </w:rPr>
        <w:t>2</w:t>
      </w:r>
      <w:r>
        <w:rPr>
          <w:rFonts w:ascii="Arial" w:cs="Arial" w:eastAsia="Arial" w:hAnsi="Arial"/>
          <w:sz w:val="17"/>
          <w:szCs w:val="17"/>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 leader in developing innovative SL therapies and have built our SNIPRx platform based on three primary pillars:</w:t>
      </w:r>
    </w:p>
    <w:p>
      <w:pPr>
        <w:spacing w:after="0" w:line="117" w:lineRule="exact"/>
        <w:rPr>
          <w:sz w:val="20"/>
          <w:szCs w:val="20"/>
          <w:color w:val="auto"/>
        </w:rPr>
      </w:pPr>
    </w:p>
    <w:p>
      <w:pPr>
        <w:ind w:left="1020" w:hanging="503"/>
        <w:spacing w:after="0" w:line="277" w:lineRule="auto"/>
        <w:tabs>
          <w:tab w:leader="none" w:pos="10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alterations in tumors with high unmet medical need;</w:t>
      </w:r>
    </w:p>
    <w:p>
      <w:pPr>
        <w:spacing w:after="0" w:line="62" w:lineRule="exact"/>
        <w:rPr>
          <w:rFonts w:ascii="Arial" w:cs="Arial" w:eastAsia="Arial" w:hAnsi="Arial"/>
          <w:sz w:val="18"/>
          <w:szCs w:val="18"/>
          <w:b w:val="1"/>
          <w:bCs w:val="1"/>
          <w:i w:val="1"/>
          <w:iCs w:val="1"/>
          <w:color w:val="auto"/>
        </w:rPr>
      </w:pPr>
    </w:p>
    <w:p>
      <w:pPr>
        <w:ind w:left="1020" w:hanging="503"/>
        <w:spacing w:after="0"/>
        <w:tabs>
          <w:tab w:leader="none" w:pos="10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21" w:lineRule="exact"/>
        <w:rPr>
          <w:rFonts w:ascii="Arial" w:cs="Arial" w:eastAsia="Arial" w:hAnsi="Arial"/>
          <w:sz w:val="18"/>
          <w:szCs w:val="18"/>
          <w:b w:val="1"/>
          <w:bCs w:val="1"/>
          <w:i w:val="1"/>
          <w:iCs w:val="1"/>
          <w:color w:val="auto"/>
        </w:rPr>
      </w:pPr>
    </w:p>
    <w:p>
      <w:pPr>
        <w:ind w:left="1020" w:hanging="503"/>
        <w:spacing w:after="0" w:line="232" w:lineRule="auto"/>
        <w:tabs>
          <w:tab w:leader="none" w:pos="10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population based on the additional genomic alterations identified by our proprietary STEP</w:t>
      </w:r>
      <w:r>
        <w:rPr>
          <w:rFonts w:ascii="Arial" w:cs="Arial" w:eastAsia="Arial" w:hAnsi="Arial"/>
          <w:sz w:val="24"/>
          <w:szCs w:val="24"/>
          <w:color w:val="auto"/>
          <w:vertAlign w:val="super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 with our inhibitors.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48895</wp:posOffset>
            </wp:positionV>
            <wp:extent cx="5349240" cy="254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now at Memorial Sloan Kettering Cancer Center and Frank Sicheri, Ph.D. at the Lunenfeld-Tanenbaum Research Institute, also played a key role in the development of our company.</w:t>
      </w:r>
    </w:p>
    <w:p>
      <w:pPr>
        <w:spacing w:after="0" w:line="1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GSK, Merck, Eli Lilly and Company, Bicycle Therapeutics, Y-mAbs Therapeutics, Santhera Pharmaceuticals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58" w:lineRule="exact"/>
        <w:rPr>
          <w:sz w:val="20"/>
          <w:szCs w:val="20"/>
          <w:color w:val="auto"/>
        </w:rPr>
      </w:pPr>
    </w:p>
    <w:p>
      <w:pPr>
        <w:jc w:val="both"/>
        <w:ind w:left="102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Advance our initial product candidate, camonsertib, by completing ongoing clinical development and supporting collaboration partner Roche in driving broad global development and commercialization. </w:t>
      </w:r>
      <w:r>
        <w:rPr>
          <w:rFonts w:ascii="Arial" w:cs="Arial" w:eastAsia="Arial" w:hAnsi="Arial"/>
          <w:sz w:val="18"/>
          <w:szCs w:val="18"/>
          <w:color w:val="auto"/>
        </w:rPr>
        <w:t>We designed camonsertib to have a highly selective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 profile that may enable it to be a leading inhibitor of ATR, if approved, that is further leveraged by our differentiated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patient selection approach. In July 2020, we began monotherapy dosing in our open-label Phase 1/2 clinical trial. In parallel with the monotherapy dose-escalation portion of the trial, in February 2021, we initiated patient recruitment of the combination therapy arm to evaluate the safety and efficacy 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left="503"/>
        <w:spacing w:after="0" w:line="254" w:lineRule="auto"/>
        <w:rPr>
          <w:sz w:val="20"/>
          <w:szCs w:val="20"/>
          <w:color w:val="auto"/>
        </w:rPr>
      </w:pPr>
      <w:r>
        <w:rPr>
          <w:rFonts w:ascii="Arial" w:cs="Arial" w:eastAsia="Arial" w:hAnsi="Arial"/>
          <w:sz w:val="18"/>
          <w:szCs w:val="18"/>
          <w:color w:val="auto"/>
        </w:rPr>
        <w:t>camonsertib in combination with a PARP inhibitor, talazoparib in the same patient subgroups. In August 2021, we initiated patient recruitment in our open-label Phase 1b/2 ATTACC trial of camonsertib in combination with niraparib and olaparib, two additional PARP inhibitors. In October 2021, we presented initial Phase 1 monotherapy clinical data from our open-label Phase 1/2 TRESR trial of camonsertib in patients with solid tumors. We then presented comprehensive Phase 1 monotherapy clinical data from this trial in April 2022. In June 2022, we announced a worldwide license and collaboration agreement with Roche for the development and commercialization of camonsertib for the treatment of tumors with specific synthetic-lethal genomic alterations. Under the terms of collaboration, Roche assumes all subsequent development of camonsertib with the potential to expand development into additional tumor indications and multiple combination studies.</w:t>
      </w:r>
    </w:p>
    <w:p>
      <w:pPr>
        <w:spacing w:after="0" w:line="84" w:lineRule="exact"/>
        <w:rPr>
          <w:sz w:val="20"/>
          <w:szCs w:val="20"/>
          <w:color w:val="auto"/>
        </w:rPr>
      </w:pPr>
    </w:p>
    <w:p>
      <w:pPr>
        <w:jc w:val="both"/>
        <w:ind w:left="503" w:hanging="503"/>
        <w:spacing w:after="0" w:line="282" w:lineRule="auto"/>
        <w:tabs>
          <w:tab w:leader="none" w:pos="503"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Advance RP-6306 through clinical development by leveraging our differentiated STEP</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patient selection approach. </w:t>
      </w:r>
      <w:r>
        <w:rPr>
          <w:rFonts w:ascii="Arial" w:cs="Arial" w:eastAsia="Arial" w:hAnsi="Arial"/>
          <w:sz w:val="16"/>
          <w:szCs w:val="16"/>
          <w:color w:val="auto"/>
        </w:rPr>
        <w:t>We designed RP-6306 to be a first-in-class, highly selective and potent small-molecule, oral inhibitor of PKMYT1, which is a novel target that we discovered to be synthetic lethal with CCNE1 amplification and other deleterious genetic alterations. In April 2021, we began dosing patients in our open-label Phase 1 MYTHIC trial of RP-6306 designed to evaluate the safety and tolerability of RP-6306 in advanced solid tumors that are characterized by genomic alterations predicted by our SNIPRx platform to be sensitive to RP-6306. In December 2021, we enrolled the first patient in our open-label Phase 1 MAGNETIC trial to evaluate the safety and tolerability of RP-6306 in combination with gemcitabine. In January 2022, we initiated patient recruitment in our open-label Phase 1 MINOTAUR trial to evaluate the safety and tolerability of RP-6306 in combination with FOLFIRI. In May 2022, we initiated patient recruitment in a new arm of the Phase 1 MYTHIC clinical trial, which is designed to evaluate the safety and tolerability of RP-6306 in combination with camonsertib in patients with advanced solid tumors. In the fourth quarter of 2022, we received fast track designation for RP-6306 in combination with gemcitabine for the treatment of adult patients with CCNE1 amplified, or FBXW7 or PPP2R1A mutated platinum resistant ovarian cancer. Based on promising preclinical data released at the 34th EORTC-NCI-AACR Symposium in October 2022, we are working with clinical investigators to initiate clinical testing of a new carboplatin combination with RP-6306 that is expected to dose the first patient in the first half of 2023. In the fourth quarter of 2022, we entered into an agreement with CCTG for a planned, basket Phase 2 IST to evaluate RP-6306 in patients with selected, advanced cancers receiving standard agents. A sub-study under the master protocol will evaluate RP-6306 in combination with gemcitabine in patients with CD4/6i-resistant ER+/HER2- metastatic breast cancer. We plan to provide an initial Phase 1 clinical data readout for RP-6306 in the first half of 2023 for monotherapy, and anticipate providing an update on some of the combination studies in the fourth quarter of 2023.</w:t>
      </w:r>
    </w:p>
    <w:p>
      <w:pPr>
        <w:spacing w:after="0" w:line="59" w:lineRule="exact"/>
        <w:rPr>
          <w:rFonts w:ascii="Arial" w:cs="Arial" w:eastAsia="Arial" w:hAnsi="Arial"/>
          <w:sz w:val="16"/>
          <w:szCs w:val="16"/>
          <w:color w:val="auto"/>
        </w:rPr>
      </w:pPr>
    </w:p>
    <w:p>
      <w:pPr>
        <w:jc w:val="both"/>
        <w:ind w:left="503" w:hanging="503"/>
        <w:spacing w:after="0" w:line="288" w:lineRule="auto"/>
        <w:tabs>
          <w:tab w:leader="none" w:pos="503"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Continue to advance our preclinical programs into clinical development</w:t>
      </w:r>
      <w:r>
        <w:rPr>
          <w:rFonts w:ascii="Arial" w:cs="Arial" w:eastAsia="Arial" w:hAnsi="Arial"/>
          <w:sz w:val="16"/>
          <w:szCs w:val="16"/>
          <w:color w:val="auto"/>
        </w:rPr>
        <w:t>. In addition to camonsertib and RP-6306, we have several</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in preclinical development. We expect to initiate IND-enabling studies in the first half of 2023 for a small molecule against an undisclosed target with potential to enter the clinic in late 2023 or early 2024, which represents an acceleration from our prior expectations for this program. We are also pursuing development of an inhibitor of polymerase theta (Polθ) in collaboration with Ono, as Polθ is SL with multiple gene deficiencies found in tumors, including BRCA alterations. In 2022, we selected a proposed inhibitor, which we designated as RP-2119, and initiated IND-enabling studies. In January 2023, we amended our research services, license and collaboration agreement, or the Ono Agreement, with Ono Pharmaceutical Co., Ltd., or Ono, to extend the research term until July 31, 2023. In the first quarter of 2023, we received an approximate $1.5 million (¥200 million) research service payment from Ono due to the achievement of a specified research trigger for our Polθ program, under the companies’ 2019 agreement. In February 2023, based on our review of ongoing preclinical studies, we elected to prioritize other Polθ inhibiting compounds in our preclinical development portfolio, which we believe have a higher probability for clinical impact relative to RP-2119. We are now guiding toward clinical entry for a Polθ inhibitor in 2024.</w:t>
      </w:r>
    </w:p>
    <w:p>
      <w:pPr>
        <w:spacing w:after="0" w:line="55" w:lineRule="exact"/>
        <w:rPr>
          <w:rFonts w:ascii="Arial" w:cs="Arial" w:eastAsia="Arial" w:hAnsi="Arial"/>
          <w:sz w:val="16"/>
          <w:szCs w:val="16"/>
          <w:color w:val="auto"/>
        </w:rPr>
      </w:pPr>
    </w:p>
    <w:p>
      <w:pPr>
        <w:jc w:val="both"/>
        <w:ind w:left="503" w:hanging="503"/>
        <w:spacing w:after="0" w:line="262"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Extend our leading position in SL drug discovery</w:t>
      </w:r>
      <w:r>
        <w:rPr>
          <w:rFonts w:ascii="Arial" w:cs="Arial" w:eastAsia="Arial" w:hAnsi="Arial"/>
          <w:sz w:val="18"/>
          <w:szCs w:val="18"/>
          <w:color w:val="auto"/>
        </w:rPr>
        <w:t>. We have systematically analyzed genomic data from approximately 60,000 tumor</w:t>
      </w:r>
      <w:r>
        <w:rPr>
          <w:rFonts w:ascii="Arial" w:cs="Arial" w:eastAsia="Arial" w:hAnsi="Arial"/>
          <w:sz w:val="18"/>
          <w:szCs w:val="18"/>
          <w:b w:val="1"/>
          <w:bCs w:val="1"/>
          <w:color w:val="auto"/>
        </w:rPr>
        <w:t xml:space="preserve"> </w:t>
      </w:r>
      <w:r>
        <w:rPr>
          <w:rFonts w:ascii="Arial" w:cs="Arial" w:eastAsia="Arial" w:hAnsi="Arial"/>
          <w:sz w:val="18"/>
          <w:szCs w:val="18"/>
          <w:color w:val="auto"/>
        </w:rPr>
        <w:t>samples and have identified a set of tumor lesions that are linked to genomic instability. This current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screens to expand</w:t>
      </w:r>
    </w:p>
    <w:p>
      <w:pPr>
        <w:spacing w:after="0" w:line="122"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10" w:name="page11"/>
    <w:bookmarkEnd w:id="10"/>
    <w:p>
      <w:pPr>
        <w:ind w:left="1020" w:right="20"/>
        <w:spacing w:after="0" w:line="308" w:lineRule="auto"/>
        <w:rPr>
          <w:sz w:val="20"/>
          <w:szCs w:val="20"/>
          <w:color w:val="auto"/>
        </w:rPr>
      </w:pPr>
      <w:r>
        <w:rPr>
          <w:rFonts w:ascii="Arial" w:cs="Arial" w:eastAsia="Arial" w:hAnsi="Arial"/>
          <w:sz w:val="17"/>
          <w:szCs w:val="17"/>
          <w:color w:val="auto"/>
        </w:rPr>
        <w:t>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34" w:lineRule="exact"/>
        <w:rPr>
          <w:sz w:val="20"/>
          <w:szCs w:val="20"/>
          <w:color w:val="auto"/>
        </w:rPr>
      </w:pPr>
    </w:p>
    <w:p>
      <w:pPr>
        <w:jc w:val="both"/>
        <w:ind w:left="1020" w:hanging="503"/>
        <w:spacing w:after="0" w:line="274"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Opportunistically pursue strategic partnerships to maximize the full potential of our pipeline and SNIPRx platform</w:t>
      </w:r>
      <w:r>
        <w:rPr>
          <w:rFonts w:ascii="Arial" w:cs="Arial" w:eastAsia="Arial" w:hAnsi="Arial"/>
          <w:sz w:val="17"/>
          <w:szCs w:val="17"/>
          <w:color w:val="auto"/>
        </w:rPr>
        <w:t>. The large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regularly evaluate the potential of partnerships and other collaborative efforts to maximize the long-term value of our portfolio. We believe our collaboration with Bristol Myers Squibb highlights the potential broad application of our platform in the search for the next generation of precision oncology medicines.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Targeted Oncology Therapeutics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first-generation of approved targeted therapies were predominately directed at driver mutations, which target specific types of receptor tyrosine kinases, such as, bcr-abl, EGFR and HER2, and have largely represented the focus of the targeted oncology sector for the last 20 years. A rapid evolution in the understanding of tumor biology coupled with an improved ability to segment subsets of tumors based on genomic alterations have led to the development of new generations of targeted cancer therapies for a variety of additional tumor-specific genomic abnormalities.</w:t>
      </w:r>
    </w:p>
    <w:p>
      <w:pPr>
        <w:spacing w:after="0" w:line="17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Targeting DNA repair genes and specifically loss of function alterations is an emerging area of research with PARP inhibitors pioneering the field. The growing number of compounds in development and multiple clinical studies have begun to reveal patterns of clinical benefit alone and in combination with several other agents. We expect both monotherapy and combination trials with these agents to emerge quickly and reshape the therapeutic landscape across many disease areas. Consistent with this trend and the specific cell cycle-related mechanisms of action for our lead assets, we have initiated comprehensive development plans for camonsertib and RP-6306 alone or in combination with multiple agents.</w:t>
      </w:r>
    </w:p>
    <w:p>
      <w:pPr>
        <w:spacing w:after="0" w:line="17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speed at which the field has identified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gain-of-function targets, such as EGFR. These include both gain-of-function alterations, such as CCNE1, as well as loss-of-function alterations, such as BRCA1. In June 2019, the New England Journal of Medicine referred to SL as a particularly attractive means to target the complex and gene-network oriented relationships associated with this previously undiscovered domain of oncology targets.</w:t>
      </w:r>
    </w:p>
    <w:p>
      <w:pPr>
        <w:spacing w:after="0" w:line="16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58" w:lineRule="exact"/>
        <w:rPr>
          <w:sz w:val="20"/>
          <w:szCs w:val="20"/>
          <w:color w:val="auto"/>
        </w:rPr>
      </w:pPr>
    </w:p>
    <w:p>
      <w:pPr>
        <w:ind w:left="1020" w:hanging="503"/>
        <w:spacing w:after="0" w:line="28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53" w:lineRule="exact"/>
        <w:rPr>
          <w:rFonts w:ascii="Arial" w:cs="Arial" w:eastAsia="Arial" w:hAnsi="Arial"/>
          <w:sz w:val="18"/>
          <w:szCs w:val="18"/>
          <w:color w:val="auto"/>
        </w:rPr>
      </w:pPr>
    </w:p>
    <w:p>
      <w:pPr>
        <w:ind w:left="1020" w:hanging="503"/>
        <w:spacing w:after="0" w:line="28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 and</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synthesize new genetic data on tens of thousands of tumors; and</w:t>
      </w:r>
    </w:p>
    <w:p>
      <w:pPr>
        <w:spacing w:after="0" w:line="53" w:lineRule="exact"/>
        <w:rPr>
          <w:rFonts w:ascii="Arial" w:cs="Arial" w:eastAsia="Arial" w:hAnsi="Arial"/>
          <w:sz w:val="18"/>
          <w:szCs w:val="18"/>
          <w:color w:val="auto"/>
        </w:rPr>
      </w:pPr>
    </w:p>
    <w:p>
      <w:pPr>
        <w:ind w:left="1020" w:hanging="503"/>
        <w:spacing w:after="0" w:line="28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of genetic networks underlying cancer biology.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Synthetic Lethality Opportunity and Challenge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Synthetic lethality is a powerful approach and opportunity in oncology drug development that combines two key principles in treating patients with cancer through precision oncology: (1) identifying and selecting patient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subgroups with specific genomic alterations in tumors that are most likely to benefit from these therapies and (2) improving tolerability and reducing toxicity by not affecting normal, non-cancerous cells.</w:t>
      </w:r>
    </w:p>
    <w:p>
      <w:pPr>
        <w:spacing w:after="0" w:line="1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16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240030</wp:posOffset>
            </wp:positionV>
            <wp:extent cx="4997450" cy="254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74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 these pathways, preventing DNA repair in cancer cells with a BRCA1/2 alteration and resulting in cancer cell death while sparing normal cells. Multiple PARP inhibitors, including olaparib (AstraZeneca), niraparib (GlaxoSmithKline), talazoparib (Pfizer), rucaparib (Clovis) and pamiparib (Beigene), have been approved for the treatment of tumors with BRCA and other DNA damage repair alterations, including ovarian, breast, prostate and pancreatic cancers.</w:t>
      </w:r>
    </w:p>
    <w:p>
      <w:pPr>
        <w:spacing w:after="0" w:line="19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240030</wp:posOffset>
            </wp:positionV>
            <wp:extent cx="5349240" cy="2031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1. Select tumor lesion of interest.</w:t>
      </w:r>
    </w:p>
    <w:p>
      <w:pPr>
        <w:spacing w:after="0" w:line="11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i w:val="1"/>
          <w:iCs w:val="1"/>
          <w:color w:val="auto"/>
        </w:rPr>
        <w:t>Apply our deep understanding of tumor lesions with a bias for alterations associated with genomic instability and cancers with high unmet medical need.</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 Execute SNIPRx screen campaign.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Utilize our SNIPRx screening technology to identify target gene candidates that induce SL in the context of our set of tumor lesions.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For each of the tumor lesions we identified, each of which we refer to as an original tumor lesion, we have completed a screen campaign utilizing CRISPR technology and other tools to create proprietary isogenic 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3. Prioritize, select, and validate druggable targets.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Evaluate the multiple SL targets identified for each original tumor lesion.</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Our screen campaigns result in the identification of multiple SL targets for each original tumor lesion. We prioritize and select targets to advance into drug discovery based on a systematic and proprietary set of criteria, which include thresholds for biological validation, cellular function, known and likely toxicity, druggability with small molecules, patentability, and the potential for clinical impact versus alternative therapies. Our processes include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genetic,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validation of targets and comprehensive development of tool compounds for initial pharmacological corroboration.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4. Develop potent and selective inhibitors.</w:t>
      </w:r>
    </w:p>
    <w:p>
      <w:pPr>
        <w:spacing w:after="0" w:line="11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i w:val="1"/>
          <w:iCs w:val="1"/>
          <w:color w:val="auto"/>
        </w:rPr>
        <w:t>Develop small molecule product candidates that are highly potent and selective and advance them from lead discovery through the identification of a clinical candidate.</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facilities to internally drive translational studies for human clinical trials. We believe these capabilities were demonstrated in the discovery and development of camonsertib and RP-6306.</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5. Perform SNIPRx Targeted Expansion of Patient Populations (STEP</w:t>
      </w:r>
      <w:r>
        <w:rPr>
          <w:rFonts w:ascii="Arial" w:cs="Arial" w:eastAsia="Arial" w:hAnsi="Arial"/>
          <w:sz w:val="24"/>
          <w:szCs w:val="24"/>
          <w:b w:val="1"/>
          <w:bCs w:val="1"/>
          <w:i w:val="1"/>
          <w:iCs w:val="1"/>
          <w:color w:val="auto"/>
          <w:vertAlign w:val="superscript"/>
        </w:rPr>
        <w:t>2</w:t>
      </w:r>
      <w:r>
        <w:rPr>
          <w:rFonts w:ascii="Arial" w:cs="Arial" w:eastAsia="Arial" w:hAnsi="Arial"/>
          <w:sz w:val="18"/>
          <w:szCs w:val="18"/>
          <w:b w:val="1"/>
          <w:bCs w:val="1"/>
          <w:i w:val="1"/>
          <w:iCs w:val="1"/>
          <w:color w:val="auto"/>
        </w:rPr>
        <w:t>) screens.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Expand our potential patient populations beyond those identified by the original SL pair.</w:t>
      </w:r>
    </w:p>
    <w:p>
      <w:pPr>
        <w:spacing w:after="0" w:line="12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Once we have identified a clinical candidate,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utilize a set of cell lines that, when treated with our clinical candidate, elucidate genes that, when knocked down, cause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6. Conduct clinical trials in an enriched patient population.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Design our clinical trials for efficient clinical development.</w:t>
      </w:r>
    </w:p>
    <w:p>
      <w:pPr>
        <w:spacing w:after="0" w:line="11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For our clinical trials, we plan to enroll patients with tumors that contain either the original tumor lesion or any one of the genomic alterations identified by our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SNIPRx Platform</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believe that our platform and approach provide many key advantages as highlighted below.</w:t>
      </w:r>
    </w:p>
    <w:p>
      <w:pPr>
        <w:spacing w:after="0" w:line="58" w:lineRule="exact"/>
        <w:rPr>
          <w:sz w:val="20"/>
          <w:szCs w:val="20"/>
          <w:color w:val="auto"/>
        </w:rPr>
      </w:pPr>
    </w:p>
    <w:p>
      <w:pPr>
        <w:jc w:val="both"/>
        <w:ind w:left="1020" w:hanging="503"/>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Designed to Address Previously Untargetable Tumor Biology. </w:t>
      </w:r>
      <w:r>
        <w:rPr>
          <w:rFonts w:ascii="Arial" w:cs="Arial" w:eastAsia="Arial" w:hAnsi="Arial"/>
          <w:sz w:val="18"/>
          <w:szCs w:val="18"/>
          <w:color w:val="auto"/>
        </w:rPr>
        <w:t>Oncology drug development has been primarily focused on genes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druggable alterations that confer new or enhanced protein activity, known as gain-of-function targets, such as EGFR. The remaining targets have historically been considered undruggable. These include both gain-of-function alterations, such as CCNE1, as well as loss-of-function alterations, such as BRCA1. Our SNIPRx platform has demonstrated an ability to identify novel SL relationships, including those that address previously untargetable tumor biology.</w:t>
      </w:r>
    </w:p>
    <w:p>
      <w:pPr>
        <w:spacing w:after="0" w:line="75"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Applies Our Proprietary Genome-wide Library. </w:t>
      </w:r>
      <w:r>
        <w:rPr>
          <w:rFonts w:ascii="Arial" w:cs="Arial" w:eastAsia="Arial" w:hAnsi="Arial"/>
          <w:sz w:val="18"/>
          <w:szCs w:val="18"/>
          <w:color w:val="auto"/>
        </w:rPr>
        <w:t>Genome-scale screens often identify many genes coding for the same protein complex or</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ind w:left="1020" w:hanging="503"/>
        <w:spacing w:after="0" w:line="273"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Utilizes Isogenic Cell Lines. </w:t>
      </w:r>
      <w:r>
        <w:rPr>
          <w:rFonts w:ascii="Arial" w:cs="Arial" w:eastAsia="Arial" w:hAnsi="Arial"/>
          <w:sz w:val="17"/>
          <w:szCs w:val="17"/>
          <w:color w:val="auto"/>
        </w:rPr>
        <w:t>We believe a key differentiator of our SNIPRx platform is the utilization of thoroughly characterized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63" w:lineRule="exact"/>
        <w:rPr>
          <w:rFonts w:ascii="Arial" w:cs="Arial" w:eastAsia="Arial" w:hAnsi="Arial"/>
          <w:sz w:val="17"/>
          <w:szCs w:val="17"/>
          <w:color w:val="auto"/>
        </w:rPr>
      </w:pPr>
    </w:p>
    <w:p>
      <w:pPr>
        <w:jc w:val="both"/>
        <w:ind w:left="1020" w:hanging="503"/>
        <w:spacing w:after="0" w:line="29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Focuses on Niche of Genomic Instability. </w:t>
      </w:r>
      <w:r>
        <w:rPr>
          <w:rFonts w:ascii="Arial" w:cs="Arial" w:eastAsia="Arial" w:hAnsi="Arial"/>
          <w:sz w:val="16"/>
          <w:szCs w:val="16"/>
          <w:color w:val="auto"/>
        </w:rPr>
        <w:t>Based on the well-established network of SL interactions in DNA synthesis and repair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6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SNIPRx Screen Campaign Identifies Both Known and Novel SL Pairs Undetected by Cancer Cell Line Panels</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b w:val="1"/>
          <w:bCs w:val="1"/>
          <w:i w:val="1"/>
          <w:iCs w:val="1"/>
          <w:color w:val="auto"/>
        </w:rPr>
        <w:t>A. 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237490</wp:posOffset>
            </wp:positionV>
            <wp:extent cx="3651885" cy="2168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5188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left="4280"/>
        <w:spacing w:after="0"/>
        <w:rPr>
          <w:sz w:val="20"/>
          <w:szCs w:val="20"/>
          <w:color w:val="auto"/>
        </w:rPr>
      </w:pPr>
      <w:r>
        <w:rPr>
          <w:rFonts w:ascii="Arial" w:cs="Arial" w:eastAsia="Arial" w:hAnsi="Arial"/>
          <w:sz w:val="18"/>
          <w:szCs w:val="18"/>
          <w:b w:val="1"/>
          <w:bCs w:val="1"/>
          <w:i w:val="1"/>
          <w:iCs w:val="1"/>
          <w:color w:val="auto"/>
        </w:rPr>
        <w:t>B. 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237490</wp:posOffset>
            </wp:positionV>
            <wp:extent cx="5288915" cy="127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889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Stage Product Candidates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Camonsertib, Also Known as RP-3500 or RG6526, an Oral ATR Inhibitor</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Our initial clinical-stage product candidate, camonsertib,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we believe that we have more precisely identified and expanded the patient populations that would benefit from camonsertib, which allows us to differentiate and enrich our clinical development strategy as well as address multiple types of solid tumors.</w:t>
      </w:r>
    </w:p>
    <w:p>
      <w:pPr>
        <w:spacing w:after="0" w:line="8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Camonsertib has demonstrated an optimized anti-tumor effect, selectivity, and pharmacokinetics profile in preclinical studies that we believe supports the potential for it to be a leading ATR inhibitor, if approved. We also conducted multiple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screens in which we confirmed the SL relationship between ATR and ATM and identified an additional 19 genes that are also SL with ATR, potentially expanding the patient populations that may benefit from our product candidate. In July 2020, we began dosing in our open-label Phase 1/2 clinical trial of camonsertib in patients with advanced tumors that have alterations in the ATM gene or a subset of 16 additional genetic alterations identified through our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screens. We believe the design of our trial allows us to enrich the patient population in our trials with those who are most likely to respond to camonsertib. In parallel with the monotherapy dose-escalation portion of the trial, in February 2021 we initiated patient recruitment of the combination therapy arm to evaluate the safety and efficacy of camonsertib in combination with a PARP inhibitor, talazoparib in the same patient subgroups. In August 2021, we initiated patient recruitment in our open-label Phase 1b/2 ATTACC trial of camonsertib in combination with niraparib and olaparib, two additional PARP inhibitors. In October 2021, we presented initial Phase 1 monotherapy clinical data from our open-label Phase 1/2 TRESR trial in patients with solid tumors at the AACRA-NCI-EORTC International Conference on Molecular Targets and Cancer Therapeutics. The presentation included the recommended Phase 2 dose and schedule choice and confirmed camonsertib activity in tumors with alterations hypothesized by our SNIPRx platform.</w:t>
      </w:r>
    </w:p>
    <w:p>
      <w:pPr>
        <w:spacing w:after="0" w:line="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April 2022, we presented comprehensive Phase 1 monotherapy clinical data from the TRESR Phase 1/2 trial, reflecting analysis of 120 patients, of which 99 patients were evaluable for efficacy as of the data cutoff date of February 14, 2022 (excluding one patient evaluated as of March 22, 2022). The study included 95 patients who received therapeutically active doses or at the recommended Phase 2 dose schedule of 3 days on / 4 days off, and reflecting the data cutoff of mid-February 2022. Monotherapy with camonsertib continued to appear safe and well tolerated. Anemia was the most common treatment-related adverse event and easily manageable. Only 24.2% of all patients in the 3 days on / 4 days off schedule experienced Grade 3 anemia, and none experienced Grade 4 anemia. Camonsertib monotherapy resulted in durable clinical benefit across tumor types and genomic alterations, with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67" w:lineRule="auto"/>
        <w:rPr>
          <w:sz w:val="20"/>
          <w:szCs w:val="20"/>
          <w:color w:val="auto"/>
        </w:rPr>
      </w:pPr>
      <w:r>
        <w:rPr>
          <w:rFonts w:ascii="Arial" w:cs="Arial" w:eastAsia="Arial" w:hAnsi="Arial"/>
          <w:sz w:val="17"/>
          <w:szCs w:val="17"/>
          <w:color w:val="auto"/>
        </w:rPr>
        <w:t>enriched benefit demonstrated in specific patient subsets. These updated monotherapy results showed a 43% clinical benefit rate, or CBR, which was defined as response or treatment duration of at least 16 weeks without progression, an overall response rate of 14%, and a median progression free survival, or mPFS, of 15 weeks in solid tumors across genotypes, with potential best-in-class safety and tolerability. The overall CBR in patients after PARP inhibitor failure was 47%. We observed camonsertib demonstrated robust activity in patients with ovarian cancer (n=20), demonstrating 75% CBR after dosing with camonsertib, an overall response rate of 25%, and a mPFS of 35 weeks. The ovarian cancer patient population was heavily pretreated and comprised a hard to treat population: of which 90% had previous treatment with PARP inhibitors and 85% were platinum resistant. The responders included one complete response, three partial responses as determined by RECIST 1.1 criteria, and one durable and ongoing CA-125 response in a patient with stable disease. The TRESR study comprises the largest set of tumors with detailed genomic analysis evaluated with ATR inhibitor, or ATRi, monotherapy. Genomic subsets of tumors beyond ATM included tumors harboring alterations in ATR-sensitizing genes, with responses observed in tumors harboring BRCA1/2, SETD2 and RAD51C alterations. In patients with BRCA1/2 mutated tumors (n = 37), response rate was 14% and included two patients with ovarian cancer, and one each with breast cancer, head and neck squamous cell carcinoma, and melanoma. In patients with tumors carrying BRCA1 mutations, the CBR was 48%. In patients with tumors with ATM loss-of-function, or LOF (n = 34), response rate was 9% including one RECIST 1.1 confirmed/unconfirmed response, and two prostate specific antigen responses. An additional patient with pancreatic cancer and ATM LOF had a late response, just after the data cutoff after 54 weeks of treatment. The CBR in the patients with ATM LOF was 44% and mPFS was 17 weeks. Sequencing data demonstrated biallelic gene LOF, an emerging biomarker for synthetic lethal therapies, could potentially be leveraged to further enrich for patients most likely to benefit from camonsertib. CBR in patients with biallelic LOF was significantly higher (47%) compared to the CBR in patients with non-biallelic tumors (15%).</w:t>
      </w:r>
    </w:p>
    <w:p>
      <w:pPr>
        <w:spacing w:after="0" w:line="29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June 2022, we announced a worldwide license and collaboration agreement with Roche for the development and commercialization of camonsertib for the treatment of tumors with specific synthetic-lethal genomic alterations. Under the terms of the collaboration, Roche assumes all subsequent development of camonsertib with the potential to expand development into additional tumor indications and multiple combination studies. Under the terms of the agreement, we received a $125 million upfront payment in July 2022, and are eligible to receive up to $1.2 billion in potential clinical, regulatory, commercial and sales milestones, including up to $55 million in potential near-term payments, and royalties on global net sales ranging from high-single-digits to high-teens. The collaboration also provides our company with the ability to opt-in to a 50/50 U.S. co-development and profit share arrangement, including participation in U.S. co-promotion if U.S. regulatory approval is received. If we choose to exercise the co-development and profit share option, we will continue to be eligible to receive certain clinical, regulatory, commercial and sales milestone payments, in addition to full ex-U.S. royalties.</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ATR Partner Genes and Proposed Synthetic Lethality Pairs</w:t>
      </w:r>
    </w:p>
    <w:p>
      <w:pPr>
        <w:spacing w:after="0" w:line="12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ATM is a DDR protein related to ATR that is responsible for sensing and signaling DNA double-strand breaks. Our ATR inhibitor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 campaigns confirmed that ATM-deficient cells rely on ATR activity for survival. ATM orchestrates the response to double-strand break repair and thus, ATM-deficient tumors have an impaired response to DNA breaks. SL screens conducted in our laboratories have identified that at least 16 additional genes are SL with ATR inhibition, making cancer cells that are deficient in those genes highly sensitive to killing by ATR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inhibitors. An overview of the ATM-ATR SL relationship, as one of the examples of the sensitivity genes, is illustrated below.</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240030</wp:posOffset>
            </wp:positionV>
            <wp:extent cx="3257550" cy="4954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755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gene encoding for ATM is frequently mutated in cancer. An analysis of sequence data collected as part of The Cancer Genome Atlas, or TCGA, found that between 1% and 4% of solid tumors, such as breast, bladder, pancreatic and lung cancers, have deficiencies in ATM, as depicted in the graphs below. Beyond ATM, 16 of 19 additional, mutually exclusive genomic alterations identified as SL with camonsertib, with average prevalence of approximately 10% across multiple tumors, were eligible for recruitment into clinical trials.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448945</wp:posOffset>
            </wp:positionV>
            <wp:extent cx="5349240" cy="1800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Clinical Validation of ATR Inhibitors in ATM-Deficient Tumors and in Other Genetic Backgrounds Hypothesized to Sensitize Tumors to ATRi</w:t>
      </w:r>
    </w:p>
    <w:p>
      <w:pPr>
        <w:spacing w:after="0" w:line="14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Early phase studies evaluating third party ATR inhibitors as a monotherapy support the rationale for prospective patient selection for tumors carrying genomic alterations hypothesized to sensitize tumors ATR inhibition. A Phase 1 of Bayer’s ATR inhibitor suggested antitumor activity in solid tumors with certain DDR defects, including ATM loss (Yap, Cancer Discovery 2020). The subsequent dose expansion cohort enrolled an additional 143 patients, prospectively selected for presence of DDR gene defects. While the overall response rate was low (4%), durable responses were observed in tumors with ATM or BRCA mutations (Yap, AACR 2022). In addition, out of a cohort of 17 patients receiving EMD’s ATR inhibitor, the single responder was a patient with metastatic colorectal cancer with loss of ATM (Yap, JCO 2020).</w:t>
      </w:r>
    </w:p>
    <w:p>
      <w:pPr>
        <w:spacing w:after="0" w:line="30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Phase 1/2 TRESR study prospectively selected for patients with tumors carrying DNA damage repair loss-of-function mutations predicted to sensitize to camonsertib. Following our first clinical data release at the AACR-ASCO-NCI meeting in October 2021, we presented comprehensive Phase 1 monotherapy data from this study at the AACR annual conference in April 2022. Camonsertib monotherapy resulted in durable responses across tumor types and genomic alterations, including ATM, BRCA1, BRCA2, RAD51C, CDK12, and SETD2. Antitumor activity was validated by molecular responses in 41% of evaluable patients.</w:t>
      </w:r>
    </w:p>
    <w:p>
      <w:pPr>
        <w:spacing w:after="0" w:line="29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June 2022, we announced a worldwide license and collaboration agreement with Roche for the development and commercialization of camonsertib, which provided further validation of our clinical program through the addition of a strategic partner with a leading global footprint and unique expertise in precision oncology.</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Solution, Camonsertib</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identified ATR as one of the SL targets through our SNIPRx screen campaign of ATM and selected ATR as a target for our initial product candidate, camonsertib, based on:</w:t>
      </w:r>
    </w:p>
    <w:p>
      <w:pPr>
        <w:spacing w:after="0" w:line="62"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existing third party clinical and preclinical support for the potential of ATR inhibition as a precision oncology therapy;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design an ATR inhibitor with enhanced chemical properties, such as potency and selectivity; and</w:t>
      </w:r>
    </w:p>
    <w:p>
      <w:pPr>
        <w:spacing w:after="0" w:line="121" w:lineRule="exact"/>
        <w:rPr>
          <w:rFonts w:ascii="Arial" w:cs="Arial" w:eastAsia="Arial" w:hAnsi="Arial"/>
          <w:sz w:val="18"/>
          <w:szCs w:val="18"/>
          <w:color w:val="auto"/>
        </w:rPr>
      </w:pPr>
    </w:p>
    <w:p>
      <w:pPr>
        <w:ind w:left="1020" w:right="20" w:hanging="503"/>
        <w:spacing w:after="0" w:line="232"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screens, which identified 19 additional genomic alterations beyond ATM deficiency to be SL with ATR, facilitating the expansion of the addressable patient populations.</w:t>
      </w:r>
    </w:p>
    <w:p>
      <w:pPr>
        <w:spacing w:after="0" w:line="20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designed camonsertib as an oral small molecule ATR inhibitor with increased potency and a similar or improved selectivity profile compared to other known ATR inhibitors. Camonsertib has demonstrated a favorable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pharmacokinetic profile in multiple preclinical models, including rodent and canine, and a distribution, metabolism and excretion profile that suggests a low potential for drug-drug interactions in the clinic. The clinical trial of camonsertib in patients with recurrent cancers is ongoing.</w:t>
      </w:r>
    </w:p>
    <w:p>
      <w:pPr>
        <w:spacing w:after="0" w:line="17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6"/>
          <w:szCs w:val="16"/>
          <w:color w:val="auto"/>
        </w:rPr>
        <w:t>Our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screens have generated proprietary patient selection insights that we believe provide the rationale to expand the potential patient populations addressable by camonsertib beyond patients with tumors carrying ATM genetic defects. We have identified 19 genomic alterations, in addition to ATM deficiency, that confer sensitivity to camonsertib. This 19 gene set, which we refer to as our STEP</w:t>
      </w:r>
      <w:r>
        <w:rPr>
          <w:rFonts w:ascii="Arial" w:cs="Arial" w:eastAsia="Arial" w:hAnsi="Arial"/>
          <w:sz w:val="21"/>
          <w:szCs w:val="21"/>
          <w:color w:val="auto"/>
          <w:vertAlign w:val="superscript"/>
        </w:rPr>
        <w:t>2</w:t>
      </w:r>
      <w:r>
        <w:rPr>
          <w:rFonts w:ascii="Arial" w:cs="Arial" w:eastAsia="Arial" w:hAnsi="Arial"/>
          <w:sz w:val="16"/>
          <w:szCs w:val="16"/>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screens demonstrated that two genes previously reported by others to be sensitive to ATR inhibition were not sensitive and hence, those genes were excluded from our set of STEP</w:t>
      </w:r>
      <w:r>
        <w:rPr>
          <w:rFonts w:ascii="Arial" w:cs="Arial" w:eastAsia="Arial" w:hAnsi="Arial"/>
          <w:sz w:val="21"/>
          <w:szCs w:val="21"/>
          <w:color w:val="auto"/>
          <w:vertAlign w:val="superscript"/>
        </w:rPr>
        <w:t>2</w:t>
      </w:r>
      <w:r>
        <w:rPr>
          <w:rFonts w:ascii="Arial" w:cs="Arial" w:eastAsia="Arial" w:hAnsi="Arial"/>
          <w:sz w:val="16"/>
          <w:szCs w:val="16"/>
          <w:color w:val="auto"/>
        </w:rPr>
        <w:t>-identified genes.</w:t>
      </w:r>
    </w:p>
    <w:p>
      <w:pPr>
        <w:spacing w:after="0" w:line="10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7"/>
          <w:szCs w:val="17"/>
          <w:color w:val="auto"/>
        </w:rPr>
        <w:t>The sensitivity and accuracy of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enable the identification of several novel gene alterations, including certain genes that are not yet included in commercially available Next Generation Sequencing cancer panels or Clinical Laboratory Improvement Amendments, or CLIA, validated panels used in large academic centers. For our Phase 1/2 clinical trial, we identified and partnered with multiple large, leading clinical centers globally where tumor sequencing is a component of standard of care. These centers’ panels are validated and sufficiently large to accommodate screening for alterations in ATM or our STEP</w:t>
      </w:r>
      <w:r>
        <w:rPr>
          <w:rFonts w:ascii="Arial" w:cs="Arial" w:eastAsia="Arial" w:hAnsi="Arial"/>
          <w:sz w:val="23"/>
          <w:szCs w:val="23"/>
          <w:color w:val="auto"/>
          <w:vertAlign w:val="superscript"/>
        </w:rPr>
        <w:t>2</w:t>
      </w:r>
      <w:r>
        <w:rPr>
          <w:rFonts w:ascii="Arial" w:cs="Arial" w:eastAsia="Arial" w:hAnsi="Arial"/>
          <w:sz w:val="17"/>
          <w:szCs w:val="17"/>
          <w:color w:val="auto"/>
        </w:rPr>
        <w:t>-identified genes. These panels include the majority, and in the case of whole genome or whole exome sequencing, all of these genes. For genes that are not available on certain panels at a particular clinical site, we identified surrogate genes that are co-deleted with the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genes and have an approximate 30% to 80% probability of concomitant loss, which we believe has and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w:t>
      </w:r>
    </w:p>
    <w:p>
      <w:pPr>
        <w:spacing w:after="0" w:line="21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7"/>
          <w:szCs w:val="17"/>
          <w:color w:val="auto"/>
        </w:rPr>
        <w:t>Based on the prevalence of ATM deficiencies and our STEP</w:t>
      </w:r>
      <w:r>
        <w:rPr>
          <w:rFonts w:ascii="Arial" w:cs="Arial" w:eastAsia="Arial" w:hAnsi="Arial"/>
          <w:sz w:val="23"/>
          <w:szCs w:val="23"/>
          <w:color w:val="auto"/>
          <w:vertAlign w:val="superscript"/>
        </w:rPr>
        <w:t>2</w:t>
      </w:r>
      <w:r>
        <w:rPr>
          <w:rFonts w:ascii="Arial" w:cs="Arial" w:eastAsia="Arial" w:hAnsi="Arial"/>
          <w:sz w:val="17"/>
          <w:szCs w:val="17"/>
          <w:color w:val="auto"/>
        </w:rPr>
        <w:t>-identified genomic alterations across various solid tumors, as shown in the graph below, we believe that camonsertib has the potential to benefit a significant number of patients representing a large unmet medical need.</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or 16 STEP</w:t>
      </w:r>
      <w:r>
        <w:rPr>
          <w:rFonts w:ascii="Arial" w:cs="Arial" w:eastAsia="Arial" w:hAnsi="Arial"/>
          <w:sz w:val="24"/>
          <w:szCs w:val="24"/>
          <w:b w:val="1"/>
          <w:bCs w:val="1"/>
          <w:color w:val="auto"/>
          <w:vertAlign w:val="superscript"/>
        </w:rPr>
        <w:t>2</w:t>
      </w:r>
      <w:r>
        <w:rPr>
          <w:rFonts w:ascii="Arial" w:cs="Arial" w:eastAsia="Arial" w:hAnsi="Arial"/>
          <w:sz w:val="18"/>
          <w:szCs w:val="18"/>
          <w:b w:val="1"/>
          <w:bCs w:val="1"/>
          <w:color w:val="auto"/>
        </w:rPr>
        <w:t xml:space="preserve"> Genomic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193675</wp:posOffset>
            </wp:positionV>
            <wp:extent cx="4465955" cy="2314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6595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part of our development strategy for camonsertib, we are evaluating the potential anti-tumor activity of camonsertib in combination with an approved PARP inhibitor based on the synergies we have observed in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41" w:lineRule="auto"/>
        <w:rPr>
          <w:sz w:val="20"/>
          <w:szCs w:val="20"/>
          <w:color w:val="auto"/>
        </w:rPr>
      </w:pPr>
      <w:r>
        <w:rPr>
          <w:rFonts w:ascii="Arial" w:cs="Arial" w:eastAsia="Arial" w:hAnsi="Arial"/>
          <w:sz w:val="18"/>
          <w:szCs w:val="18"/>
          <w:color w:val="auto"/>
        </w:rPr>
        <w:t>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screens, are inactivated, thereby creating a potential therapeutic window.</w:t>
      </w:r>
    </w:p>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Data: Monotherapy</w:t>
      </w:r>
    </w:p>
    <w:p>
      <w:pPr>
        <w:spacing w:after="0" w:line="117"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We observed camonsertib to have a favorable tolerability and pharmacokinetics profile across multiple preclinical studies and animal models, which we believe supports advancing the product candidate into clinical trials. In a preclinical study, we evaluated continuous daily dosing of camonsertib in a colon cancer xenograft model with CW-2 cancer cells, which contain an inactivating mutation in ATM that confers sensitivity to ATR inhibition. In this study, we injected mice with tumor cells and waited for tumor growth to approximately 200 mm</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before initiating daily dosing over a period of 14 days with vehicle, camonsertib at its maximum tolerated dose, or MTD, of 10 mg/kg/day, or Bayer’s ATR inhibitor product candidate, BAY1895344, at what we determined to be its MTD of 35 mg/kg/day (n=10 mice per group). Both camonsertib and BAY1895344 demonstrated statistically significant suppression of tumor growth as compared to vehicle. Importantly, we observed statistically significant higher suppression of tumor growth with camonsertib as compared to BAY1895344 (p=0.018). Body weight loss as a measurement of tolerability was similar for both compounds in this study.</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240030</wp:posOffset>
            </wp:positionV>
            <wp:extent cx="5288915" cy="1680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8891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In another preclinical study using an intermittent dosing schedule, we evaluated camonsertib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before initiating intermittent dosing with vehicle or either treatment (n=9 mice per group). We observed that both camonsertib and BAY1895344 exhibited tolerability at higher doses when administered on a three days per week schedule than their respective MTDs from the daily dosing CW-2 colon cancer study. The MTDs utilizing this intermittent dosing schedule were determined to be 30 mg/kg daily for camonsertib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camonsertib, which we believe supports our hypothesis of a favorable tolerability profile for camonsertib.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Camonsertib Exhibits Tumor Growth Suppression Without Significant Anemia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228600</wp:posOffset>
            </wp:positionV>
            <wp:extent cx="5057775" cy="1739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5777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Data: Combination Therapy with PARP</w:t>
      </w:r>
    </w:p>
    <w:p>
      <w:pPr>
        <w:spacing w:after="0" w:line="122"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Of our 19 STEP</w:t>
      </w:r>
      <w:r>
        <w:rPr>
          <w:rFonts w:ascii="Arial" w:cs="Arial" w:eastAsia="Arial" w:hAnsi="Arial"/>
          <w:sz w:val="24"/>
          <w:szCs w:val="24"/>
          <w:color w:val="auto"/>
          <w:vertAlign w:val="superscript"/>
        </w:rPr>
        <w:t>2</w:t>
      </w:r>
      <w:r>
        <w:rPr>
          <w:rFonts w:ascii="Arial" w:cs="Arial" w:eastAsia="Arial" w:hAnsi="Arial"/>
          <w:sz w:val="18"/>
          <w:szCs w:val="18"/>
          <w:color w:val="auto"/>
        </w:rPr>
        <w:t>-identified genes for camonsertib as a monotherapy, we have identified a subset of genes that are particularly sensitive to the combination of camonsertib and PARP inhibitors. The graphs below illustrate two examples of this subset of genes where synergy was demonstrated between camonsertib and PARP inhibitors.</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Significant Synergy Demonstrated by Combination of Camonsertib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717540" cy="2837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7540"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Wild Type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Genomically altered</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 xml:space="preserve">We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camonsertib with lower doses of PARP inhibitors could lead to efficient anti-tumor activity while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Data: Combination Therapy with Gemcitabine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Gemcitabine is an antimetabolite chemotherapeutic agent that is commonly used in various solid tumors such as pancreatic, breast, ovarian, and non-small cell lung cancer. Gemcitabine is metabolized by the tumor cells and incorporated in their DNA, resulting in blockage of DNA polymerases and replication fork stalling. This gemcitabine-induced replication stress increases the tumor cells’ dependency on the ATR pathway and gemcitabine is therefore known to strongly enhance the cytotoxic effects of ATR inhibitors.</w:t>
      </w:r>
    </w:p>
    <w:p>
      <w:pPr>
        <w:spacing w:after="0" w:line="187"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Our preclinical data demonstrate that gemcitabine shows strong synergy with camonsertib in ATM-deficient (ATM-KO) cells, whereas much higher doses are required to achieve the same degree of synergy in ATM-proficient (ATM-WT) cells (Figure A below). Consequently, camonsertib combined with gemcitabine kills ATM-KO cells at low concentrations that show little effect in WT cells (Figure B below). We therefore believe that the combination with gemcitabine may enhance the anti-tumor activity of camonsertib in ATM-deficient cancers at tolerated doses. We are currently evaluating this combination in tumor cells carrying additional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alterations as well as in animal models.</w:t>
      </w:r>
    </w:p>
    <w:p>
      <w:pPr>
        <w:spacing w:after="0" w:line="9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Sensitivity of ATM-deficient cells to the combination of camonsertib and gemcitabine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85725</wp:posOffset>
            </wp:positionV>
            <wp:extent cx="5349240" cy="2417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Validation of STEP</w:t>
      </w:r>
      <w:r>
        <w:rPr>
          <w:rFonts w:ascii="Arial" w:cs="Arial" w:eastAsia="Arial" w:hAnsi="Arial"/>
          <w:sz w:val="24"/>
          <w:szCs w:val="24"/>
          <w:b w:val="1"/>
          <w:bCs w:val="1"/>
          <w:i w:val="1"/>
          <w:iCs w:val="1"/>
          <w:color w:val="auto"/>
          <w:vertAlign w:val="superscript"/>
        </w:rPr>
        <w:t>2</w:t>
      </w:r>
      <w:r>
        <w:rPr>
          <w:rFonts w:ascii="Arial" w:cs="Arial" w:eastAsia="Arial" w:hAnsi="Arial"/>
          <w:sz w:val="18"/>
          <w:szCs w:val="18"/>
          <w:b w:val="1"/>
          <w:bCs w:val="1"/>
          <w:i w:val="1"/>
          <w:iCs w:val="1"/>
          <w:color w:val="auto"/>
        </w:rPr>
        <w:t xml:space="preserve"> Screens</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Through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of ATR inhibitors, we confirmed the SL relationship between ATR and ATM and identified an additional 19 genomic alterations that confer sensitivity to camonsertib. In follow-up studies with cancer cell line pairs, in which the only difference is the inactivation of the target genes, we are confirming the sensitivity of these genomic alterations to camonsertib, and this extensive validation effort is still being expanded. We are also creating xenograft models using both the parent cell lines and the inactivated cell line. In such a model using one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right="20"/>
        <w:spacing w:after="0" w:line="226" w:lineRule="auto"/>
        <w:rPr>
          <w:sz w:val="20"/>
          <w:szCs w:val="20"/>
          <w:color w:val="auto"/>
        </w:rPr>
      </w:pPr>
      <w:r>
        <w:rPr>
          <w:rFonts w:ascii="Arial" w:cs="Arial" w:eastAsia="Arial" w:hAnsi="Arial"/>
          <w:sz w:val="18"/>
          <w:szCs w:val="18"/>
          <w:color w:val="auto"/>
        </w:rPr>
        <w:t>the STEP</w:t>
      </w:r>
      <w:r>
        <w:rPr>
          <w:rFonts w:ascii="Arial" w:cs="Arial" w:eastAsia="Arial" w:hAnsi="Arial"/>
          <w:sz w:val="24"/>
          <w:szCs w:val="24"/>
          <w:color w:val="auto"/>
          <w:vertAlign w:val="superscript"/>
        </w:rPr>
        <w:t>2</w:t>
      </w:r>
      <w:r>
        <w:rPr>
          <w:rFonts w:ascii="Arial" w:cs="Arial" w:eastAsia="Arial" w:hAnsi="Arial"/>
          <w:sz w:val="18"/>
          <w:szCs w:val="18"/>
          <w:color w:val="auto"/>
        </w:rPr>
        <w:t>-identified genes, camonsertib led to statistically significant suppression of tumor growth, whereas it had no anti-tumor effect in tumors created with wild-type parent cells, as shown in the model below.</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Tumor Growth Suppression in a </w:t>
      </w:r>
      <w:r>
        <w:rPr>
          <w:rFonts w:ascii="Arial" w:cs="Arial" w:eastAsia="Arial" w:hAnsi="Arial"/>
          <w:sz w:val="18"/>
          <w:szCs w:val="18"/>
          <w:b w:val="1"/>
          <w:bCs w:val="1"/>
          <w:i w:val="1"/>
          <w:iCs w:val="1"/>
          <w:color w:val="auto"/>
        </w:rPr>
        <w:t>RNASEH2B</w:t>
      </w:r>
      <w:r>
        <w:rPr>
          <w:rFonts w:ascii="Arial" w:cs="Arial" w:eastAsia="Arial" w:hAnsi="Arial"/>
          <w:sz w:val="18"/>
          <w:szCs w:val="18"/>
          <w:b w:val="1"/>
          <w:bCs w:val="1"/>
          <w:color w:val="auto"/>
        </w:rPr>
        <w:t xml:space="preserve"> -/- 5637 Bladder Isogenic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240030</wp:posOffset>
            </wp:positionV>
            <wp:extent cx="5332095" cy="1971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209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Camonsertib Clinical Trial Program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Design of Trials:</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July 2020, we initiated our open-label Phase 1/2 clinical trial of camonsertib as both a monotherapy and in combination with talazoparib, an approved PARP inhibitor. The trial is designed to evaluate the oral administration of camonsertib in patients with advanced recurrent tumors of different histologies with ATM loss-of-function or a subset comprised of 16 of the 19 STEP</w:t>
      </w:r>
      <w:r>
        <w:rPr>
          <w:rFonts w:ascii="Arial" w:cs="Arial" w:eastAsia="Arial" w:hAnsi="Arial"/>
          <w:sz w:val="24"/>
          <w:szCs w:val="24"/>
          <w:color w:val="auto"/>
          <w:vertAlign w:val="superscript"/>
        </w:rPr>
        <w:t>2</w:t>
      </w:r>
      <w:r>
        <w:rPr>
          <w:rFonts w:ascii="Arial" w:cs="Arial" w:eastAsia="Arial" w:hAnsi="Arial"/>
          <w:sz w:val="18"/>
          <w:szCs w:val="18"/>
          <w:color w:val="auto"/>
        </w:rPr>
        <w:t>-identified genomic alterations, for which recent in-vitro studies suggested a higher confidence of success.</w:t>
      </w:r>
    </w:p>
    <w:p>
      <w:pPr>
        <w:spacing w:after="0" w:line="20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In the ongoing monotherapy dose escalation phase of our trial, we are evaluating the dosing regimen and safety of camonsertib to establish the recommended dose for the expansion phase of the trial. In three expansion cohorts, each of which has been designed to enroll patients based on ATM loss-of-function or different STEP</w:t>
      </w:r>
      <w:r>
        <w:rPr>
          <w:rFonts w:ascii="Arial" w:cs="Arial" w:eastAsia="Arial" w:hAnsi="Arial"/>
          <w:sz w:val="23"/>
          <w:szCs w:val="23"/>
          <w:color w:val="auto"/>
          <w:vertAlign w:val="superscript"/>
        </w:rPr>
        <w:t>2</w:t>
      </w:r>
      <w:r>
        <w:rPr>
          <w:rFonts w:ascii="Arial" w:cs="Arial" w:eastAsia="Arial" w:hAnsi="Arial"/>
          <w:sz w:val="17"/>
          <w:szCs w:val="17"/>
          <w:color w:val="auto"/>
        </w:rPr>
        <w:t>-identified genomic alterations, we will assess the preliminary efficacy of camonsertib at the recommended dose and schedule. In parallel with the monotherapy dose escalation phase, the trial is designed to enroll a separate arm to evaluate camonsertib in combination with talazoparib, an approved PARP inhibitor. An efficacy evaluation is performed every six weeks for the first five months and every nine weeks thereafter. As of the date of this Annual Report, we have activated twelve clinical trial sites in North America and Europe, all of which are actively enrolling patients. We observed initial signs of biological and clinical activity as monotherapy and evaluated multiple doses and schedules. We established the recommended Phase 2 dose as 160 mg once daily 3 days on / 4 days off, given continuously every week with a tolerability and safety profile that is favorable and the dominant on-target toxicity is anemia. Grade 3 anemia was reported at 15% with no grade 4 anemia and other grade 3 or 4 toxicities were at maximum 5%. Clinical responders were seen across multiple genomic alterations and tumor types. Clinical benefit rate reported at the AACR-ASCP-NCI meeting in October 2021 was 49%. In February 2021, we initiated recruitment of patients for the talazoparib combination arm of the trial. In December 2021 we entered the Phase 2 part of the trial with expansion into specific tumor and genotype cohorts. We reported complete safety and efficacy data for the monotherapy dose escalation phase of the trial at AACR in April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The design of our Phase 1/2 clinical trial for camonsertib, now partnered with Roche, is summarized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349240" cy="2339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Full Dataset from the TRESR Phase 1/2 Trial Presented at AACR 2022:</w:t>
      </w:r>
    </w:p>
    <w:p>
      <w:pPr>
        <w:spacing w:after="0" w:line="11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In April 2022, we presented comprehensive Phase 1 monotherapy clinical data from the TRESR Phase 1/2 trial, reflecting analysis of 120 patients, of which 99 patients were evaluable for efficacy as of the data cutoff date of February 14, 2022 (excluding one patient evaluated as of March 22, 2022). The study included 95 patients who received therapeutically active doses or at the recommended Phase 2 dose schedule of 3 days on / 4 days off, and reflecting the data cutoff of mid-February 2022. Monotherapy with camonsertib continued to appear safe and well tolerated. Anemia was the most common treatment-related adverse event and easily manageable. Only 24.2% of all patients in the 3 days on / 4 days off schedule experienced Grade 3 anemia, and none experienced Grade 4 anemia. Camonsertib monotherapy resulted in durable clinical benefit across tumor types and genomic alterations, with enriched benefit demonstrated in specific patient subsets. These updated monotherapy results showed a 43% CBR, which was defined as response or treatment duration of at least 16 weeks without progression, an overall response rate of 14%, and a mPFS of 15 weeks in solid tumors across genotypes, with potential best-in-class safety and tolerability. The overall CBR in patients after PARP inhibitor failure was 47%.</w:t>
      </w:r>
    </w:p>
    <w:p>
      <w:pPr>
        <w:spacing w:after="0" w:line="5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observed camonsertib demonstrated robust activity in patients with ovarian cancer (n=20), demonstrating 75% CBR after dosing with camonsertib, an overall response rate of 25%, and a mPFS of 35 weeks. The ovarian cancer patient population was heavily pretreated and comprised a hard to treat population: of which 90% had previous treatment with PARP inhibitors and 85% were platinum resistant. The responders included one complete response, three partial responses as determined by RECIST 1.1 criteria, and one durable and ongoing CA-125 response in a patient with stable disease.</w:t>
      </w:r>
    </w:p>
    <w:p>
      <w:pPr>
        <w:spacing w:after="0" w:line="49"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TRESR study comprises the largest set of tumors with detailed genomic analysis evaluated with ATRi monotherapy. Genomic subsets of tumors beyond ATM included tumors harboring alterations in ATR-sensitizing genes, with responses observed in tumors harboring BRCA1/2, SETD2 and RAD51C alterations. In patients with BRCA1/2 mutated tumors (n = 37), response rate was 14% and included two patients with ovarian cancer, and one each with breast cancer, head and neck squamous cell carcinoma, and melanoma. In patients with tumors carrying BRCA1 mutations, the CBR was 48%. In patients with tumors with ATM loss-of-function, or LOF, (n = 34), response rate was 9% including one RECIST 1.1 confirmed/unconfirmed response, and two prostate specific antigen responses. An additional patient with pancreatic cancer and ATM LOF had a late response, just after the data cutoff after 54 weeks of treatment. The CBR in the patients with ATM LOF was 44% and mPFS was 17 weeks. Sequencing data demonstrated biallelic gene LOF, an emerging biomarker for synthetic lethal therapies, could potentially be leveraged to further enrich for patients most likely to benefit from camonsertib. CBR in patients with biallelic LOF was significantly higher (47%) compared to the CBR in patients with non-biallelic tumors (15%).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RP-6306, Our Novel, First-in-Class PKMYT1 Inhibitor Program</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6"/>
          <w:szCs w:val="16"/>
          <w:color w:val="auto"/>
        </w:rPr>
        <w:t>Using our proprietary, CRISPR-based SNIPRx discovery platform, we identified PKMYT1 as a strong hit in a CCNE1-overexpression SL screen. PKMYT1 is a kinase that phosphorylates CDK1, thereby holding the cyclin B-CDK1 complex in an inactive state until the cell is ready to enter mitosis. RP-6306 is being developed as a highly potent and selective PKMYT1 inhibitor that preferentially kills tumor cells overexpressing CCNE1 and was shown to inhibit the growth of a broad range of CCNE1-amplified tumors in xenograft/PDX preclinical models, both as a single agent and in combination therapy settings. RP-6306 has a favorable preclinical PK profile as well as low potential for drug-drug interactions. Application of our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genome-wide chemical screen has identified other gene alterations beyond CCNE1 amplification that are uniquely targetable by RP-6306, including tumors that have loss of FBXW7 function, a cell-cycle regulator that has been implicated as a key genetic driver in a broad range of cancers, and represent further areas of unmet medical need. We initiated patient recruitment in our open-label Phase 1 MYTHIC trial, as a monotherapy, for this program in April 2021. Our Phase 1 trial is enrolling patients suffering from recurrent tumors characterized by CCNE1 amplification and other genomic alterations which our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preclinical studies predicted to be sensitive to RP-6306. We are evaluating more than one schedule, if necessary, at which the capsules are given in this dose escalation trial. The primary objective is to establish the recommended Phase 2 dose and schedule for RP-6306 for further studies as monotherapy and assess preliminary safety, tolerability, PK, and PD in patients. In December 2021, we enrolled the first patient in our open-label Phase 1 MAGNETIC trial to evaluate the safety and tolerability of RP-6306 in combination with gemcitabine. In January 2022, we initiated patient recruitment in our open-label Phase 1 MINOTAUR trial to evaluate the safety and tolerability of RP-6306 in combination with FOLFIRI. In May 2022, we initiated patient recruitment in a new arm of the Phase 1 MYTHIC clinical trial, which is designed to evaluate the safety and tolerability of RP-6306 in combination with camonsertib in patients with advanced solid tumors. In the fourth quarter of 2022, we received fast track designation for RP-6306 in combination with gemcitabine for the treatment of adult patients with CCNE1 amplified, or FBXW7 or PPP2R1A mutated platinum resistant ovarian cancer. Based on promising preclinical data released at the 34th EORTC-NCI-AACR Symposium in October 2022, we are working with clinical investigators to initiate clinical testing, as part of an investigator-sponsored trial (IST), of a fourth new RP-6306 combination with carboplatin, with first patient dosing expected in the first half of 2023. In the fourth quarter of 2022, we entered into an agreement with CCTG for a planned, basket Phase 2 IST to evaluate RP-6306 in patients with selected, advanced cancers receiving standard agents. We have planned a sub-study under this trial, which will allow us to evaluate RP-6306 in combination with gemcitabine in patients with CD4/6i-resistant ER+/HER2- metastatic breast cancer. We plan to provide an initial Phase 1 clinical data readout for RP-6306 in the first half of 2023 for monotherapy, and anticipate providing an update on some of the combination studies in the fourth quarter of 2023.</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Mechanism of Action</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PKMYT1, the gene targeted by RP-6306 has not previously been published as a SL gene pair with CCNE1 amplification,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8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High levels of CCNE1 protein, an activating subunit of cyclin dependent kinase 2, or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amplification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CCNE1 Amplification is Associated with Significantly Shorter Overall Survival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160020</wp:posOffset>
            </wp:positionV>
            <wp:extent cx="2391410" cy="1706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9141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17465" cy="2383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1746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Solution, RP-6306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identified PKMYT1 as a critical SL target for patients with CCNE1 amplification through our SNIPRx screening campaign and selected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PKMYT1 as a target for our lead product candidate, RP-6306, based on:</w:t>
      </w:r>
    </w:p>
    <w:p>
      <w:pPr>
        <w:spacing w:after="0" w:line="103" w:lineRule="exact"/>
        <w:rPr>
          <w:sz w:val="20"/>
          <w:szCs w:val="20"/>
          <w:color w:val="auto"/>
        </w:rPr>
      </w:pPr>
    </w:p>
    <w:p>
      <w:pPr>
        <w:ind w:left="1540" w:hanging="514"/>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target validation for PKMYT1;</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design potent and selective PKMYT1 inhibitors; and</w:t>
      </w:r>
    </w:p>
    <w:p>
      <w:pPr>
        <w:spacing w:after="0" w:line="121" w:lineRule="exact"/>
        <w:rPr>
          <w:rFonts w:ascii="Arial" w:cs="Arial" w:eastAsia="Arial" w:hAnsi="Arial"/>
          <w:sz w:val="18"/>
          <w:szCs w:val="18"/>
          <w:color w:val="auto"/>
        </w:rPr>
      </w:pPr>
    </w:p>
    <w:p>
      <w:pPr>
        <w:ind w:left="1540" w:hanging="514"/>
        <w:spacing w:after="0" w:line="232"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screens, which identified at least two additional genomic alterations beyond CCNE1 amplification to be SL with PKMYT1 inhibitor facilitating the expansion of the addressable patient populations.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ind w:firstLine="509"/>
        <w:spacing w:after="0" w:line="259" w:lineRule="auto"/>
        <w:rPr>
          <w:sz w:val="20"/>
          <w:szCs w:val="20"/>
          <w:color w:val="auto"/>
        </w:rPr>
      </w:pPr>
      <w:r>
        <w:rPr>
          <w:rFonts w:ascii="Arial" w:cs="Arial" w:eastAsia="Arial" w:hAnsi="Arial"/>
          <w:sz w:val="18"/>
          <w:szCs w:val="18"/>
          <w:color w:val="auto"/>
        </w:rPr>
        <w:t>We designed RP-6306 as an oral small molecule PKMYT1 inhibitor with significant potency and an encouraging selectivity profile as a first in class compound. RP-6306 has demonstrated a favorable pharmacokinetic profile in multiple preclinical models, including rodent and canine, and a distribution, metabolism and excretion profile that suggests a low potential for drug-drug interactions in the clinic. The clinical trial of RP-6306 in patients with recurrent cancers is ongoing.</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screens have generated proprietary patient selection insights that we believe provide the rationale to expand the potential patient populations addressable by RP-6306 beyond patients with tumors carrying CCNE1 amplification. We have specifically identified FBXW7 and PPP2R1A genomic alterations, in addition to CCNE1 amplification, that confer sensitivity to RP-6306. This set of genes offers extended patient populations such as about 13% of colorectal cancer and other high unmet need tumors as presented in the graph below.</w:t>
      </w:r>
    </w:p>
    <w:p>
      <w:pPr>
        <w:spacing w:after="0" w:line="19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Top 10 tumor types with highest prevalence of CCNE1 amplification and FBXW7 mutations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wp:posOffset>
            </wp:positionV>
            <wp:extent cx="5349240" cy="14490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The proposed alterations specific to RP-6306 tumors are easily identifiable in commercially available Next Generation Sequencing cancer panels or CLIA-validated panels used in large academic centers. For our Phase 1/2 clinical trial, we identified and partnered with multiple large, leading clinical centers globally where tumor sequencing is a component of standard of care. These centers’ panels are validated and sufficiently large to accommodate screening for alterations in FBXW7 and CCNE1 or our other STEP</w:t>
      </w:r>
      <w:r>
        <w:rPr>
          <w:rFonts w:ascii="Arial" w:cs="Arial" w:eastAsia="Arial" w:hAnsi="Arial"/>
          <w:sz w:val="23"/>
          <w:szCs w:val="23"/>
          <w:color w:val="auto"/>
          <w:vertAlign w:val="superscript"/>
        </w:rPr>
        <w:t>2</w:t>
      </w:r>
      <w:r>
        <w:rPr>
          <w:rFonts w:ascii="Arial" w:cs="Arial" w:eastAsia="Arial" w:hAnsi="Arial"/>
          <w:sz w:val="17"/>
          <w:szCs w:val="17"/>
          <w:color w:val="auto"/>
        </w:rPr>
        <w:t>-identified genes. By working in collaboration with our clinical partners to access their existing patient databases, we are able to efficiently identify patients who may be eligible for our clinical trial.</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Based on the prevalence of RP-6306 relevant genomic alterations across various solid tumors, as shown in the graph above, we believe that RP-6306 has the potential to benefit a significant number of patients representing a large unmet medical need.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data: Monotherapy</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observed that RP-6306 has a favorable tolerability and PK profile preclinically which we believe supported advancement of the product candidate into clinical trials. We tested RP-6306 as a single agent in two preclinical cell line derived models of cancer selected to represent our target patient populations by having amplification of CCNE1. The HCC1569 breast cancer model and the OVCAR3 ovarian cancer model with CCNE1 copy numbers of 34-fold and 14-fold above ploidy, respectively. In the HCC1569 breast cancer xenograft model, RP-6306 was orally administered at doses of 2.5, 7.5 or 20 mg/kg twice daily (BID) for 28 days. RP-6306 produced a dose-dependent reduction in tumor growth reaching a statistically significant difference at all doses and a maximum effect of 77%. In the 20 mg/kg group, mice exhibited body weight loss of 3.2% at the end of study. In the OVCAR3 ovarian cancer xenograft model, RP-6306 was orally administered at doses of 2.5, 7.5 or 20 mg/kg twice daily (BID) for 28 days. RP-6306 produced a dose-dependent reduction in tumor growth reaching a statistically significant difference at all doses and a maximum effect of 82%. In the 20 mg/kg group, mice exhibited body weight loss of 6.9% at the end of study.</w:t>
      </w:r>
    </w:p>
    <w:p>
      <w:pPr>
        <w:spacing w:after="0" w:line="18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preclinical studies, RP-6306 demonstrated in vivo anti-tumor activity in two cell line derived xenograft models with CCNE1 amplification. In both models, we observed statistically significant dose-dependent tumor growth suppression across a range of doses from 2.5 to 20 mg/kg BID (twice-daily administration for RP-6306).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1620"/>
        <w:spacing w:after="0"/>
        <w:rPr>
          <w:sz w:val="20"/>
          <w:szCs w:val="20"/>
          <w:color w:val="auto"/>
        </w:rPr>
      </w:pPr>
      <w:r>
        <w:rPr>
          <w:rFonts w:ascii="Arial" w:cs="Arial" w:eastAsia="Arial" w:hAnsi="Arial"/>
          <w:sz w:val="18"/>
          <w:szCs w:val="18"/>
          <w:b w:val="1"/>
          <w:bCs w:val="1"/>
          <w:color w:val="auto"/>
        </w:rPr>
        <w:t>RP-6306 Demonstrates Tumor Growth Suppression in CCNE1-Amplified Cell Line 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85725</wp:posOffset>
            </wp:positionV>
            <wp:extent cx="4431665" cy="2057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316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Preclinical Data: Combination Therapies with RP-6306</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Chemotherapeutic drugs have diverse mechanisms of action, and some target DNA replication and induce DNA replication stress. During the S-phase of the cell cycle, DNA is replicated to create DNA for two daughter cells following cell division. S-phase disrupting drugs increase dependence on cell cycle checkpoints. Combining this S-phase vulnerability with RP-6306, which forces S-phase replicating cells into premature mitosis, is expected to be catastrophic to tumor cells.</w:t>
      </w:r>
    </w:p>
    <w:p>
      <w:pPr>
        <w:spacing w:after="0" w:line="18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Gemcitabine prolongs the S-phase by both interfering with DNA polymerase and disrupting the supply of nucleotides. Clinically, gemcitabine has been used as a single agent or in combination with carboplatin, cisplatin, or paclitaxel for the treatment of pancreatic, ovarian, breast, bladder, testicular, and non-small cell lung cancer. Recent studies have tested gemcitabine in combination with DNA damage repair inhibitors (PARP and ATR inhibitors), as well as cell cycle inhibitors (WEE1, CDK4/6, and Chk1 inhibitors) across a spectrum of relapsed or refractory advanced solid tumors. Attempts to combine gemcitabine with inhibitors of these checkpoints have struggled with toxicity, impacting proliferating tumor and normal tissue with similar effect. In a setting of CCNE1, FBXW7, PPP2R1A, and potentially other RP-6306 STEP</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genetic alterations, however, it is expected that gemcitabine will exacerbate the replication stress environment where PKMYT1 is essential for survival and provide synthetic lethal synergy with enhanced benefit and therapeutic index.</w:t>
      </w:r>
    </w:p>
    <w:p>
      <w:pPr>
        <w:spacing w:after="0" w:line="19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rationale behind combining RP-6306 and FOLFIRI in CCNE1-amplified or FBXW7-mutated tumors is similar to that of gemcitabine. The two main agents found in FOLFIRI are irinotecan (metabolized in tissues to SN-38) and fluorouracil, both of which act specifically in S-phase. SN-38 acts on the topoisomerase I-DNA complex and prevents re-ligation of the DNA strand, resulting in double-strand DNA breaks and cell death. Fluorouracil acts as a thymidylate synthase inhibitor which blocks synthesis of the pyrimidine thymidine, required for DNA replication. Combining this chemotherapy-induced S-phase vulnerability with RP-6306, which forces S-phase replicating cells into premature mitosis, is expected to be catastrophic to tumor cells.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jc w:val="both"/>
        <w:ind w:firstLine="509"/>
        <w:spacing w:after="0" w:line="263" w:lineRule="auto"/>
        <w:rPr>
          <w:sz w:val="20"/>
          <w:szCs w:val="20"/>
          <w:color w:val="auto"/>
        </w:rPr>
      </w:pPr>
      <w:r>
        <w:rPr>
          <w:rFonts w:ascii="Arial" w:cs="Arial" w:eastAsia="Arial" w:hAnsi="Arial"/>
          <w:sz w:val="18"/>
          <w:szCs w:val="18"/>
          <w:color w:val="auto"/>
        </w:rPr>
        <w:t>The combination of RP-6306 and gemcitabine was evaluated in CCNE1 amplified model of ovarian cancer (OVCAR3) on a continuous BID dosing of RP-6306 at 10mg/kg and gemcitabine at 20mg/kg once weekly. The combination resulted in complete tumor regression that was significantly better than either agent alone with minimal impact on body weight loss (6.8% for the combination at the end of dosing).</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RP-6306 + Gemcitabine Drives Regression and No Serious Toxicity in CCNE1-Amplified Cell Line Derived Xenograft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17145</wp:posOffset>
            </wp:positionV>
            <wp:extent cx="5349240" cy="2040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combination of RP-6306 and irinotecan was evaluated in CCNE1-amplified model of breast cancer (HCC1569) on a continuous BID dosing of RP-6306 at 5 mg/kg and irinotecan at 30 mg/kg three times a week. The combination resulted in tumor regression that was significantly better than either agent alone with minimal impact on weight loss (1.5% for the combination at the end of dosing).</w:t>
      </w:r>
    </w:p>
    <w:p>
      <w:pPr>
        <w:spacing w:after="0" w:line="180"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RP-6306 + Irinotecan Drives Regression and is Well Tolerated in CCNE1-Amplified Cell Line Derived Xenograft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17145</wp:posOffset>
            </wp:positionV>
            <wp:extent cx="5349240" cy="22542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combination of low dose RP-6306 and camonsertib was evaluated in a pair of isogenic models of colorectal cancer having normal FBXW7 or FBXW7 loss-of-function. RP-6306 was administered at 5mg/kg BID and camonsertib was administered at 10mg/kg QD three times a week. Neither compound alone nor the combination substantially impacted tumor growth of FBXW7-normal tumors. In contrast, a low dose of RP-6306 in combination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with camonsertib resulted in profound regression of FBXW7 loss-of-function tumors with 3 of 8 mice tumor free on day 22. The combination was well tolerated with a &lt; 8% maximal mean body weight loss.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RP-6306 + Camonsertib Selectively Drives Regression and is Well Tolerated in a FBXW7 Loss-of-Function Cell Line Derived Xenograft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306070</wp:posOffset>
            </wp:positionV>
            <wp:extent cx="4980305" cy="2202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8030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Validation of STEP</w:t>
      </w:r>
      <w:r>
        <w:rPr>
          <w:rFonts w:ascii="Arial" w:cs="Arial" w:eastAsia="Arial" w:hAnsi="Arial"/>
          <w:sz w:val="24"/>
          <w:szCs w:val="24"/>
          <w:i w:val="1"/>
          <w:iCs w:val="1"/>
          <w:color w:val="auto"/>
          <w:vertAlign w:val="superscript"/>
        </w:rPr>
        <w:t>2</w:t>
      </w:r>
      <w:r>
        <w:rPr>
          <w:rFonts w:ascii="Arial" w:cs="Arial" w:eastAsia="Arial" w:hAnsi="Arial"/>
          <w:sz w:val="18"/>
          <w:szCs w:val="18"/>
          <w:i w:val="1"/>
          <w:iCs w:val="1"/>
          <w:color w:val="auto"/>
        </w:rPr>
        <w:t xml:space="preserve"> Screens</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To identify additional genetic lesions which might have a synthetic lethal relationship with PKMYT1, several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screens were conducted. These genome wide CRISPR screens were conducted with sub-cytotoxic concentrations of PKMYT1 inhibitor and identified FBXW7 and several additional genetic alterations. FBXW7 is known to be mutated in colorectal cancers and NSCLC, among others. FBXW7 is an E3-ubiquitin ligase that targets Cyclin E1 (as well as other oncogenes) for degradation by the proteosome and has been shown to be a tumor suppressor gene. Therefore, there exists a strong mechanistic rationale for synthetic lethality with PKMYT1, and they represent a significant opportunity to expand the clinical utility of RP-6306.</w:t>
      </w:r>
    </w:p>
    <w:p>
      <w:pPr>
        <w:spacing w:after="0" w:line="68" w:lineRule="exact"/>
        <w:rPr>
          <w:sz w:val="20"/>
          <w:szCs w:val="20"/>
          <w:color w:val="auto"/>
        </w:rPr>
      </w:pPr>
    </w:p>
    <w:p>
      <w:pPr>
        <w:jc w:val="both"/>
        <w:ind w:firstLine="591"/>
        <w:spacing w:after="0" w:line="308" w:lineRule="auto"/>
        <w:rPr>
          <w:sz w:val="20"/>
          <w:szCs w:val="20"/>
          <w:color w:val="auto"/>
        </w:rPr>
      </w:pPr>
      <w:r>
        <w:rPr>
          <w:rFonts w:ascii="Arial" w:cs="Arial" w:eastAsia="Arial" w:hAnsi="Arial"/>
          <w:sz w:val="17"/>
          <w:szCs w:val="17"/>
          <w:color w:val="auto"/>
        </w:rPr>
        <w:t>In preclinical studies, RP-6306 demonstrated in vivo anti-tumor activity in two patient derived xenograft models with FBXW7 inactivating mutations. In both models, we observed statistically significant tumor growth suppression with twice daily administration for RP-6306.</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RP-6306 Demonstrates Tumor Growth Suppression of FBXW7-Mutated Patient 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85725</wp:posOffset>
            </wp:positionV>
            <wp:extent cx="5349240" cy="1697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Design of Trials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In April 2021, we initiated our open-label Phase 1 MYTHIC clinical trial of RP-6306 as a monotherapy. The trial is designed to evaluate the oral administration of RP-6306 in patients with advanced recurrent tumors of different histologies in tumors with detected CCNE1 amplification, deleterious alterations in FBXW7, PPP2R1A and other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genes, for which recent in-vitro studies suggested a higher confidence of success.</w:t>
      </w:r>
    </w:p>
    <w:p>
      <w:pPr>
        <w:spacing w:after="0" w:line="8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6"/>
          <w:szCs w:val="16"/>
          <w:color w:val="auto"/>
        </w:rPr>
        <w:t>In the ongoing monotherapy dose escalation phase of our MYTHIC trial, we are evaluating the dosing regimen and safety of RP-6306. The MYTHIC trial is enrolling patients suffering from recurrent tumors characterized by CCNE1 amplification and other genomic alterations, which our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preclinical studies predicted to be sensitive to RP-6306. We are evaluating more than one schedule at which the capsules are given, as necessary, in this dose escalation trial. The primary objective is to establish dose and schedule for RP-6306 for further studies as monotherapy and assess preliminary safety and tolerability in patients. The clinical plan beyond the dose escalation and initial explorations of dose and safety is presented below. In parallel with the monotherapy dose escalation phase, two other trials were initiated in February 2022 and December 2021, which we refer to as the MINOTAUR and MAGNETIC trials, to evaluate RP-6306 in combination with FOLFIRI and gemcitabine, respectively. In May 2022, we initiated patient recruitment in a new arm of the Phase 1 MYTHIC clinical trial, which is designed to evaluate the safety and tolerability of RP-6306 in combination with camonsertib in patients with advanced solid tumors. In the fourth quarter of 2022, we received fast track designation for RP-6306 in combination with gemcitabine for the treatment of adult patients with CCNE1 amplified, or FBXW7 or PPP2R1A mutated platinum resistant ovarian cancer. Based on promising preclinical data released at the 34th EORTC-NCI-AACR Symposium in October 2022, we are working with clinical investigators to initiate clinical testing, as part of an investigator-sponsored trial (IST), of a fourth new RP-6306 combination with carboplatin, with first patient dosing expected in the first half of 2023. In the fourth quarter of 2022, we entered into an agreement with CCTG for a planned, basket Phase 2 IST to evaluate RP-6306 in patients with selected, advanced cancers receiving standard agents. We plan to initiate a sub-study, which will allow us to evaluate RP-6306 in combination with gemcitabine in patients with CD4/6i-resistant ER+/HER2- metastatic breast cancer. We plan to provide an initial Phase 1 clinical data readout for RP-6306 in the first half of 2023 for monotherapy, and anticipate providing an update on some of the combination studies in the fourth quarter of 2023.</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designs of our Phase 1 clinical trial and Phase 2 IST are summarized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5349240" cy="2529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Polymerase Theta (Polθ) Preclinical Program</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are developing a small molecule inhibitor of Polθ, a SL target associated with BRCA mutations as well as other genomic alterations, in collaboration with Ono. This program was initially added to our portfolio through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 xml:space="preserve">collaboration with our co-founder, Dr. Agnel Sfeir, now at Memorial Sloan Kettering Cancer Center, who initially published her observations on the SL between BRCA and Polθ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in 2016.</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Polymerase theta enzyme, or POLQ, is a DNA polymerase enzyme that participates in the repair of double-strand breaks in DNA. Mutations in genes such as BRCA1 and BRCA2 increase the frequency of these breaks, resulting in SL with Polθ. Preclinical studies have shown that inactivation of Polθ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6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BRCA1 and BRCA2 mutations have also been shown in clinical trials to be SL with PARP inhibitors in multiple tumors, such as breast and ovarian cancer. While PARP inhibitors have proven effective in BRCA-mutant tumors, no statistically significant survival benefit has been reported in breast or pancreatic cancer to date, highlighting the potential for other SL targets, such as Polθ, to demonstrate meaningful efficacy as a monotherapy or in combination with PARP inhibitors. In 2022, we selected a proposed inhibitor, which we designated as RP-2119, and initiated IND-enabling studies. In February 2023, based on our review of ongoing preclinical studies, we elected to prioritize other Polθ inhibiting compounds in our preclinical development portfolio, which we believe have a higher probability for clinical impact relative to RP-2119. We are now guiding toward clinical entry for a Polθ inhibitor in 2024.</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of December 31, 2022, our patent portfolio relating to our product candidates included seven pending U.S. provisional patent applications, consisting of; two applications covering uses of ATR inhibitors; two applications covering CCNE1-SL inhibitors and their use; one application covering the manufacture of RP-6306; and two applications covering PolQ inhibitors and their use. In addition, our patent portfolio included six pending international applications under the Patent Cooperation Treaty of 1970, or the PCT, three covering camonsertib and/or its uses and three covering RP-6306 and its uses. Our portfolio also included five pending U.S. non-provisional patent applications, three covering camonsertib and its use and two covering RP-6306 derivatives.</w:t>
      </w:r>
    </w:p>
    <w:p>
      <w:pPr>
        <w:spacing w:after="0" w:line="20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As of December 31, 2022, three of our four PCT applications have composition of matter or method of treatment and use claims covering camonsertib. Any application, if issued, claiming priority to any of these PCT applications is expected to expire in 2040, not including any patent term adjustment. One of our four solely owned PCT applications has composition of matter claims covering RP-6306. Any application, if issued, claiming priority to this PCT application is expected to expire in 2041, not including any patent term adjustment. Any patent issuing in our solely owned, pending U.S. non-provisional patent application having composition of matter and method of treatment and use claims covering camonsertib and its use is expected to expire in 2039, not including any patent term adjustment. Any patent issuing in our solely owned, pending U.S. non-provisional patent application having method of treatment and use claims covering certain uses of camonsertib is expected to expire in 2040, not including any patent term adjustment. Any U.S. patent, if issued, claiming priority to any one of the U.S. provisional patent applications covering uses of camonsertib is expected to expire in 2043. Any U.S. patent, if issued, claiming priority to any one of the U.S. provisional patent applications covering CCNE1-SL inhibitors and their use, is expected to expire in 2042. Any U.S. patent, if issued, claiming priority to either of the U.S. provisional patent applications covering CCNE1-SL inhibitors, including RP-6306 and its use, is expected to expire in 2043. Any U.S. patent, if issued, claiming priority to the U.S. provisional patent applications covering uses of CCNE1-SL inhibitors, including RP-6306, is expected to expire in 2043. Any U.S. patent, if issued, claiming priority to the U.S. provisional patent applications covering PolQ inhibitors and their use, is expected to expire in 2043.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firstLine="557"/>
        <w:spacing w:after="0" w:line="263" w:lineRule="auto"/>
        <w:rPr>
          <w:sz w:val="20"/>
          <w:szCs w:val="20"/>
          <w:color w:val="auto"/>
        </w:rPr>
      </w:pPr>
      <w:r>
        <w:rPr>
          <w:rFonts w:ascii="Arial" w:cs="Arial" w:eastAsia="Arial" w:hAnsi="Arial"/>
          <w:sz w:val="18"/>
          <w:szCs w:val="18"/>
          <w:color w:val="auto"/>
        </w:rPr>
        <w:t>As of December 31, 2022, our patent portfolio also included two co-owned, pending international applications under the Patent Cooperation Treaty of 1970, or the PCT. The PCT applications cover uses of CCNE1-SL inhibitors, including RP-6306. Any U.S. patent, if issued, claiming priority to the PCT applications is expected to expire in 2041 or 2042, respectively.</w:t>
      </w:r>
    </w:p>
    <w:p>
      <w:pPr>
        <w:spacing w:after="0" w:line="18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PCT is an international patent law treaty that provides a unified procedure for filing patent applications to protect inventions in each of its contracting states. Thus, a single PCT application can be converted into a patent application in any of the PCT-contracting states, and is considered a simple, cost-effective means for seeking patent protection in numerous regions or countries. This nationalization (converting into an application in any of the contracting states) typically occurs 18 months after the PCT application filing date. An applicant must undertake prosecution within the allotted time in each of the contracting states or on a regional basis if it determines to undertake patent issuance in protection in such country or territory. Pursuant to its PCT application, the Company expects to pursue patent protection in the United States.</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Collaboration and Worldwide License Agreement with Roche</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June 2022, we announced a worldwide license and collaboration agreement with Hoffmann-La Roche Inc. and F. Hoffmann-La Roche Ltd (collectively, Roche), or the Roche Agreement for the development and commercialization of camonsertib and specified other ATR inhibitors for the treatment of tumors with specific synthetic-lethal genomic alterations. Under the Roche Agreement, Roche assumes all subsequent development of camonsertib with the potential to expand development into additional tumor indications and multiple combination studies.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ind w:firstLine="509"/>
        <w:spacing w:after="0" w:line="269" w:lineRule="auto"/>
        <w:rPr>
          <w:sz w:val="20"/>
          <w:szCs w:val="20"/>
          <w:color w:val="auto"/>
        </w:rPr>
      </w:pPr>
      <w:r>
        <w:rPr>
          <w:rFonts w:ascii="Arial" w:cs="Arial" w:eastAsia="Arial" w:hAnsi="Arial"/>
          <w:sz w:val="17"/>
          <w:szCs w:val="17"/>
          <w:color w:val="auto"/>
        </w:rPr>
        <w:t>Under the terms of the Roche Agreement, we received a $125 million upfront payment in July 2022, and are eligible to receive up to $1.172 billion in potential clinical, regulatory, commercial and sales milestones, including up to $55 million in potential near-term payments, and royalties on global net sales ranging from high-single-digits to high-teens. We received $5.6 million in October 2022 for the transfer of clinical trial material on hand to Roche, as agreed to pursuant to the Roche Agreement. In December 2022 we received an additional payment of $4.0 million negotiated with Roche for revisions to the clinical development plan under the Roche Agreement as agreed to by the parties on July 13, 2022. The Roche Agreement also provides our company with the ability to opt-in to a 50/50 U.S. co-development and profit share arrangement, including participation in U.S. co-promotion if U.S. regulatory approval is received, that is exercisable prior to the commencement of the first pivotal clinical trial of camonsertib. If we choose to exercise the co-development and profit share option, we will continue to be eligible to receive certain clinical, regulatory, commercial and sales milestone payments, in addition to full ex-U.S. royalties. Royalties are payable by Roche on a product by product and country by country basis until the later of 12 years following the first commercial sale of a licensed product in such country or the expiration of certain exclusivity rights.</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have agreed to complete the specified ongoing clinical trials, TRESR and ATTACC, at our expense. We have also retained the right to conduct specified clinical trials of camonsertib in combination with our PKMYT1 compound, RP-6306.</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Roche Agreement was subsequently amended in October 2022 to extend the timeline to negotiate in good faith the parties’ rights and obligations with respect to certain clinical trials and to clarify indications included in the development plan that are subject to milestones.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Collaboration and License Agreement with Bristol-Myers Squibb Company</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May 2020, we entered into a collaboration and license agreement, or the BMS Agreement, with Bristol-Myers Squibb Company, or Bristol Myers Squibb, pursuant to which we and Bristol Myers Squibb have agreed to collaborate in the research and development of potential new product candidates for the treatment of cancer.</w:t>
      </w:r>
    </w:p>
    <w:p>
      <w:pPr>
        <w:spacing w:after="0" w:line="1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are providing Bristol Myers Squibb access to a selected number of our existing early SNIPRx screening campaigns and novel campaigns. We are responsible for carrying out early-stage research activities directed to identifying and validating potential targets for licensing by Bristol Myers Squibb, in accordance with a mutually agreed upon research plan. The collaboration consists of programs directed to both druggable targets and to targets commonly considered undruggable by traditional small molecule approaches. In the event that Bristol Myers Squibb elects to obtain an exclusive license on for the subsequent development, manufacture and commercialization of a program, Bristol Myers Squibb will then be solely responsible for all such worldwide activities. The research collaboration will be overseen by a joint steering committee through completion of all research activities.</w:t>
      </w:r>
    </w:p>
    <w:p>
      <w:pPr>
        <w:spacing w:after="0" w:line="16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BMS Agreement has been subsequently amended in July, September and November 2020 to expand our collaboration with Bristol Myers Squibb. We amended the BMS Agreement to, among other things: (i) include additional campaigns to the list of Existing Repare Campaigns (as such term is defined in the BMS Agreement) from which Bristol Myers Squibb may select campaigns under the BMS agreement, and (ii) enable unblinding of a Bristol Myers Squibb alliance manager in order to streamline the collaboration and selection process.</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Under the terms of the BMS Agreement, Bristol Myers Squibb paid us an initial upfront fee payment of $50.0 million. In connection with entering into the BMS Agreement, we also entered into a warrant agreement with an affiliate of Bristol Myers Squibb pursuant to which we issued a warrant for total proceeds of $15.0 million, which was automatically exercised into 750,000 common shares upon closing of our IPO at which time the warrants were cancelled.</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For each of the targets in the collaboration, we are entitled to receive, on a program-by-program basis, option exercise fees ranging in the low six figures depending on the nature of the applicable program. Bristol Myers Squibb has the right to retain rights to certain back-up programs in exchange for a one-time payment in the low eight figures per program. Additionally, we are entitled to receive additional fees ranging in the low to mid seven figures upon the selection of certain programs beyond a specified limit.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ind w:firstLine="509"/>
        <w:spacing w:after="0" w:line="277" w:lineRule="auto"/>
        <w:rPr>
          <w:sz w:val="20"/>
          <w:szCs w:val="20"/>
          <w:color w:val="auto"/>
        </w:rPr>
      </w:pPr>
      <w:r>
        <w:rPr>
          <w:rFonts w:ascii="Arial" w:cs="Arial" w:eastAsia="Arial" w:hAnsi="Arial"/>
          <w:sz w:val="18"/>
          <w:szCs w:val="18"/>
          <w:color w:val="auto"/>
        </w:rPr>
        <w:t>In October 2021, we received notification from Bristol Myers Squibb of their option exercise for two druggable targets directed at a single synthetic lethal lesion, pursuant to the terms of the BMS Agreement.</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Under the BMS Agreement, we are entitled to receive up to $3.0 billion in total milestones across all potential programs. Such milestones consist of $301.0 million in total milestones per program, including $176.0 million in the aggregate for certain specified research, development, and regulatory milestones and $125.0 million in the aggregate for certain specified commercial milestones. We are also entitled to a tiered percentage royalty on annual net sales ranging from high-single digits to low-double digits, subject to certain specified reductions. Royalties are payable by Bristol 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a program-by-program basis, prior to the earlier of such program ceasing to be included under the BMS Agreement and expiration of the last to expire royalty term for such program, we, alone and with third parties, are prohibited from researching, developing, manufacturing and commercializing products that are directed to the applicable target for such program.</w:t>
      </w:r>
    </w:p>
    <w:p>
      <w:pPr>
        <w:spacing w:after="0" w:line="1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also have provided Bristol Myers Squibb with certain, limited rights to first negotiate with us if we determine to divest, license, or collaborate with others regarding certain existing programs, including in the event that we received an unsolicited offer to do so. The right to first negotiation expressly excludes any potential Change of Control transaction (as such term is contractually defined in the BMS Agreement).</w:t>
      </w:r>
    </w:p>
    <w:p>
      <w:pPr>
        <w:spacing w:after="0" w:line="16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BMS Agreement will expire on a licensed product-by-licensed product and country-by-country basis on expiration of the applicable royalty term and in its entirety upon expiration of the last royalty term. Either party may terminate the BMS Agreement earlier upon an uncured material breach of the agreement by the other party, or the insolvency of the other party. Additionally, Bristol Myers Squibb may terminate the BMS Agreement for any or no reason on a program-by-program basis upon specified written notice.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Services, License and Collaboration Agreement with Ono Pharmaceutical Co.</w:t>
      </w:r>
    </w:p>
    <w:p>
      <w:pPr>
        <w:spacing w:after="0" w:line="11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i w:val="1"/>
          <w:iCs w:val="1"/>
          <w:color w:val="auto"/>
        </w:rPr>
        <w:t>All payments by Ono to us are presented in U.S. dollars. Future payments as disclosed in this summary have been converted to U.S. dollars at the December 31, 2022 exchange rate of $1.00 = [131.12] Japanese yen.</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January 2019, we entered into a research services, license and collaboration agreement, or the Ono Agreement, with Ono Pharmaceutical Co., Ltd., or Ono, pursuant to which we and Ono have agreed to collaborate in the research of potential product candidates targeting Polθ and the development of our small molecule Polθ inhibitor program. We are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elects to collaborate on the subsequent development and commercialization of a proposed product candidate, Ono will then be responsible for such activities in Japan, South Korea, Taiwan, Hong Kong, Macau and certain other Southeast Asian countries, and we will be responsible for such activities in the rest of the world. The collaboration will be overseen by a joint research committee through development candidate selection and a joint steering committee thereafter. Except as set forth below, each party will bear its own expenses in connection with research, development, and commercialization activities under the Ono Agreement.</w:t>
      </w:r>
    </w:p>
    <w:p>
      <w:pPr>
        <w:spacing w:after="0" w:line="18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October 2021, we entered into an amendment to the Ono Agreement whereby the Research Term, as defined in the Ono Agreement, was extended by one year at no additional cost to us. In January 2023, we and Ono entered into a second amendment to the Ono Agreement whereby the Research Term was extended until July 31, 2023.</w:t>
      </w:r>
    </w:p>
    <w:p>
      <w:pPr>
        <w:spacing w:after="0" w:line="1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has agreed to make research service payments up to an aggregate of ¥750 million (approximately $5.7 million) upon (i) certain specified research triggers and (ii) the election by Ono to collaborate on the development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commercialization of a proposed product candidate. In October 2021 and December 2022, the Company achieved specified research triggers amounting to ¥100 million ($0.9 million) and ¥200 million ($1.5 million), respectively, as research service payments provided for in the Ono Agreement. The ¥200 million ($1.5 million) is included in the collaboration revenue receivable at December 31, 2022 and was subsequently received in January 2023. Upon election by Ono to collaborate on a proposed product candidate, Ono shall be responsible for a specified percentage of research and development costs for the IND-enabling studies of the selected product candidate. As of December 31, 2022 there was $10.5 million classified as current deferred revenue related to the Ono Agreement.</w:t>
      </w:r>
    </w:p>
    <w:p>
      <w:pPr>
        <w:spacing w:after="0" w:line="19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Under the Ono Agreement, we are also entitled to receive up to ¥5.11 billion (approximately $39.0 million) in the aggregate for certain specified development and regulatory milestones, ¥12.1 billion (approximately $92.3 million) in the aggregate for certain specified commercial milestones and a tiered percentage royalty on annual net sales in Ono’s territory ranging from high-single digits to low teens, subject to certain specified reductions. Royalties are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16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During the term of the Ono Agreement, we, alone and with third parties, are prohibited from researching, developing, manufacturing and commercializing products that inhibit or modulate Polθ as a mechanism of action in Ono’s territory (as such term is defined in the Ono Agreement). During the term of the Ono Agreement, Ono, alone and with third parties, is prohibited from researching, developing, manufacturing and commercializing products, other than licensed products, that inhibit or modulate Polθ as a mechanism of action in Ono’s territory.</w:t>
      </w:r>
    </w:p>
    <w:p>
      <w:pPr>
        <w:spacing w:after="0" w:line="17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collaboration and research obligations of the Ono Agreement may be terminated upon the mutual written consent of both parties on or before the two-year anniversary of the Ono Agreement. The Ono Agreement expires on the date of expiration of all royalty obligations. Either party may terminate the Ono Agreement earlier upon an uncured material breach of the agreement by the other party, the insolvency of the other party, or the initiation of an action challenging the validity or enforceability of a party’s patents. Additionally, Ono may terminate the Ono Agreement for any or no reason on a product-by-product and country-by-country basis upon specified written notice, as well as on a product-by-product basis for safety or efficacy reasons upon abbreviated written notice. Moreover, in the event that we are acquired by a third party and after any such acquisition the acquirer initiates a competing program in Ono’s territory, Ono will have the right to treat such initiation as a material breach.</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 with New York University</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Polθ. Upon initial entry into the license agreement, we issued New York University 60,211 common shares in December 2016 as consideration for the license.</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July 2018, we subsequently amended and restated our license agreement with NYU, which we refer to, as amended and restated, as the NYU Agreement. Pursuant to the terms of the NYU Agreement, we are obligated to use reasonable diligence in connection with the research, development, and commercialization of the licensed products (as such term is defined in the NYU Agreement), including specified minimum annual spends on research and development.</w:t>
      </w:r>
    </w:p>
    <w:p>
      <w:pPr>
        <w:spacing w:after="0" w:line="18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Ono is considered a sublicensee under the terms of the NYU Agreement. Accordingly, we have paid New York University a specified percentage of the approximately $1.0 million initial upfront fee payment we received from Ono and we will be required to pay New York University a percentage between the high teens and low twenties of any future payments received under the Ono Agreement from Ono for development, regulatory and commercial milestones, as well as low single digit royalties on annual net sales in Ono’s territory.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Payments in respect of net sales or sublicense in a country shall remain in force on a product-by-product, country-by-country basis, with respect to</w:t>
      </w:r>
    </w:p>
    <w:p>
      <w:pPr>
        <w:spacing w:after="0" w:line="46" w:lineRule="exact"/>
        <w:rPr>
          <w:sz w:val="20"/>
          <w:szCs w:val="20"/>
          <w:color w:val="auto"/>
        </w:rPr>
      </w:pPr>
    </w:p>
    <w:p>
      <w:pPr>
        <w:jc w:val="both"/>
        <w:ind w:firstLine="8"/>
        <w:spacing w:after="0" w:line="255"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products that are not covered by a licensed patent, for ten years from the date of first commercial sale in such country and (ii) products that are covered by a licensed patent, until the expiration date of the last to expire of the licensed patents covering such product or its manufacture or use in the applicable country.</w:t>
      </w:r>
    </w:p>
    <w:p>
      <w:pPr>
        <w:spacing w:after="0" w:line="19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NYU Agreement expires on the date of expiration of all royalty obligations. Either party may terminate the NYU Agreement earlier upon an uncured material breach of NYU Agreement by the other party or the insolvency of the other party.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Currently, we have manufacturing and supply agreements with our CMOs for the manufacture of RP-6306 and our preclinical candidates, including the synthesis of the active pharmaceutical ingredient, or API, as well as drug product. Roche will manufacture and supply camonsertib for ongoing and future trials, in compliance with cGMP requirements.</w:t>
      </w:r>
    </w:p>
    <w:p>
      <w:pPr>
        <w:spacing w:after="0" w:line="18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plan to continue to rely on third-party manufacturers for any future trials and commercialization of RP-6306, and any future product candidates, if approved, and will rely on Roche to manufacture and supply camonsertib for any future trials and commercialization, if approved. We anticipate that Roche and these CMOs will have capacity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8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(acquired by Eli Lilly and Company), Blueprint Medicines Corporation, SpringWorks Therapeutics, Inc., Black Diamond Therapeutics, Inc., Deciphera Pharmaceuticals, Inc., Tango Therapeutics, Inc., Zentalis Pharmaceuticals, Inc., Turning Point Therapeutics, Inc. (acquired by Bristol Myers Squibb), and Exelixis, Inc. are developing precision oncology medicines. In addition, we may face competition from companies developing product candidates that are based on SL, including AstraZeneca, GlaxoSmithKline, Pfizer, Bayer, Merck Serono, Schrodinger, Inc., Exelixis, Inc., Artios Pharma Ltd., IDEAYA Biosciences, Inc, Impact Therapeutics, Aprea Therapeutics, Acrivon Therapeutics, Treadwell Therapeutics, Debiopharm Group, Varsity Pharma, Breakpoint Therapeutics, and Rhizen Pharmaceuticals AG.</w:t>
      </w:r>
    </w:p>
    <w:p>
      <w:pPr>
        <w:spacing w:after="0" w:line="19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With respect to our initial product candidate, camonsertib (now partnered with Roche), several companies are developing ATR inhibitors with multiple monotherapy and/or combination trials ongoing, including AstraZeneca (AZD6738), Bayer (BAY1895344), Merck Serono (M4344, M6620, M1774) and most recently, Artios Pharma (ATR0380), Aprea Therapeutics/Atrin Pharmaceuticals (ATRN-119), and Impact Therapeutics (IMP9064). The intensity of trials with ATR inhibitors as monotherapy and in combination with immune-oncology compounds, chemotherapy and radiation, as well as other DDR inhibitors significantly increased over the last several months.</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With respect to our PKMYT1 inhibitor product candidate, RP-6306, Exelixis, Inc. and Acrivon Therapeutics have disclosed PKMYT1 inhibitor programs in early preclinical development.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ind w:firstLine="509"/>
        <w:spacing w:after="0" w:line="308" w:lineRule="auto"/>
        <w:rPr>
          <w:sz w:val="20"/>
          <w:szCs w:val="20"/>
          <w:color w:val="auto"/>
        </w:rPr>
      </w:pPr>
      <w:r>
        <w:rPr>
          <w:rFonts w:ascii="Arial" w:cs="Arial" w:eastAsia="Arial" w:hAnsi="Arial"/>
          <w:sz w:val="17"/>
          <w:szCs w:val="17"/>
          <w:color w:val="auto"/>
        </w:rPr>
        <w:t>For our preclinical Polθ inhibitor program, Artios Pharma (ART-4215), IDEAYA Biosciences (in collaboration with GlaxoSmithKline plc), Varsity Pharma, Breakpoint Therapeutics, and Rhizen Pharmaceuticals AG have Polθ programs in various stages of clinical and preclinical development.</w:t>
      </w:r>
    </w:p>
    <w:p>
      <w:pPr>
        <w:spacing w:after="0" w:line="14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compete for available patient pool, slowing our accrual in trials,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or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6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17" w:lineRule="exact"/>
        <w:rPr>
          <w:sz w:val="20"/>
          <w:szCs w:val="20"/>
          <w:color w:val="auto"/>
        </w:rPr>
      </w:pPr>
    </w:p>
    <w:p>
      <w:pPr>
        <w:jc w:val="both"/>
        <w:ind w:left="1020" w:hanging="503"/>
        <w:spacing w:after="0" w:line="286"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57"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75" w:lineRule="exact"/>
        <w:rPr>
          <w:rFonts w:ascii="Arial" w:cs="Arial" w:eastAsia="Arial" w:hAnsi="Arial"/>
          <w:sz w:val="18"/>
          <w:szCs w:val="18"/>
          <w:color w:val="auto"/>
        </w:rPr>
      </w:pPr>
    </w:p>
    <w:p>
      <w:pPr>
        <w:jc w:val="both"/>
        <w:ind w:left="1020" w:hanging="503"/>
        <w:spacing w:after="0" w:line="275"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ind w:firstLine="509"/>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18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8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8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and regularly update FDA on their progress,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6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6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w:t>
      </w:r>
    </w:p>
    <w:p>
      <w:pPr>
        <w:spacing w:after="0" w:line="15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14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6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9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left="52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9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Healthcare Laws and Regulations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7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80"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federal civil and criminal false claims laws, including the FCA, and civil monetary penalties laws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color w:val="auto"/>
        </w:rPr>
        <w:t>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6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9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other healthcare professionals (such as physicians assistants and nurse practitioners),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7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held by covered entities and their business associates and covered subcontractors.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6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7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18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additional healthcare reform measures of the Biden administration will impact the ACA.</w:t>
      </w:r>
    </w:p>
    <w:p>
      <w:pPr>
        <w:spacing w:after="0" w:line="17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included aggregate reductions of Medicare payments to providers of 2.0% per fiscal year, which went into effect in April 2013, and due to subsequent legislative amendments will remain in effect through 2031, unless additional U.S. Congressional action is taken. These Medicare sequester reductions will be suspended from May 1, 2020 through March 31, 2022 due to the COVID-19 pandemic. Under current legislation, the actual reduction in Medicare payments will vary from 1% in 2022 to up to 4%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reduction in reimbursement from Medicare or other government programs may result in a similar reduction in payments from private payors.</w:t>
      </w:r>
    </w:p>
    <w:p>
      <w:pPr>
        <w:spacing w:after="0" w:line="225"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Presidential executive orders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to advance these principles. In addition, the IRA, among other things, (1) directs HHS to negotiate the price of certain single-source drugs and biologics covered under Medicare and</w:t>
      </w:r>
    </w:p>
    <w:p>
      <w:pPr>
        <w:spacing w:after="0" w:line="6" w:lineRule="exact"/>
        <w:rPr>
          <w:sz w:val="20"/>
          <w:szCs w:val="20"/>
          <w:color w:val="auto"/>
        </w:rPr>
      </w:pPr>
    </w:p>
    <w:p>
      <w:pPr>
        <w:jc w:val="both"/>
        <w:ind w:firstLine="8"/>
        <w:spacing w:after="0" w:line="251" w:lineRule="auto"/>
        <w:tabs>
          <w:tab w:leader="none" w:pos="2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Innovation can be further leveraged to test new models for lowering drug costs for Medicare and Medicaid beneficiaries. It is unclear whether this executive order or similar policy initiatives will be implemented in the future.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February 24, 2023, we had 180 full-time employees, including 63 who hold an M.D. or Ph.D. degree. Of these full-time employees, 148 were primarily engaged in research and development activities and 32 were primarily engaged in management or general and administrative activities. None of our employees is represented by a labor union and we consider our employee relations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were incorporated under the Canada Business Corporations Act on September 6, 2016. Immediately prior to completion of our initial public offering on June 23, 2020, we were continued as a corporation under the Business Corporations Act (Québec), or the QBCA. Our principal executive offices are located at 7210 Frederick-Banting, Suite 100, St-Laurent, Quebec, H4S 2A1 and our telephone number is 857-412-7018. In June 2017, we incorporated our wholly-owned subsidiary, Repare Therapeutics USA Inc., a Delaware corporation, which is located at 101 Main Street, Suite 1650, Cambridge, Massachusetts 02142.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maintain an internet website at www.reparerx.com and make available free of charge through our website our Annual Reports on Form 10-K, Quarterly Reports on Form 10-Q, Current Reports on Form 8-K and amendments to those reports filed or furnished pursuant to Sections 13(a) and 15(d) of the Exchange Act of 1934 (the “Exchange Act”). We make these reports available through our website as soon as reasonably practicable after we electronically file such reports with, or furnish such reports to, the Securities and Exchange Commission (the “SEC”). You can review our electronically filed reports and other information that we file with the SEC on the SEC’s web site at http://www.sec.gov and on SEDAR at http://www.sedar.com. In addition, we regularly use our website to post information regarding our business, product development programs and governance, and we encourage investors to use our website, specifically the sections title “Investors &amp; Media” as a source of information about us.</w:t>
      </w:r>
    </w:p>
    <w:p>
      <w:pPr>
        <w:spacing w:after="0" w:line="17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information on our website is not incorporated by reference into this Annual Report on Form 10-K and should not be considered to be part of this Annual Report on Form 10-K. Our website address is included in this Annual Report on Form 10-K as an inactive technical reference only.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a 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clinical development, including continuing our open-label Phase 1/2 clinical trials of camonsertib and our ongoing Phase 1 clinical trials of RP-6306,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have no products approved for commercial sale and have not generated any product revenue to date, and we are devoting substantially all of our financial resources and efforts to research and development of our product candidates including camonsertib and RP-6306, as well as to enhancing our SNIPRx platform. To date, we have primarily funded our operations through sales of equity securities, including our IPO in June 2020 and our follow-on offering in November 2021, as well as upfront payments from collaboration and research agreements.</w:t>
      </w:r>
    </w:p>
    <w:p>
      <w:pPr>
        <w:spacing w:after="0" w:line="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incurred significant operating losses since our inception in 2016. Our net loss was $29.0 million, and $106.9 million for the years ended December 31, 2022 and 2021, respectively. As of December 31, 2022, we had an accumulated deficit of $239.3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79" w:lineRule="exact"/>
        <w:rPr>
          <w:sz w:val="20"/>
          <w:szCs w:val="20"/>
          <w:color w:val="auto"/>
        </w:rPr>
      </w:pPr>
    </w:p>
    <w:p>
      <w:pPr>
        <w:jc w:val="center"/>
        <w:ind w:left="5540" w:right="700" w:hanging="5023"/>
        <w:spacing w:after="0" w:line="527" w:lineRule="auto"/>
        <w:tabs>
          <w:tab w:leader="none" w:pos="10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ongoing and planned development of our product candidates, including our ongoing Phase 1 clinical trials of RP-6306;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any product candidate for which we may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This will require us to be successful in a range of challenging activities, including completing clinical trials of any product candidates that we may pursue, obtaining regulatory approval, procuring commercial-scale manufacturing, marketing, and selling any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w:t>
      </w:r>
    </w:p>
    <w:p>
      <w:pPr>
        <w:spacing w:after="0" w:line="16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RP-6306 or any future product candidates.</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To date, we have primarily funded our operations through sales of equity securities, including our IPO in June 2020 and our follow-on offering in November 2021, as well as upfront payments from collaboration and research agreements. We expect to spend substantial amounts to advance our product candidates into clinical development and to complete the clinical development of, seek regulatory approvals for and commercialize our product candidates, if approved. We will require additional capital, which we may raise through equity offerings, debt financings, marketing and distribution arrangements and other collaborations, milestone and royalty payments under our current or future strategic alliances and licensing arrangements or other sources to enable us to complete the development and potential commercialization of our product candidates. Furthermore, we have incurred and will continue to incur additional costs associated with operating as a public company. Adequate additional financing may not be available to us on acceptable terms, or at all. Weakness and volatility in the capital markets and the economy in general could limit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7"/>
          <w:szCs w:val="17"/>
          <w:color w:val="auto"/>
        </w:rPr>
        <w:t>access to capital markets and increase our costs of borrowing.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7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As of December 31, 2022, our cash and cash equivalents and marketable securities on hand was $343.9 million. We believe that our existing cash on hand, will enable us to fund our operating expenses and capital expenditure requirements into 2026. However, we will need to obtain substantial additional funding in connection with our continuing operations and planned activities. Our future capital requirements will depend on many factors, including:</w:t>
      </w:r>
    </w:p>
    <w:p>
      <w:pPr>
        <w:spacing w:after="0" w:line="41" w:lineRule="exact"/>
        <w:rPr>
          <w:sz w:val="20"/>
          <w:szCs w:val="20"/>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continuation of our ongoing and planned development of our product candidates, including our ongoing Phase 1 clinical trials of RP-6306;</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costs, progress and results of our ongoing clinical trials of RP-6306;</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 including the Roche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election to opt-in to the co-development and profit share arrangement of camonsertib pursuant to the Roche Agreement;</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camonsertib, RP-6306 and any future product candidates for which we or our collaborators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 of equipment and physical infrastructure to support our research and development;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camonsertib, RP-6306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30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restrict our operations, or require us to relinquish rights to our product candidates.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We are very early in our development efforts. If we are unable to advance our product candidates into and through clinical development, obtain regulatory approval and ultimately commercialize any of our product candidates, or experience significant delays in doing so, our business will be materially harmed.</w:t>
      </w:r>
    </w:p>
    <w:p>
      <w:pPr>
        <w:spacing w:after="0" w:line="7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have no products approved for sale and our initial clinical product candidates, camonsertib and RP-6306, are still in the early stages of clinical development and will require additional clinical 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by us or our collaborators of camonsertib, RP-6306 and one or more of our other product candidates. The success of our product candidates will depend on several factors, including the following:</w:t>
      </w:r>
    </w:p>
    <w:p>
      <w:pPr>
        <w:spacing w:after="0" w:line="70"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or future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is no guarantee that the results obtained in current preclinical studies, our ongoing open-label Phase 1/2 clinical trials of camonsertib, our ongoing Phase 1 clinical trials of RP-6306 or any future clinical trials of any product candidate will be sufficient to obtain regulatory approval or marketing authorization for such product candidate.</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5"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b w:val="1"/>
          <w:bCs w:val="1"/>
          <w:i w:val="1"/>
          <w:iCs w:val="1"/>
          <w:color w:val="auto"/>
        </w:rPr>
        <w:t>Our business substantially depends upon the successful development of product candidates generated through the application of our SNIPRx platform, and in particular, our initial product candidates, camonsertib and RP-6306. If we or our collaborators are unable to obtain regulatory approval for, and successfully commercialize, products developed through the application of our SNIPRx platform, our business may be materially harmed.</w:t>
      </w:r>
    </w:p>
    <w:p>
      <w:pPr>
        <w:spacing w:after="0" w:line="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initial clinical product candidates, camonsertib and RP-6306, were developed through the application of our SNIPRx platform. All of our product candidates to date were derived based on the same principle of SL. As such, negative results in the development of camonsertib or RP-6306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camonsertib or RP-6306 shows unexpected adverse events or a lack of efficacy in the indications they are intended to treat, or if we or our collaborators experience other regulatory or developmental issues, our development plans and business could be significantly harmed.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limited experience as a company in conducting clinical trials.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have limited experience as a company in conducting clinical trials. We began our first clinical trial of camonsertib in July 2020 and our first clinical trial of RP-6306 in April 2021. In part because of this lack of experience, we cannot be certain that our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There can be no assurance that we will be able to negotiate and enter into any master services agreement with CROs, as necessary, on terms that are acceptable to us on a timely basis or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left="52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have filed INDs for camonsertib and RP-6306,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ind w:left="520" w:right="20"/>
        <w:spacing w:after="0" w:line="308" w:lineRule="auto"/>
        <w:rPr>
          <w:sz w:val="20"/>
          <w:szCs w:val="20"/>
          <w:color w:val="auto"/>
        </w:rPr>
      </w:pPr>
      <w:r>
        <w:rPr>
          <w:rFonts w:ascii="Arial" w:cs="Arial" w:eastAsia="Arial" w:hAnsi="Arial"/>
          <w:sz w:val="17"/>
          <w:szCs w:val="17"/>
          <w:b w:val="1"/>
          <w:bCs w:val="1"/>
          <w:i w:val="1"/>
          <w:iCs w:val="1"/>
          <w:color w:val="auto"/>
        </w:rPr>
        <w:t>The effects of health epidemics, including the ongoing COVID-19 pandemic, in regions where we, or the third parties on which we rely, have business operations could adversely impact our business, including our preclinical studies and clinical trials.</w:t>
      </w:r>
    </w:p>
    <w:p>
      <w:pPr>
        <w:spacing w:after="0" w:line="3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The COVID-19 pandemic had a modest impact on our business operations. For example, we are aware that several clinical trial sites involved in our clinical trials have in the past temporarily stopped or delayed enrolling new patients, with exemptions if appropriate, and it is possible that these or other clinical sites may be similarly affected in the future. We and the third-party clinical investigators and CROs with whom we work have also experienced staffing shortages at clinical trial sites, which could adversely affect the timing of our current and ongoing clinical trials. While it is not possible at this time to predict the duration and extent of the impact that COVID-19 will continue to have on worldwide economic activity and our business in particular, COVID-19 could adversely impact our business and ongoing and planning clinical trials, including as a result of delays or difficulties in clinical site initiation, difficulties in recruiting and retaining clinical site investigators and clinical site staff and interruption of our clinical supply chain or key clinical trial activities, such as clinical trial site monitoring, and supply chain interruptions caused by ongoing restrictions for the supply of materials for product candidates or other materials necessary to manufacture product to conduct preclinical tests.</w:t>
      </w:r>
    </w:p>
    <w:p>
      <w:pPr>
        <w:spacing w:after="0" w:line="182"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8"/>
          <w:szCs w:val="18"/>
          <w:color w:val="auto"/>
        </w:rPr>
        <w:t>The extent to which the COVID-19 coronavirus or any future outbreaks of contagious disease may impact our business and clinical trials will depend on future developments, which are highly uncertain and cannot be predicted with confidence, such as the ultimate geographic spread of the disease, the duration of the outbreak, the results of vaccination efforts, resurgences of the virus,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will eventually provide validation of our SNIPRx platform, we have not, to date, sought regulatory approval for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9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left="52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29" w:lineRule="exact"/>
        <w:rPr>
          <w:sz w:val="20"/>
          <w:szCs w:val="20"/>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62"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62"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78"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firstLine="509"/>
        <w:spacing w:after="0" w:line="277" w:lineRule="auto"/>
        <w:rPr>
          <w:sz w:val="20"/>
          <w:szCs w:val="20"/>
          <w:color w:val="auto"/>
        </w:rPr>
      </w:pPr>
      <w:r>
        <w:rPr>
          <w:rFonts w:ascii="Arial" w:cs="Arial" w:eastAsia="Arial" w:hAnsi="Arial"/>
          <w:sz w:val="18"/>
          <w:szCs w:val="18"/>
          <w:color w:val="auto"/>
        </w:rPr>
        <w:t>We or our collaborators may experience numerous unforeseen events prior to, during, or as a result of, clinical trials that could delay or prevent our ability to receive marketing approval or commercialize camonsertib, RP-6306 and any future product candidates, including:</w:t>
      </w:r>
    </w:p>
    <w:p>
      <w:pPr>
        <w:spacing w:after="0" w:line="62"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62"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camonsertib, RP-6306 and any future product candidates will take several years to complete. Furthermore, failure can occur at any stage, and we could encounter problems that cause us to abandon or repeat clinical trials.</w:t>
      </w:r>
    </w:p>
    <w:p>
      <w:pPr>
        <w:spacing w:after="0" w:line="293"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initiated our first clinical trial, an open-label Phase 1/2 clinical trial of camonsertib, in the third quarter of 2020 and initiated a Phase 1 clinical trial of RP-6306 in the second quarter of 2021.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w:t>
      </w:r>
    </w:p>
    <w:p>
      <w:pPr>
        <w:spacing w:after="0" w:line="18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The changing regulatory landscape may require larger and randomized trials that will take a longer time to perform.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jc w:val="both"/>
        <w:ind w:firstLine="509"/>
        <w:spacing w:after="0" w:line="269" w:lineRule="auto"/>
        <w:rPr>
          <w:sz w:val="20"/>
          <w:szCs w:val="20"/>
          <w:color w:val="auto"/>
        </w:rPr>
      </w:pPr>
      <w:r>
        <w:rPr>
          <w:rFonts w:ascii="Arial" w:cs="Arial" w:eastAsia="Arial" w:hAnsi="Arial"/>
          <w:sz w:val="17"/>
          <w:szCs w:val="17"/>
          <w:color w:val="auto"/>
        </w:rPr>
        <w:t>Additionally, some of our trials may be open-label studies, where both the patient and investigator know whether the patient is receiving the investigational product candidate or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Further, as our trials are in patients who encountered multiple therapy failures previously, interpretation of results may be biased both towards lesser activity and at the same time towards a population that is able to tolerate and possibly benefit from novel therapies. Hence interpretation of any results from this population may not directly translate to our eventual pivotal trial population that will likely be more homogenous and less pretreated.</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of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ongoing and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 There is a limited history of multi-tumor indications, and any regulatory approvals may be conditioned upon confirmatory trials with clinical endpoints 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Aside from PARP inhibitors, such as Lynparza, Rubraca, Zejula and Talzenna, no small molecule inhibitor therapeutics for SL in DNA damage have been approved to date by the FDA or other comparable regulators. Adverse events in future clinical trials of our product candidates or in clinical trials of others developing similar products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jc w:val="both"/>
        <w:spacing w:after="0" w:line="269" w:lineRule="auto"/>
        <w:rPr>
          <w:sz w:val="20"/>
          <w:szCs w:val="20"/>
          <w:color w:val="auto"/>
        </w:rPr>
      </w:pPr>
      <w:r>
        <w:rPr>
          <w:rFonts w:ascii="Arial" w:cs="Arial" w:eastAsia="Arial" w:hAnsi="Arial"/>
          <w:sz w:val="17"/>
          <w:szCs w:val="17"/>
          <w:color w:val="auto"/>
        </w:rPr>
        <w:t>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29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8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6"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left="520" w:right="20"/>
        <w:spacing w:after="0" w:line="277" w:lineRule="auto"/>
        <w:rPr>
          <w:sz w:val="20"/>
          <w:szCs w:val="20"/>
          <w:color w:val="auto"/>
        </w:rPr>
      </w:pPr>
      <w:r>
        <w:rPr>
          <w:rFonts w:ascii="Arial" w:cs="Arial" w:eastAsia="Arial" w:hAnsi="Arial"/>
          <w:sz w:val="18"/>
          <w:szCs w:val="18"/>
          <w:b w:val="1"/>
          <w:bCs w:val="1"/>
          <w:i w:val="1"/>
          <w:iCs w:val="1"/>
          <w:color w:val="auto"/>
        </w:rPr>
        <w:t>Difficulty in enrolling patients could delay or prevent clinical trials of our product candidates. We may find it difficult to enroll patients in our ongoing and planned clinical trials with the genomic alterations that these trials are designed to target.</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identified by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our ability to enroll eligible patients may be limited or may result in slower enrollment than we anticipate. Certain genes identified by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may not yet be included in commercially available panels or CLIA-validated panels used in large academic centers. We cannot be certain how many patients will have each of the genomic alterations that the applicable product candidate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trials.</w:t>
      </w:r>
    </w:p>
    <w:p>
      <w:pPr>
        <w:spacing w:after="0" w:line="19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 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clinical trials will compete with other clinical trials for product candidates that are in the same therapeutic areas as our product candidates, and this competition will reduce the number and types of patients available 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9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54"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3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14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76" w:lineRule="exact"/>
        <w:rPr>
          <w:sz w:val="20"/>
          <w:szCs w:val="20"/>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28" w:lineRule="exact"/>
        <w:rPr>
          <w:rFonts w:ascii="Arial" w:cs="Arial" w:eastAsia="Arial" w:hAnsi="Arial"/>
          <w:sz w:val="17"/>
          <w:szCs w:val="17"/>
          <w:color w:val="auto"/>
        </w:rPr>
      </w:pPr>
    </w:p>
    <w:p>
      <w:pPr>
        <w:ind w:left="1020" w:right="20" w:hanging="503"/>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82" w:lineRule="exact"/>
        <w:rPr>
          <w:sz w:val="20"/>
          <w:szCs w:val="20"/>
          <w:color w:val="auto"/>
        </w:rPr>
      </w:pPr>
    </w:p>
    <w:p>
      <w:pPr>
        <w:jc w:val="both"/>
        <w:ind w:left="52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9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firstLine="509"/>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 xml:space="preserve">The FDA and other comparable regulatory authorities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 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For example, the genomic alterations our compounds are addressing, such as ATM loss and CCNE1 amplification, are uncommon genetic alterations in tumors, or their subsets and their prognostic significance has not been fully validated for the patient populations that we are targeting. Such development risk contributes to the costs that we may need to bear in validating the alterations as well as the optimal method of diagnostic screening for our clinical trial populations.</w:t>
      </w:r>
    </w:p>
    <w:p>
      <w:pPr>
        <w:spacing w:after="0" w:line="1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may explore the use of our product candidates in combination with other therapies, including those that are not yet approved. For example, pursuant to the terms of the Roche Agreement, we have retained the right to conduct specified clinical trials of camonsertib in combination with RP-6306.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9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ind w:firstLine="509"/>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8"/>
          <w:szCs w:val="18"/>
          <w:color w:val="auto"/>
        </w:rPr>
        <w:t>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76"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or adequate reimbursement by third-party payors and government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jc w:val="both"/>
        <w:ind w:firstLine="509"/>
        <w:spacing w:after="0" w:line="277"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8"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3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 larger research and development team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both"/>
        <w:spacing w:after="0" w:line="273" w:lineRule="auto"/>
        <w:rPr>
          <w:sz w:val="20"/>
          <w:szCs w:val="20"/>
          <w:color w:val="auto"/>
        </w:rPr>
      </w:pPr>
      <w:r>
        <w:rPr>
          <w:rFonts w:ascii="Arial" w:cs="Arial" w:eastAsia="Arial" w:hAnsi="Arial"/>
          <w:sz w:val="17"/>
          <w:szCs w:val="17"/>
          <w:color w:val="auto"/>
        </w:rPr>
        <w:t>biopharmaceutical companies, including Loxo Oncology, Inc. (acquired by Eli Lilly and Company), Blueprint Medicines Corporation, SpringWorks Therapeutics, Inc., Black Diamond Therapeutics, Inc., Deciphera Pharmaceuticals, Inc., Tango Therapeutics, Inc., Zentalis Pharmaceuticals, Inc., Turning Point Therapeutics, Inc. (acquired by Bristol Myers Squibb), and Exelixis, Inc. are developing precision oncology medicines. In addition, we may face competition from companies developing product candidates that are based on SL, including AstraZeneca, GlaxoSmithKline, Pfizer, Bayer, Merck Serono, Schrodinger, Inc., Exelixis, Inc., Artios Pharma Ltd., IDEAYA Biosciences, Inc, Impact Therapeutics, Aprea Therapeutics, Acrivon Therapeutics, Treadwell Therapeutics, Debiopharm Group, Varsity Pharma, Breakpoint Therapeutics, and Rhizen Pharmaceuticals AG.</w:t>
      </w:r>
    </w:p>
    <w:p>
      <w:pPr>
        <w:spacing w:after="0" w:line="17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76"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tariffs, export controls, sanctions, trade barriers and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such as the military conflict involving Russia and Ukraine,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left="52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profitably or at all, if approved.</w:t>
      </w:r>
    </w:p>
    <w:p>
      <w:pPr>
        <w:spacing w:after="0" w:line="6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8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any product candidates that we develop.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jc w:val="both"/>
        <w:ind w:firstLine="509"/>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any of our products once approved, market acceptance and commercial success would be limited.</w:t>
      </w:r>
    </w:p>
    <w:p>
      <w:pPr>
        <w:spacing w:after="0" w:line="272"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60"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6"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12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7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firstLine="509"/>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4" w:lineRule="exact"/>
        <w:rPr>
          <w:sz w:val="20"/>
          <w:szCs w:val="20"/>
          <w:color w:val="auto"/>
        </w:rPr>
      </w:pPr>
    </w:p>
    <w:p>
      <w:pPr>
        <w:ind w:left="1020" w:right="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physicians, and third-party payors are subject, directly or indirectly, to federal and state healthcare fraud and abuse laws, false claims laws, transparency, health information privacy and security laws, and other healthcare laws and regulations. If we are unable to comply, or have not fully complied, with such laws, we could face substantial penalties.</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Such laws include:</w:t>
      </w:r>
    </w:p>
    <w:p>
      <w:pPr>
        <w:spacing w:after="0" w:line="80" w:lineRule="exact"/>
        <w:rPr>
          <w:sz w:val="20"/>
          <w:szCs w:val="20"/>
          <w:color w:val="auto"/>
        </w:rPr>
      </w:pPr>
    </w:p>
    <w:p>
      <w:pPr>
        <w:jc w:val="both"/>
        <w:ind w:left="1020" w:hanging="503"/>
        <w:spacing w:after="0" w:line="255"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4"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jc w:val="both"/>
        <w:ind w:left="503"/>
        <w:spacing w:after="0" w:line="255" w:lineRule="auto"/>
        <w:rPr>
          <w:sz w:val="20"/>
          <w:szCs w:val="20"/>
          <w:color w:val="auto"/>
        </w:rPr>
      </w:pPr>
      <w:r>
        <w:rPr>
          <w:rFonts w:ascii="Arial" w:cs="Arial" w:eastAsia="Arial" w:hAnsi="Arial"/>
          <w:sz w:val="18"/>
          <w:szCs w:val="18"/>
          <w:color w:val="auto"/>
        </w:rPr>
        <w:t>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84" w:lineRule="exact"/>
        <w:rPr>
          <w:sz w:val="20"/>
          <w:szCs w:val="20"/>
          <w:color w:val="auto"/>
        </w:rPr>
      </w:pPr>
    </w:p>
    <w:p>
      <w:pPr>
        <w:jc w:val="both"/>
        <w:ind w:left="503" w:hanging="503"/>
        <w:spacing w:after="0" w:line="275" w:lineRule="auto"/>
        <w:tabs>
          <w:tab w:leader="none" w:pos="50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8" w:lineRule="exact"/>
        <w:rPr>
          <w:rFonts w:ascii="Arial" w:cs="Arial" w:eastAsia="Arial" w:hAnsi="Arial"/>
          <w:sz w:val="17"/>
          <w:szCs w:val="17"/>
          <w:color w:val="auto"/>
        </w:rPr>
      </w:pPr>
    </w:p>
    <w:p>
      <w:pPr>
        <w:jc w:val="both"/>
        <w:ind w:left="503" w:hanging="503"/>
        <w:spacing w:after="0" w:line="290" w:lineRule="auto"/>
        <w:tabs>
          <w:tab w:leader="none" w:pos="503"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and their business associates, independent contractors of a covered entity that perform certain services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7" w:lineRule="exact"/>
        <w:rPr>
          <w:rFonts w:ascii="Arial" w:cs="Arial" w:eastAsia="Arial" w:hAnsi="Arial"/>
          <w:sz w:val="16"/>
          <w:szCs w:val="16"/>
          <w:color w:val="auto"/>
        </w:rPr>
      </w:pPr>
    </w:p>
    <w:p>
      <w:pPr>
        <w:ind w:left="503" w:hanging="503"/>
        <w:spacing w:after="0" w:line="277" w:lineRule="auto"/>
        <w:tabs>
          <w:tab w:leader="none" w:pos="5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62" w:lineRule="exact"/>
        <w:rPr>
          <w:rFonts w:ascii="Arial" w:cs="Arial" w:eastAsia="Arial" w:hAnsi="Arial"/>
          <w:sz w:val="18"/>
          <w:szCs w:val="18"/>
          <w:color w:val="auto"/>
        </w:rPr>
      </w:pPr>
    </w:p>
    <w:p>
      <w:pPr>
        <w:jc w:val="both"/>
        <w:ind w:left="503" w:hanging="503"/>
        <w:spacing w:after="0" w:line="273" w:lineRule="auto"/>
        <w:tabs>
          <w:tab w:leader="none" w:pos="50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 other transfers of value to physicians (currently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w:t>
      </w:r>
    </w:p>
    <w:p>
      <w:pPr>
        <w:spacing w:after="0" w:line="69" w:lineRule="exact"/>
        <w:rPr>
          <w:rFonts w:ascii="Arial" w:cs="Arial" w:eastAsia="Arial" w:hAnsi="Arial"/>
          <w:sz w:val="17"/>
          <w:szCs w:val="17"/>
          <w:color w:val="auto"/>
        </w:rPr>
      </w:pPr>
    </w:p>
    <w:p>
      <w:pPr>
        <w:jc w:val="both"/>
        <w:ind w:left="503" w:hanging="503"/>
        <w:spacing w:after="0" w:line="289" w:lineRule="auto"/>
        <w:tabs>
          <w:tab w:leader="none" w:pos="50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58" w:lineRule="exact"/>
        <w:rPr>
          <w:rFonts w:ascii="Arial" w:cs="Arial" w:eastAsia="Arial" w:hAnsi="Arial"/>
          <w:sz w:val="16"/>
          <w:szCs w:val="16"/>
          <w:color w:val="auto"/>
        </w:rPr>
      </w:pPr>
    </w:p>
    <w:p>
      <w:pPr>
        <w:ind w:left="503" w:hanging="503"/>
        <w:spacing w:after="0" w:line="277" w:lineRule="auto"/>
        <w:tabs>
          <w:tab w:leader="none" w:pos="5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w:t>
      </w:r>
    </w:p>
    <w:p>
      <w:pPr>
        <w:spacing w:after="0" w:line="170"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76" w:name="page77"/>
    <w:bookmarkEnd w:id="76"/>
    <w:p>
      <w:pPr>
        <w:ind w:left="1020"/>
        <w:spacing w:after="0"/>
        <w:rPr>
          <w:sz w:val="20"/>
          <w:szCs w:val="20"/>
          <w:color w:val="auto"/>
        </w:rPr>
      </w:pPr>
      <w:r>
        <w:rPr>
          <w:rFonts w:ascii="Arial" w:cs="Arial" w:eastAsia="Arial" w:hAnsi="Arial"/>
          <w:sz w:val="18"/>
          <w:szCs w:val="18"/>
          <w:color w:val="auto"/>
        </w:rPr>
        <w:t>consumer protection laws, laws relating to the marketing of health products and other healthcare-related laws.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304"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the United States and other jurisdictions, there have been, and we expect there will continue to be, a number of legislative and regulatory changes and proposed changes to the healthcare system that could affect our future results of operations. For example, in March 2010, the Patient Protection and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49" w:lineRule="exact"/>
        <w:rPr>
          <w:sz w:val="20"/>
          <w:szCs w:val="20"/>
          <w:color w:val="auto"/>
        </w:rPr>
      </w:pPr>
    </w:p>
    <w:p>
      <w:pPr>
        <w:jc w:val="both"/>
        <w:ind w:left="102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Moreover,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also unclear how any such challenges and other litigation, and further healthcare reform measures of the Biden administration will impact the ACA and our business.</w:t>
      </w:r>
    </w:p>
    <w:p>
      <w:pPr>
        <w:spacing w:after="0" w:line="179"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until 2031 unless additional action is taken by Congress. These Medicare sequester reductions had been suspended from May 1, 2020 through March 31, 2022 due to the COVID-19 pandemic. Under current legislation, the actual reduction in Medicare payments will vary from 1% in 2022 to up to 4%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7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 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We expect that additional U.S. federal healthcare reform measures will be adopted in the future, any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which could limit the amounts that the U.S. federal government will pay for healthcare products and services, which could result in reduced demand for our product candidates or additional pricing pressures.</w:t>
      </w:r>
    </w:p>
    <w:p>
      <w:pPr>
        <w:spacing w:after="0" w:line="1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7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jc w:val="both"/>
        <w:ind w:firstLine="509"/>
        <w:spacing w:after="0" w:line="254"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9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jc w:val="both"/>
        <w:ind w:left="52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Trade controls may restrict or prohibit altogether the sale or supply of certain products and services to certain governments, persons, entities, countries, and territories, including those that are the target of comprehensive sanctions, unless there are license exceptions that apply or specific licenses are obtained.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8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70"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300" w:lineRule="exact"/>
        <w:rPr>
          <w:sz w:val="20"/>
          <w:szCs w:val="20"/>
          <w:color w:val="auto"/>
        </w:rPr>
      </w:pPr>
    </w:p>
    <w:p>
      <w:pPr>
        <w:jc w:val="both"/>
        <w:ind w:left="5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6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war, disease outbreaks or public health pandemics, power loss, telecommunications failure, unauthorized entry, computer viruses, denial-of-service attacks, acts of terrorism, human error, vandalism or sabotage, financial insolvency, bankruptcy, and similar events. For example, the COVID-19 pandemic has impacted our supply chain, in particular our vendors’ ability to find staff, and may in the future impact our manufacturing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jc w:val="both"/>
        <w:ind w:firstLine="509"/>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ongoing and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as appropriate, or if these collaborations are not successful, our business could be adversely affected.</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6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For example, we are currently party to a collaboration agreement with Ono Pharmaceutical Co., or Ono, pursuant to which we and Ono have agreed to collaborate in the research of potential product candidates targeting Polθ and the development of our small molecule Polθ inhibitor program. Similarly, in May 2020, we entered into a collaboration and license agreement with Bristol Myers Squibb pursuant to which we and Bristol Myers Squibb have agreed to collaborate in the research and development of potential new product candidates for the treatment of cancer. In June 2022, we entered into a collaboration and license agreement with Roche regarding the development and commercialization of our product candidate camonsertib and other specified ATR inhibitors. These and any future collaborations we enter into may pose a number of risks, including, but not limited to, the following:</w:t>
      </w:r>
    </w:p>
    <w:p>
      <w:pPr>
        <w:spacing w:after="0" w:line="56"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left="10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20" w:right="20" w:hanging="503"/>
        <w:spacing w:after="0" w:line="342"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 may choose to deemphasize the development or commercialization of a product candidate licensed to it by us;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our collaboration and license agreement with Bristol Myers Squibb, we are entitled to receive up to $301.0 million in total milestones per each program subject to the agreement. However, given the overlapping nature of the triggers for these milestone payments, as well as the uncertainty associated with achieving any of such milestones, it is unlikely that we will receive the entire $301.0 million in milestone payments with respect to each program subject to the agreement.</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Annual Report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face significant competition in seeking appropriate collaborative partners. Our ability to reach a definitive agreement for a partnership will depend, among other things, upon an assessment of the collaborator’s resources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jc w:val="both"/>
        <w:spacing w:after="0" w:line="293" w:lineRule="auto"/>
        <w:rPr>
          <w:sz w:val="20"/>
          <w:szCs w:val="20"/>
          <w:color w:val="auto"/>
        </w:rPr>
      </w:pPr>
      <w:r>
        <w:rPr>
          <w:rFonts w:ascii="Arial" w:cs="Arial" w:eastAsia="Arial" w:hAnsi="Arial"/>
          <w:sz w:val="16"/>
          <w:szCs w:val="16"/>
          <w:color w:val="auto"/>
        </w:rPr>
        <w:t>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6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8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Roche controls prosecution of patents related to their in-license on camonsertib.</w:t>
      </w:r>
    </w:p>
    <w:p>
      <w:pPr>
        <w:spacing w:after="0" w:line="19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clinical trials, the period of time during which we could market our product candidates under patent protection would be reduced.</w:t>
      </w:r>
    </w:p>
    <w:p>
      <w:pPr>
        <w:spacing w:after="0" w:line="22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1020" w:right="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ind w:left="52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6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62" w:lineRule="exact"/>
        <w:rPr>
          <w:sz w:val="20"/>
          <w:szCs w:val="20"/>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62"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9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jc w:val="both"/>
        <w:spacing w:after="0" w:line="271" w:lineRule="auto"/>
        <w:rPr>
          <w:sz w:val="20"/>
          <w:szCs w:val="20"/>
          <w:color w:val="auto"/>
        </w:rPr>
      </w:pPr>
      <w:r>
        <w:rPr>
          <w:rFonts w:ascii="Arial" w:cs="Arial" w:eastAsia="Arial" w:hAnsi="Arial"/>
          <w:sz w:val="17"/>
          <w:szCs w:val="17"/>
          <w:color w:val="auto"/>
        </w:rPr>
        <w:t>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62"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ind w:lef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jc w:val="both"/>
        <w:spacing w:after="0" w:line="301" w:lineRule="auto"/>
        <w:rPr>
          <w:sz w:val="20"/>
          <w:szCs w:val="20"/>
          <w:color w:val="auto"/>
        </w:rPr>
      </w:pPr>
      <w:r>
        <w:rPr>
          <w:rFonts w:ascii="Arial" w:cs="Arial" w:eastAsia="Arial" w:hAnsi="Arial"/>
          <w:sz w:val="16"/>
          <w:szCs w:val="16"/>
          <w:color w:val="auto"/>
        </w:rPr>
        <w:t>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6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expect to rely on trademarks as one means to distinguish any of our product candidates that are approved for marketing from the products of our competitors. While we have a registered a trademark for our SNIPRx platform and SNIPDX biomarker platform technology, we have not yet selected trademarks for RP-6306 and have not yet begun the process of applying to register trademarks for RP-6306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any proprietary name we propose to use with RP-6306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to the FDA. Comparable foreign regulators may have similar requirements, and it is possible that different proprietary or non-proprietary names may be required in different jurisdictions.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our business and competitive position would be harmed.</w:t>
      </w:r>
    </w:p>
    <w:p>
      <w:pPr>
        <w:spacing w:after="0" w:line="14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520" w:right="2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our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8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jc w:val="both"/>
        <w:ind w:right="20"/>
        <w:spacing w:after="0" w:line="263" w:lineRule="auto"/>
        <w:rPr>
          <w:sz w:val="20"/>
          <w:szCs w:val="20"/>
          <w:color w:val="auto"/>
        </w:rPr>
      </w:pPr>
      <w:r>
        <w:rPr>
          <w:rFonts w:ascii="Arial" w:cs="Arial" w:eastAsia="Arial" w:hAnsi="Arial"/>
          <w:sz w:val="18"/>
          <w:szCs w:val="18"/>
          <w:color w:val="auto"/>
        </w:rPr>
        <w:t>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7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of February 24, 2023, we had 180 full-time employees, including 148 employees engaged in research and development and 32 engaged in management or general and administrative activities. As our clinical development and commercialization plans and strategies develop, we expect we will need additional managerial, operational, sales, marketing, financial, legal and other personnel. Future growth would impose significant added responsibilities on members of management, including:</w:t>
      </w:r>
    </w:p>
    <w:p>
      <w:pPr>
        <w:spacing w:after="0" w:line="79"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ongoing Phase 1 clinical trials of RP-6306,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jc w:val="both"/>
        <w:ind w:firstLine="509"/>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2"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18"/>
          <w:szCs w:val="18"/>
          <w:color w:val="auto"/>
        </w:rPr>
        <w:t>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96"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6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jc w:val="both"/>
        <w:spacing w:after="0" w:line="286" w:lineRule="auto"/>
        <w:rPr>
          <w:sz w:val="20"/>
          <w:szCs w:val="20"/>
          <w:color w:val="auto"/>
        </w:rPr>
      </w:pPr>
      <w:r>
        <w:rPr>
          <w:rFonts w:ascii="Arial" w:cs="Arial" w:eastAsia="Arial" w:hAnsi="Arial"/>
          <w:sz w:val="16"/>
          <w:szCs w:val="16"/>
          <w:color w:val="auto"/>
        </w:rPr>
        <w:t>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jc w:val="both"/>
        <w:spacing w:after="0" w:line="271" w:lineRule="auto"/>
        <w:rPr>
          <w:sz w:val="20"/>
          <w:szCs w:val="20"/>
          <w:color w:val="auto"/>
        </w:rPr>
      </w:pPr>
      <w:r>
        <w:rPr>
          <w:rFonts w:ascii="Arial" w:cs="Arial" w:eastAsia="Arial" w:hAnsi="Arial"/>
          <w:sz w:val="17"/>
          <w:szCs w:val="17"/>
          <w:color w:val="auto"/>
        </w:rPr>
        <w:t>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trading price of our common shares has been and is likely to continue to be volatile and fluctuate substantially.</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trading price of our common shares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shareholders may not be able to sell their common shares at or above the price they paid for their common shares. The market price of our common shares may be influenced by many factors, including:</w:t>
      </w:r>
    </w:p>
    <w:p>
      <w:pPr>
        <w:spacing w:after="0" w:line="63"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ongoing COVID-19 pandemic and its impact on the global markets;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ongoing clinical trials of RP-6306, camonsertib and any future product candidates or those of our competitors;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expenses related to camonsertib, RP-6306 and any future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ind w:left="102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Annual Report.</w:t>
      </w:r>
    </w:p>
    <w:p>
      <w:pPr>
        <w:spacing w:after="0" w:line="22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Based upon our common shares outstanding as of December 31, 2022, our executive officers, directors, and shareholders who owned more than 5% of our outstanding common shares beneficially own shares, in the aggregate, representing approximately 66% of our common shares. If our executive officers, directors, and shareholders who owned more than 5% of our outstanding common shares acted together, they would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7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trading market for our common shares will be influenced by the research and reports that industry or financial analysts publish about us or our business. We will not have any control over these equity research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ind w:left="520" w:right="20"/>
        <w:spacing w:after="0" w:line="277" w:lineRule="auto"/>
        <w:rPr>
          <w:sz w:val="20"/>
          <w:szCs w:val="20"/>
          <w:color w:val="auto"/>
        </w:rPr>
      </w:pPr>
      <w:r>
        <w:rPr>
          <w:rFonts w:ascii="Arial" w:cs="Arial" w:eastAsia="Arial" w:hAnsi="Arial"/>
          <w:sz w:val="18"/>
          <w:szCs w:val="18"/>
          <w:b w:val="1"/>
          <w:bCs w:val="1"/>
          <w:i w:val="1"/>
          <w:iCs w:val="1"/>
          <w:color w:val="auto"/>
        </w:rPr>
        <w:t>The sale of a substantial number of our common shares in the public market could cause the market price of our shares to drop significantly, even if our business is doing well.</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Sales of a substantial number of our common shares in the public market could occur at any time. If our shareholders sell, or the market perceived that our shareholders intend to sell, substantial amounts of our common shares in the public market, the market price of our common shares could decline significantly.</w:t>
      </w:r>
    </w:p>
    <w:p>
      <w:pPr>
        <w:spacing w:after="0" w:line="1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have filed registration statements on Form S-8 to register our common shares that are issuable pursuant to our equity incentive plans. Shares registered under these registration statements on Form S-8 will be available for sale in the public market subject to vesting arrangements and exercise of options, as well as, in the case of our affiliates, the restrictions of Rule 144 under the Securities Act. Furthermore, in August 2022, we entered into the Sales Agreement with Cowen and Company, LLC as sales agent, pursuant to which we may issue and sell from time to time common shares up to a maximum aggregate amount of $125.0 million in sales deemed to be an “at the market offering,” as defined by the Securities Act.</w:t>
      </w:r>
    </w:p>
    <w:p>
      <w:pPr>
        <w:spacing w:after="0" w:line="16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Additionally, as of December 31, 2022, certain holders of an aggregate of 17,894,178 common shares, or their transferees,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6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w:t>
      </w:r>
    </w:p>
    <w:p>
      <w:pPr>
        <w:spacing w:after="0" w:line="26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articles of continuance permit us to issue an unlimited number of common shares and preferred shares without additional shareholder approval.</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articles of continuance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articles of continuance also permit us to issue an unlimited number of preferred shares, issuable in one or more series and, subject to the provisions of the Business Corporations Act (Québec), or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w:t>
      </w:r>
    </w:p>
    <w:p>
      <w:pPr>
        <w:spacing w:after="0" w:line="17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27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cannot predict if the reduced reporting requirements applicable to smaller reporting companies will make our common shares less attractive to investors.</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are a “smaller reporting company” under the Exchange Act as of June 30, 2022. We may continue to be a smaller reporting company if either (i) the market value of our common shares held by non-affiliates is less than $250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jc w:val="both"/>
        <w:spacing w:after="0" w:line="273" w:lineRule="auto"/>
        <w:rPr>
          <w:sz w:val="20"/>
          <w:szCs w:val="20"/>
          <w:color w:val="auto"/>
        </w:rPr>
      </w:pPr>
      <w:r>
        <w:rPr>
          <w:rFonts w:ascii="Arial" w:cs="Arial" w:eastAsia="Arial" w:hAnsi="Arial"/>
          <w:sz w:val="17"/>
          <w:szCs w:val="17"/>
          <w:color w:val="auto"/>
        </w:rPr>
        <w:t>million or (ii) our annual revenue was less than $100.0 million during the most recently completed fiscal year and the market value of our common shares held by non-affiliates is less than $700.0 million. As a smaller reporting company, we may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 For so long as we remain a smaller reporting company, we are permitted and intend to rely on such exemptions from certain disclosure and other requirements that are applicable to other public companies that are not smaller reporting companies.</w:t>
      </w:r>
    </w:p>
    <w:p>
      <w:pPr>
        <w:spacing w:after="0" w:line="17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are subject to the reporting requirements of the Securities Exchange Act of 1934, as amended, or the Exchange Act, the Sarbanes-Oxley Act of 2002, or the Sarbanes-Oxley Act, as amended and the rules and regulations of The Nasdaq Global Market. Pursuant to Section 404 of the Sarbanes-Oxley Act, we are now required to perform system and process evaluation and testing of our internal control over financial reporting to allow our management to report on the effectiveness of our internal control over financial reporting. Furthermore, if at such time we no longer qualify as a “smaller reporting company”, our independent registered public accounting firm will be required to issue an annual report that attests the effectiveness of our internal control over financial reporting.</w:t>
      </w:r>
    </w:p>
    <w:p>
      <w:pPr>
        <w:spacing w:after="0" w:line="1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During the evaluation and testing process, if we identify one or more material weaknesses in our internal control over financial reporting, we will be unable to assert that our internal control over financial reporting is effective. Further, we may in the future discover weaknesses in our system of internal financial and accounting controls and procedures that could result in a material misstatement of our financial statements. Moreover,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Moreover, we are aware that the remote working arrangements implemented in connection with the COVID-19 pandemic potentially present new areas of risk, and we are carefully monitoring any impact to our internal controls and procedures.</w:t>
      </w:r>
    </w:p>
    <w:p>
      <w:pPr>
        <w:spacing w:after="0" w:line="178" w:lineRule="exact"/>
        <w:rPr>
          <w:sz w:val="20"/>
          <w:szCs w:val="20"/>
          <w:color w:val="auto"/>
        </w:rPr>
      </w:pPr>
    </w:p>
    <w:p>
      <w:pPr>
        <w:jc w:val="both"/>
        <w:ind w:firstLine="575"/>
        <w:spacing w:after="0" w:line="263" w:lineRule="auto"/>
        <w:rPr>
          <w:sz w:val="20"/>
          <w:szCs w:val="20"/>
          <w:color w:val="auto"/>
        </w:rPr>
      </w:pPr>
      <w:r>
        <w:rPr>
          <w:rFonts w:ascii="Arial" w:cs="Arial" w:eastAsia="Arial" w:hAnsi="Arial"/>
          <w:sz w:val="18"/>
          <w:szCs w:val="18"/>
          <w:color w:val="auto"/>
        </w:rPr>
        <w:t>If we are unable to assert that our internal control over financial reporting is effective, investors could lose confidence in the reliability of our financial statements, the market price of our common shares could decline and we could be subject to sanctions or investigations by The Nasdaq Global Market, the SEC or other regulatory authorities.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jc w:val="both"/>
        <w:spacing w:after="0" w:line="277" w:lineRule="auto"/>
        <w:rPr>
          <w:sz w:val="20"/>
          <w:szCs w:val="20"/>
          <w:color w:val="auto"/>
        </w:rPr>
      </w:pPr>
      <w:r>
        <w:rPr>
          <w:rFonts w:ascii="Arial" w:cs="Arial" w:eastAsia="Arial" w:hAnsi="Arial"/>
          <w:sz w:val="18"/>
          <w:szCs w:val="18"/>
          <w:color w:val="auto"/>
        </w:rPr>
        <w:t>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are a passive foreign investment company, there could be adverse U.S. federal income tax consequences to U.S. Holders.</w:t>
      </w:r>
    </w:p>
    <w:p>
      <w:pPr>
        <w:spacing w:after="0" w:line="12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Based on the nature of our activities and the composition of our income and assets, we believe we were not classified as a PFIC for the taxable year ended December 31, 2022.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Accordingly, our U.S. counsel expresses no opinion with respect to our PFIC status.</w:t>
      </w:r>
    </w:p>
    <w:p>
      <w:pPr>
        <w:spacing w:after="0" w:line="19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If we are a PFIC, a U.S. Holder (as defined below) of our common shares would be subject to adverse 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Each U.S. Holder should consult its own tax advisors with respect to the potential adverse U.S. tax consequences to it if we are or were to become a PFIC. A “U.S. Holder” is a holder who, for U.S. federal income tax purposes, is a beneficial owner of our common shares and is:</w:t>
      </w:r>
    </w:p>
    <w:p>
      <w:pPr>
        <w:spacing w:after="0" w:line="80"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trust that (a) is subject to the primary supervision of a U.S. court and the control of one or more “United States persons” (within the meaning of Section 7701(a)(30) of the Code) or (b) has a valid election in effect to be treated as a United States person for U.S. federal income tax purposes.</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a U.S. Holder is treated as owning (directly, indirectly or constructively) at least 10% of the value or voting power of our common shares, such U.S. Holder may be treated as a “United States shareholder” with respect to each “controlled foreign corporation” in our group (if any) as such term is defined in the Code. We refer to this holder as a “Ten Percent Shareholder”.</w:t>
      </w:r>
    </w:p>
    <w:p>
      <w:pPr>
        <w:spacing w:after="0" w:line="76"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Each “Ten Percent Shareholder”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jc w:val="both"/>
        <w:spacing w:after="0" w:line="296" w:lineRule="auto"/>
        <w:rPr>
          <w:sz w:val="20"/>
          <w:szCs w:val="20"/>
          <w:color w:val="auto"/>
        </w:rPr>
      </w:pPr>
      <w:r>
        <w:rPr>
          <w:rFonts w:ascii="Arial" w:cs="Arial" w:eastAsia="Arial" w:hAnsi="Arial"/>
          <w:sz w:val="16"/>
          <w:szCs w:val="16"/>
          <w:color w:val="auto"/>
        </w:rPr>
        <w:t>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6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we generally will not be treated as a PFIC with respect to those U.S. Holders that meet the definition of a Ten Percent Shareholder during the period in which we are a CFC.</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our ability to utilize non-capital losses could be limited by subsection 111(5) of the Canadian Tax Act. As of December 31, 2022, we had Canadian federal and provincial non-capital loss carry forwards of $158.5 million, which expire beginning in 2037 through 2042. In addition, we also have scientific research and experimental development expenditures of approximately $54.6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$9.0 million for Canadian federal income tax purposes, which expire beginning in 2036 through 2042.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7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Changes to the tax treatment of research and experimental expenditures as a result of U.S. federal tax reform could increase our tax burden and adversely affect our business and financial condition.</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December 2017, the U.S. government enacted comprehensive tax legislation, the Tax Cuts and Jobs Act of 2017, or TCJA, significantly reformed the Internal Revenue Code of 1986, as amended. As a result of this legislation beginning in 2022, our research and experimental expenditures are no longer deductible in the year they are incurred for US tax purposes. Instead, US-based research and experimental expenditures are required to be capitalized and amortized ratably over a five-year period. Any such expenditures attributable to research conducted outside the United States must be capitalized and amortized over a 15-year period. Although Congress is considering legislation that would defer the amortization requirement to later years, we have no assurance that the provision will be repealed or otherwise modified, or that any future repeal or modification would be retroactive. The requirement has materially reduced our cash flows in 2022 and is expected to materially reduce our cash flows going forward. Changes in our tax provisions or an increase in our tax liabilities, whether due to changes in applicable laws and regulations or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interpretation or application thereof, could have a material adverse effect on our financial position, results of operations and/or cash flows.</w:t>
      </w:r>
    </w:p>
    <w:p>
      <w:pPr>
        <w:spacing w:after="0" w:line="33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Canada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deductions and credits in respect of scientific research and experimental development expenditures may be challenged by tax authorities.</w:t>
      </w:r>
    </w:p>
    <w:p>
      <w:pPr>
        <w:spacing w:after="0" w:line="15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Tax authorities in Canada and the United States may not necessarily agree with our determinations of the expenses and tax credits claimed by us, including scientific research and experimental development expenses and related tax credits. If tax authorities successfully challenge such expenses or the correctness of such income tax credits claimed, our operating results could be adversely affected. Furthermore, if the tax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have and will continue to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and maintain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2" w:lineRule="exact"/>
        <w:rPr>
          <w:sz w:val="20"/>
          <w:szCs w:val="20"/>
          <w:color w:val="auto"/>
        </w:rPr>
      </w:pPr>
    </w:p>
    <w:p>
      <w:pPr>
        <w:ind w:left="5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designate specific courts in Canada and the United States as the exclusive forum for certain litigation that may be initiated by our shareholders, which could limit our shareholders’ ability to obtain a favorable judicial forum for disputes with us.</w:t>
      </w:r>
    </w:p>
    <w:p>
      <w:pPr>
        <w:spacing w:after="0" w:line="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courts of the Province of Québec and the appellate courts therefrom shall, to the fullest extent permitted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jc w:val="both"/>
        <w:spacing w:after="0" w:line="270" w:lineRule="auto"/>
        <w:rPr>
          <w:sz w:val="20"/>
          <w:szCs w:val="20"/>
          <w:color w:val="auto"/>
        </w:rPr>
      </w:pPr>
      <w:r>
        <w:rPr>
          <w:rFonts w:ascii="Arial" w:cs="Arial" w:eastAsia="Arial" w:hAnsi="Arial"/>
          <w:sz w:val="17"/>
          <w:szCs w:val="17"/>
          <w:color w:val="auto"/>
        </w:rPr>
        <w:t>law, be the sole and exclusive forum for: (a) any derivative action or proceeding brought on our behalf; (b) any action or proceeding asserting a claim for breach of fiduciary duty owed to us by any of our directors, officers or other employees; (c) any action or proceeding asserting a claim arising out of any provision of the Business Corporations Act (Québec) or the articles or our bylaws (as either may be amended from time to time); or (d) any action or proceeding asserting a claim otherwise related to our affairs, or the Canadian Forum Provision. The Canadian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of America shall be the exclusive forum for the resolution of any complaint asserting a cause of action arising under the Securities Act, or the U.S. Federal Forum Provision. In addition, our amended and restated bylaws provide that any person or entity holding, owning, or otherwise acquiring any interest in any of our securities is deemed to have notice of and consented to the Canadian Forum Provision and the U.S. Federal Forum Provision.</w:t>
      </w:r>
    </w:p>
    <w:p>
      <w:pPr>
        <w:spacing w:after="0" w:line="18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The Canadian Forum Provision and the U.S. Federal Forum Provision in our amended and restated bylaws may impose additional litigation costs on shareholders in pursuing any such claims. Additionally, the forum selection clauses in our amended and restated bylaws may limit our shareholders’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courts in Canada and other courts within the United States, will enforce our U.S. Federal Forum Provision. If the U.S. Federal Forum Provision is found to be unenforceable, we may incur additional costs associated with resolving such matters. The U.S. Federal Forum Provision may also impose additional litigation costs on shareholders who assert that the provision is not enforceable or invalid. The courts of the Province of Québec and the federal district courts of the United States of America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8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Québec, which in some cases have a different effect on shareholders than the corporate laws of Delaware.</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jc w:val="both"/>
        <w:spacing w:after="0" w:line="257" w:lineRule="auto"/>
        <w:rPr>
          <w:sz w:val="20"/>
          <w:szCs w:val="20"/>
          <w:color w:val="auto"/>
        </w:rPr>
      </w:pPr>
      <w:r>
        <w:rPr>
          <w:rFonts w:ascii="Arial" w:cs="Arial" w:eastAsia="Arial" w:hAnsi="Arial"/>
          <w:sz w:val="18"/>
          <w:szCs w:val="18"/>
          <w:color w:val="auto"/>
        </w:rPr>
        <w:t>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and certain Canadian legislation contain provisions that may have the effect of delaying or preventing certain change in control transactions or shareholder proposals.</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Certain provisions of our amended and restated bylaws and certain Canadian legislation, together or separately, could discourage or delay certain change in control transactions or shareholder proposals.</w:t>
      </w:r>
    </w:p>
    <w:p>
      <w:pPr>
        <w:spacing w:after="0" w:line="1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amended and restated bylaws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8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headquarters is currently located in Montréal, Québec, Canada and consists of 9,045 square feet of leased laboratory and office space under a lease that expires in July 2025. In September 2020, we expanded our research footprint with the addition of 20,594 square feet of combined laboratory and office space in Montréal, Québec, Canada through a lease agreement that expires in August 2025. The new facility expands the laboratory capacity for our CRISPR-enabled genome-wide synthetic lethal target platform, SNIPRx</w:t>
      </w:r>
      <w:r>
        <w:rPr>
          <w:rFonts w:ascii="Arial" w:cs="Arial" w:eastAsia="Arial" w:hAnsi="Arial"/>
          <w:sz w:val="24"/>
          <w:szCs w:val="24"/>
          <w:color w:val="auto"/>
          <w:vertAlign w:val="superscript"/>
        </w:rPr>
        <w:t>®</w:t>
      </w:r>
      <w:r>
        <w:rPr>
          <w:rFonts w:ascii="Arial" w:cs="Arial" w:eastAsia="Arial" w:hAnsi="Arial"/>
          <w:sz w:val="18"/>
          <w:szCs w:val="18"/>
          <w:color w:val="auto"/>
        </w:rPr>
        <w:t>, including dedicated space for work related to accelerating our preclinical assets, including those under our research collaboration with Bristol Myers Squibb. We also lease 11,312 square feet of office space in Cambridge, Massachusetts for our U.S.-based employees under a lease which expires in December 2024. We intend to renew our leases, move to new facilities or expand existing facilities to meet our growth, and we believe that suitable additional or substitute space will be available as needed to accommodate any such expansion of our operations.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our Common Shares</w:t>
      </w:r>
    </w:p>
    <w:p>
      <w:pPr>
        <w:spacing w:after="0" w:line="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common shares are traded on The Nasdaq Global Select Market under the symbol “RPTX” and began trading on June 20, 2020. Prior to this time, there was no public market for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As of December 31, 2022, there were approximately 21 holders of record of our common shares. This number does not reflect the beneficial holders of our common shares for whom shares are held in “nominee” or “street” name through brokerage accounts or other nominees.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audited consolidated financial statements and related notes appearing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initial product candidate, camonsertib (also known as RP-3500 or RG6526), a potent and selective oral small molecule inhibitor of ATR (Ataxia-Telangiectasia and Rad3-related protein kinase) for the treatment of solid tumors with specific DNA damage repair-related genomic alterations, including those in the ATM gene (ataxia telangiectasia mutated kinase). In June 2022, we entered into a worldwide license and collaboration agreement with Hoffmann-La Roche Inc. and F. Hoffmann-La Roche Ltd, collectively referred to as Roche, for the development and commercialization of camonsertib. In July 2020, we began dosing patients in our Phase 1/2 TRESR (Treatment Enabled by SNIPRx) clinical trial of camonsertib in advanced solid tumors and, in August 2021, we began dosing patients in our Phase 1b/2 ATTACC clinical trial of camonsertib to evaluate the safety and efficacy of camonsertib in combination with approved poly (ADP-ribose) polymerase, or PARP, inhibitors, olaparib and niraparib, in patients with molecularly selected cancers.</w:t>
      </w:r>
    </w:p>
    <w:p>
      <w:pPr>
        <w:spacing w:after="0" w:line="18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April 2021, we initiated our Phase 1 MYTHIC clinical trial for RP-6306, our PKMYT1 (Protein Kinase Membrane-associated tyrosine- and threonine- specific cdc-2 inhibitory kinase) SL inhibitor, as a monotherapy for the treatment of molecularly selected advanced solid tumors, and anticipate early Phase 1 read-outs from the trial in the first half of 2023. We initiated Phase 1 combination studies of RP-6306 with gemcitabine (MAGNETIC) in December 2021, camonsertib (MYTHIC) in May 2022, and FOLFIRI (MINOTAUR) in August 2022, each for the treatment of molecularly selected advanced solid tumors, and anticipate providing an update on some of these combination studies in the fourth quarter of 2023. In the fourth quarter of 2022, we received fast track designation for RP-6306 in combination with gemcitabine for the treatment of adult patients with CCNE1 amplified, or FBXW7, or PPP2R1A mutated platinum resistant ovarian cancer. Based on promising preclinical data released at the 34th EORTC-NCI-AACR Symposium in October 2022, we are working with clinical investigators to initiate clinical testing, as part of an investigator-sponsored trial (IST), of a fourth new RP-6306 combination with carboplatin, with first patient dosing expected in the first half of 2023. In the fourth quarter of 2022, we entered into an agreement with Canadian Cancer Trials Group, or CCTG, for a planned, basket Phase 2 IST to evaluate RP-6306 in patients with selected, advanced cancers receiving standard agents. We plan to modify the trial to include a sub-study, which will evaluate RP-6306 in combination with gemcitabine in patients with CD4/6i-resistant ER+/HER2- metastatic breast cancer.</w:t>
      </w:r>
    </w:p>
    <w:p>
      <w:pPr>
        <w:spacing w:after="0" w:line="17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continue to focus on the advancement of our preclinical programs into clinical development. We expect to initiate IND-enabling studies in the first half of 2023 for a small molecule against an undisclosed target with potential to enter the clinic in late 2023 or early 2024, which represents an acceleration from our prior expectations for this program. We are also pursuing development of an inhibitor of polymerase theta (Polθ) in collaboration with Ono, as Polθ is SL with multiple gene deficiencies found in tumors, including BRCA alterations. In 2022, we selected a proposed inhibitor, which we designated as RP-2119. In February 2023, based on our review of ongoing preclinical studies, we elected to prioritize other Polθ inhibiting compounds in our preclinical development portfolio, which we believe have a higher probability for clinical impact relative to RP-2119. We are now guiding toward clinical entry for a Polθ inhibitor in 2024.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both"/>
        <w:ind w:firstLine="509"/>
        <w:spacing w:after="0" w:line="268" w:lineRule="auto"/>
        <w:rPr>
          <w:sz w:val="20"/>
          <w:szCs w:val="20"/>
          <w:color w:val="auto"/>
        </w:rPr>
      </w:pPr>
      <w:r>
        <w:rPr>
          <w:rFonts w:ascii="Arial" w:cs="Arial" w:eastAsia="Arial" w:hAnsi="Arial"/>
          <w:sz w:val="17"/>
          <w:szCs w:val="17"/>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On June 23, 2020, we completed our initial public offering, or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approximately $232.0 million, after deducting underwriting commissions and offering expenses of $3.2 million. On November 1, 2021, we completed a follow-on offering, or the 2021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As of December 31, 2022, we had cash and cash equivalents and marketable securities on hand of $343.9 million.</w:t>
      </w:r>
    </w:p>
    <w:p>
      <w:pPr>
        <w:spacing w:after="0" w:line="18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Since inception, we have incurred significant operating losses. Our net losses were $29.0 million, and $106.9 million for the years ended December 31, 2022 and 2021, respectively. As of December 31, 2022, we had an accumulated deficit of $239.3 million. We expect to continue to incur significant and increasing expenses and operating losses for the foreseeable future, as we advance our product candidates, including RP-6306, through preclinical and clinical development and seek regulatory approvals, manufacture drug product and drug supply, maintain and expand our intellectual property portfolio. Our net losses are also expected to be impacted as we hire additional personnel, pay for accounting, audit, legal, regulatory and consulting services, and pay costs associated with maintaining compliance with Nasdaq listing rules and the SEC requirements, directors and officers, or D&amp;O, insurance, investor and public relations activities and other expenses associated with operating as a public company. Our net losses may fluctuate significantly from quarter-to-quarter and year-to-year, depending on the timing of our preclinical studies, our clinical trials, our expenditures on other research and development activities, and our revenue and expenses recognized from collaboration and license agreements.</w:t>
      </w:r>
    </w:p>
    <w:p>
      <w:pPr>
        <w:spacing w:after="0" w:line="16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Considerations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Unfavorable conditions in the economy in the United States, Canada and abroad may negatively affect the growth of our business and our results of operations. For example, macroeconomic events, including the COVID-19 pandemic, rising inflation, the U.S. Federal Reserve raising interest rates and the Russia-Ukraine war,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Recent and Anticipated Developments</w:t>
      </w:r>
    </w:p>
    <w:p>
      <w:pPr>
        <w:spacing w:after="0" w:line="117" w:lineRule="exact"/>
        <w:rPr>
          <w:sz w:val="20"/>
          <w:szCs w:val="20"/>
          <w:color w:val="auto"/>
        </w:rPr>
      </w:pPr>
    </w:p>
    <w:p>
      <w:pPr>
        <w:ind w:left="1020" w:hanging="503"/>
        <w:spacing w:after="0" w:line="312"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Advancing camonsertib, a potent and selective oral small molecule inhibitor of ATR (Ataxia-Telangiectasia and Rad3-related protein kinase) for the treatment of tumors with specific synthetic lethal genomic alterations in partnership with Roche.</w:t>
      </w:r>
    </w:p>
    <w:p>
      <w:pPr>
        <w:spacing w:after="0" w:line="35" w:lineRule="exact"/>
        <w:rPr>
          <w:rFonts w:ascii="Arial" w:cs="Arial" w:eastAsia="Arial" w:hAnsi="Arial"/>
          <w:sz w:val="17"/>
          <w:szCs w:val="17"/>
          <w:color w:val="auto"/>
        </w:rPr>
      </w:pPr>
    </w:p>
    <w:p>
      <w:pPr>
        <w:ind w:left="1540" w:right="20" w:hanging="509"/>
        <w:spacing w:after="0" w:line="277" w:lineRule="auto"/>
        <w:rPr>
          <w:rFonts w:ascii="Arial" w:cs="Arial" w:eastAsia="Arial" w:hAnsi="Arial"/>
          <w:sz w:val="17"/>
          <w:szCs w:val="17"/>
          <w:color w:val="auto"/>
        </w:rPr>
      </w:pPr>
      <w:r>
        <w:rPr>
          <w:rFonts w:ascii="Arial" w:cs="Arial" w:eastAsia="Arial" w:hAnsi="Arial"/>
          <w:sz w:val="18"/>
          <w:szCs w:val="18"/>
          <w:color w:val="auto"/>
        </w:rPr>
        <w:t>oInitial data from the Phase 1/2 trials evaluating camonsertib in combination with three poly (ADP-ribose) polymerase (PARP) inhibitors is expected to be presented in the first half of 2023 at a major medical meeting.</w:t>
      </w:r>
    </w:p>
    <w:p>
      <w:pPr>
        <w:spacing w:after="0" w:line="62" w:lineRule="exact"/>
        <w:rPr>
          <w:rFonts w:ascii="Arial" w:cs="Arial" w:eastAsia="Arial" w:hAnsi="Arial"/>
          <w:sz w:val="17"/>
          <w:szCs w:val="17"/>
          <w:color w:val="auto"/>
        </w:rPr>
      </w:pPr>
    </w:p>
    <w:p>
      <w:pPr>
        <w:ind w:left="1540" w:hanging="509"/>
        <w:spacing w:after="0" w:line="277" w:lineRule="auto"/>
        <w:rPr>
          <w:rFonts w:ascii="Arial" w:cs="Arial" w:eastAsia="Arial" w:hAnsi="Arial"/>
          <w:sz w:val="17"/>
          <w:szCs w:val="17"/>
          <w:color w:val="auto"/>
        </w:rPr>
      </w:pPr>
      <w:r>
        <w:rPr>
          <w:rFonts w:ascii="Arial" w:cs="Arial" w:eastAsia="Arial" w:hAnsi="Arial"/>
          <w:sz w:val="18"/>
          <w:szCs w:val="18"/>
          <w:color w:val="auto"/>
        </w:rPr>
        <w:t>oWe expect to report initial data from the Phase 1/2 TRESR trial evaluating camonsertib in combination with gemcitabine in the summer or fall of 2023.</w:t>
      </w:r>
    </w:p>
    <w:p>
      <w:pPr>
        <w:spacing w:after="0" w:line="166" w:lineRule="exact"/>
        <w:rPr>
          <w:rFonts w:ascii="Arial" w:cs="Arial" w:eastAsia="Arial" w:hAnsi="Arial"/>
          <w:sz w:val="17"/>
          <w:szCs w:val="17"/>
          <w:color w:val="auto"/>
        </w:rPr>
      </w:pPr>
    </w:p>
    <w:p>
      <w:pPr>
        <w:ind w:left="1020" w:hanging="503"/>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Evaluating RP-6306, a first-in-class, oral PKMYT1 inhibitor as a monotherapy and in combinations in multiple early clinical studies.</w:t>
      </w:r>
    </w:p>
    <w:p>
      <w:pPr>
        <w:spacing w:after="0" w:line="144" w:lineRule="exact"/>
        <w:rPr>
          <w:rFonts w:ascii="Arial" w:cs="Arial" w:eastAsia="Arial" w:hAnsi="Arial"/>
          <w:sz w:val="16"/>
          <w:szCs w:val="16"/>
          <w:color w:val="auto"/>
        </w:rPr>
      </w:pPr>
    </w:p>
    <w:p>
      <w:pPr>
        <w:ind w:left="1540" w:hanging="509"/>
        <w:spacing w:after="0" w:line="263" w:lineRule="auto"/>
        <w:rPr>
          <w:rFonts w:ascii="Arial" w:cs="Arial" w:eastAsia="Arial" w:hAnsi="Arial"/>
          <w:sz w:val="16"/>
          <w:szCs w:val="16"/>
          <w:color w:val="auto"/>
        </w:rPr>
      </w:pPr>
      <w:r>
        <w:rPr>
          <w:rFonts w:ascii="Arial" w:cs="Arial" w:eastAsia="Arial" w:hAnsi="Arial"/>
          <w:sz w:val="18"/>
          <w:szCs w:val="18"/>
          <w:color w:val="auto"/>
        </w:rPr>
        <w:t>oWe expect to report initial Phase 1 clinical data for RP-6306 as a monotherapy for the treatment of molecularly selected advanced solid tumors (MYTHIC) in the first half of 2023. We expect to report initial Phase 1 clinical data for RP-6306 as a combination therapy for the treatment of molecularly selected advanced solid tumors in the fourth quarter of 2023.</w:t>
      </w:r>
    </w:p>
    <w:p>
      <w:pPr>
        <w:spacing w:after="0" w:line="75" w:lineRule="exact"/>
        <w:rPr>
          <w:rFonts w:ascii="Arial" w:cs="Arial" w:eastAsia="Arial" w:hAnsi="Arial"/>
          <w:sz w:val="16"/>
          <w:szCs w:val="16"/>
          <w:color w:val="auto"/>
        </w:rPr>
      </w:pPr>
    </w:p>
    <w:p>
      <w:pPr>
        <w:ind w:left="1540" w:hanging="509"/>
        <w:spacing w:after="0" w:line="259" w:lineRule="auto"/>
        <w:rPr>
          <w:rFonts w:ascii="Arial" w:cs="Arial" w:eastAsia="Arial" w:hAnsi="Arial"/>
          <w:sz w:val="16"/>
          <w:szCs w:val="16"/>
          <w:color w:val="auto"/>
        </w:rPr>
      </w:pPr>
      <w:r>
        <w:rPr>
          <w:rFonts w:ascii="Arial" w:cs="Arial" w:eastAsia="Arial" w:hAnsi="Arial"/>
          <w:sz w:val="18"/>
          <w:szCs w:val="18"/>
          <w:color w:val="auto"/>
        </w:rPr>
        <w:t>oIn the fourth quarter of 2022, the U.S. Food and Drug Administration granted Fast Track designation to RP-6306 in combination with gemcitabine for the treatment of adult patients with CCNE1 amplified, or FBXW7 or PPP2R1A mutated platinum resistant ovarian cancer. Fast Track designation is intended to facilitate the development and expedite the review of drugs to treat serious conditions and fulfill an unmet medical need, enabling drugs to reach patients earlier.</w:t>
      </w:r>
    </w:p>
    <w:p>
      <w:pPr>
        <w:spacing w:after="0" w:line="78" w:lineRule="exact"/>
        <w:rPr>
          <w:rFonts w:ascii="Arial" w:cs="Arial" w:eastAsia="Arial" w:hAnsi="Arial"/>
          <w:sz w:val="16"/>
          <w:szCs w:val="16"/>
          <w:color w:val="auto"/>
        </w:rPr>
      </w:pPr>
    </w:p>
    <w:p>
      <w:pPr>
        <w:ind w:left="1540" w:right="20" w:hanging="509"/>
        <w:spacing w:after="0" w:line="263" w:lineRule="auto"/>
        <w:rPr>
          <w:rFonts w:ascii="Arial" w:cs="Arial" w:eastAsia="Arial" w:hAnsi="Arial"/>
          <w:sz w:val="16"/>
          <w:szCs w:val="16"/>
          <w:color w:val="auto"/>
        </w:rPr>
      </w:pPr>
      <w:r>
        <w:rPr>
          <w:rFonts w:ascii="Arial" w:cs="Arial" w:eastAsia="Arial" w:hAnsi="Arial"/>
          <w:sz w:val="18"/>
          <w:szCs w:val="18"/>
          <w:color w:val="auto"/>
        </w:rPr>
        <w:t>oBased on promising preclinical data released at the 34th EORTC-NCI-AACR Symposium in October 2022, we are working with clinical investigators to initiate clinical testing, as part of an investigator sponsored trial (IST), of a fourth new RP-6306 combination with carboplatin, with first patient dosing expected in the first half of 2023.</w:t>
      </w:r>
    </w:p>
    <w:p>
      <w:pPr>
        <w:spacing w:after="0" w:line="75" w:lineRule="exact"/>
        <w:rPr>
          <w:rFonts w:ascii="Arial" w:cs="Arial" w:eastAsia="Arial" w:hAnsi="Arial"/>
          <w:sz w:val="16"/>
          <w:szCs w:val="16"/>
          <w:color w:val="auto"/>
        </w:rPr>
      </w:pPr>
    </w:p>
    <w:p>
      <w:pPr>
        <w:ind w:left="1540" w:hanging="509"/>
        <w:spacing w:after="0" w:line="286" w:lineRule="auto"/>
        <w:rPr>
          <w:rFonts w:ascii="Arial" w:cs="Arial" w:eastAsia="Arial" w:hAnsi="Arial"/>
          <w:sz w:val="16"/>
          <w:szCs w:val="16"/>
          <w:color w:val="auto"/>
        </w:rPr>
      </w:pPr>
      <w:r>
        <w:rPr>
          <w:rFonts w:ascii="Arial" w:cs="Arial" w:eastAsia="Arial" w:hAnsi="Arial"/>
          <w:sz w:val="18"/>
          <w:szCs w:val="18"/>
          <w:color w:val="auto"/>
        </w:rPr>
        <w:t>o</w:t>
      </w:r>
      <w:r>
        <w:rPr>
          <w:rFonts w:ascii="Arial" w:cs="Arial" w:eastAsia="Arial" w:hAnsi="Arial"/>
          <w:sz w:val="17"/>
          <w:szCs w:val="17"/>
          <w:color w:val="auto"/>
        </w:rPr>
        <w:t>In the fourth quarter of 2022, we entered into an agreement with CCTG for a planned, basket Phase 2 IST to evaluate RP-6306 in patients with selected, advanced cancers receiving standard agents. A sub-study under the master clinical trial protocol will evaluate RP-6306 in combination with gemcitabine in patients with CD4/6i-resistant ER+/HER2- metastatic breast cancer.</w:t>
      </w:r>
    </w:p>
    <w:p>
      <w:pPr>
        <w:spacing w:after="0" w:line="161" w:lineRule="exact"/>
        <w:rPr>
          <w:rFonts w:ascii="Arial" w:cs="Arial" w:eastAsia="Arial" w:hAnsi="Arial"/>
          <w:sz w:val="16"/>
          <w:szCs w:val="16"/>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Advancing preclinical programs into clinical development.</w:t>
      </w:r>
    </w:p>
    <w:p>
      <w:pPr>
        <w:spacing w:after="0" w:line="121" w:lineRule="exact"/>
        <w:rPr>
          <w:rFonts w:ascii="Arial" w:cs="Arial" w:eastAsia="Arial" w:hAnsi="Arial"/>
          <w:sz w:val="18"/>
          <w:szCs w:val="18"/>
          <w:color w:val="auto"/>
        </w:rPr>
      </w:pPr>
    </w:p>
    <w:p>
      <w:pPr>
        <w:ind w:left="1540" w:hanging="509"/>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We expect to initiate IND-enabling studies in the first half of 2023 for a small molecule against an undisclosed target with potential to enter the clinic in late 2023 or early 2024, which represents an acceleration from our prior expectations for this program.</w:t>
      </w:r>
    </w:p>
    <w:p>
      <w:pPr>
        <w:spacing w:after="0" w:line="15" w:lineRule="exact"/>
        <w:rPr>
          <w:rFonts w:ascii="Arial" w:cs="Arial" w:eastAsia="Arial" w:hAnsi="Arial"/>
          <w:sz w:val="18"/>
          <w:szCs w:val="18"/>
          <w:color w:val="auto"/>
        </w:rPr>
      </w:pPr>
    </w:p>
    <w:p>
      <w:pPr>
        <w:ind w:left="1540" w:hanging="509"/>
        <w:spacing w:after="0" w:line="255" w:lineRule="auto"/>
        <w:rPr>
          <w:rFonts w:ascii="Arial" w:cs="Arial" w:eastAsia="Arial" w:hAnsi="Arial"/>
          <w:sz w:val="18"/>
          <w:szCs w:val="18"/>
          <w:color w:val="auto"/>
        </w:rPr>
      </w:pPr>
      <w:r>
        <w:rPr>
          <w:rFonts w:ascii="Arial" w:cs="Arial" w:eastAsia="Arial" w:hAnsi="Arial"/>
          <w:sz w:val="18"/>
          <w:szCs w:val="18"/>
          <w:color w:val="auto"/>
        </w:rPr>
        <w:t>oWe are pursuing development of an inhibitor of Polθ in collaboration with Ono in Japan, South Korea, Taiwan, Hong Kong, Macau and ASEAN countries, excluding mainland China. Repare retains all rights to develop and commercialize the products outside the Ono territory. In 2022, we selected a proposed inhibitor of Polθ, which we designated as RP-2119. In February 2023, based on our review of ongoing preclinical studies, we elected to prioritize other Polθ inhibiting compounds in our preclinical development portfolio, which we believe have a higher probability for clinical impact relative to RP-2119. We are now guiding toward clinical entry for a Polθ inhibitor in 2024.</w:t>
      </w:r>
    </w:p>
    <w:p>
      <w:pPr>
        <w:spacing w:after="0" w:line="84" w:lineRule="exact"/>
        <w:rPr>
          <w:rFonts w:ascii="Arial" w:cs="Arial" w:eastAsia="Arial" w:hAnsi="Arial"/>
          <w:sz w:val="18"/>
          <w:szCs w:val="18"/>
          <w:color w:val="auto"/>
        </w:rPr>
      </w:pPr>
    </w:p>
    <w:p>
      <w:pPr>
        <w:ind w:left="1540" w:hanging="509"/>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 January 2023, we received an approximate $1.5 million (¥200 million) milestone payment from Ono. The payment reflected the achievement of a research milestone under our research services, license and collaboration agreement with Ono (Ono Agreement).</w:t>
      </w:r>
    </w:p>
    <w:p>
      <w:pPr>
        <w:spacing w:after="0" w:line="15" w:lineRule="exact"/>
        <w:rPr>
          <w:rFonts w:ascii="Arial" w:cs="Arial" w:eastAsia="Arial" w:hAnsi="Arial"/>
          <w:sz w:val="18"/>
          <w:szCs w:val="18"/>
          <w:color w:val="auto"/>
        </w:rPr>
      </w:pPr>
    </w:p>
    <w:p>
      <w:pPr>
        <w:ind w:left="1540" w:hanging="509"/>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Also, in January 2023, we and Ono amended the Ono Agreement to further extend the research term until July 31, 2023. Previously, we had entered into an amendment with Ono in October 2021 to extend the research term by one year at no additional cost to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Hoffmann-La Roche Inc. and F. Hoffmann-La Roche Ltd.</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June 1, 2022, we entered into a collaboration and license agreement, or the Roche Agreement, with Hoffmann-La Roche Inc. and F. Hoffmann-La Roche Ltd, or collectively, Roche, regarding the development and commercialization of our product candidate camonsertib (also known as RP-3500 or RG6526) and specified other ATR (Ataxia-Telangiectasia and Rad3-related protein kinase) inhibitors, which we refer to as the Licensed Products. The transaction was subject to clearance under the Hart-Scott-Rodino Antitrust Improvements Act of 1976 and other customary closing conditions, which were met on July 13, 2022, or Effective Date.</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Under the Roche Agreement, we granted Roche a worldwide, perpetual, exclusive, sublicensable license to develop, manufacture, and commercialize the Licensed Products. Roche assumes all subsequent development of camonsertib with the potential to expand development into additional tumors and multiple combination studies. We have agreed to complete specified ongoing clinical trials at our expense. We also retained the right to conduct specified clinical trials of camonsertib in combination with our PKMYT1 compound (also known as RP-6306).</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are subject to milestones.</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Under the terms of the Roche Agreement, we received an upfront payment of $125 million in July 2022, and are eligible to receive up to $1.172 billion in potential clinical, regulatory, commercial and sales milestones, including up to $55 million in potential near-term payments, and royalties on global net sales ranging from high-single-digits to high-teens. The Roche Agreement also provides us with the ability to opt-in to a 50/50 U.S. co-development and profit share arrangement, including participation in U.S. co-promotion if U.S. regulatory approval is received. If we choose to exercise its co-development and profit share option, we will continue to be eligible to receive certain clinical, regulatory, commercial and sales milestone payments, in addition to full ex-U.S. royalties.</w:t>
      </w:r>
    </w:p>
    <w:p>
      <w:pPr>
        <w:spacing w:after="0" w:line="192"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We determined that the transaction price at the onset of the Roche Agreement was $134.6 million, being (i) the total non-refundable upfront payment received of $125.0 million, (ii) the additional $4.0 million payment received, negotiated with Roche for revisions to the clinical development plan under the Roche Agreement as agreed at the time of the Effective Date, and (iii) the $5.6 million received for the transfer of clinical trial materials.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Transaction price</w:t>
            </w:r>
          </w:p>
        </w:tc>
        <w:tc>
          <w:tcPr>
            <w:tcW w:w="100" w:type="dxa"/>
            <w:vAlign w:val="bottom"/>
          </w:tcPr>
          <w:p>
            <w:pPr>
              <w:spacing w:after="0"/>
              <w:rPr>
                <w:sz w:val="16"/>
                <w:szCs w:val="16"/>
                <w:color w:val="auto"/>
              </w:rPr>
            </w:pPr>
          </w:p>
        </w:tc>
      </w:tr>
      <w:tr>
        <w:trPr>
          <w:trHeight w:val="169"/>
        </w:trPr>
        <w:tc>
          <w:tcPr>
            <w:tcW w:w="9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Combined licenses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105,327</w:t>
            </w:r>
          </w:p>
        </w:tc>
        <w:tc>
          <w:tcPr>
            <w:tcW w:w="100" w:type="dxa"/>
            <w:vAlign w:val="bottom"/>
            <w:shd w:val="clear" w:color="auto" w:fill="CFF0FC"/>
          </w:tcPr>
          <w:p>
            <w:pPr>
              <w:spacing w:after="0"/>
              <w:rPr>
                <w:sz w:val="21"/>
                <w:szCs w:val="21"/>
                <w:color w:val="auto"/>
              </w:rPr>
            </w:pP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Completion of Continuing Trials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26,585</w:t>
            </w:r>
          </w:p>
        </w:tc>
        <w:tc>
          <w:tcPr>
            <w:tcW w:w="100" w:type="dxa"/>
            <w:vAlign w:val="bottom"/>
          </w:tcPr>
          <w:p>
            <w:pPr>
              <w:spacing w:after="0"/>
              <w:rPr>
                <w:sz w:val="20"/>
                <w:szCs w:val="20"/>
                <w:color w:val="auto"/>
              </w:rPr>
            </w:pPr>
          </w:p>
        </w:tc>
      </w:tr>
      <w:tr>
        <w:trPr>
          <w:trHeight w:val="249"/>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Transfer of clinical trial materials</w:t>
            </w:r>
          </w:p>
        </w:tc>
        <w:tc>
          <w:tcPr>
            <w:tcW w:w="2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140" w:type="dxa"/>
            <w:vAlign w:val="bottom"/>
          </w:tcPr>
          <w:p>
            <w:pPr>
              <w:ind w:left="380"/>
              <w:spacing w:after="0"/>
              <w:rPr>
                <w:sz w:val="20"/>
                <w:szCs w:val="20"/>
                <w:color w:val="auto"/>
              </w:rPr>
            </w:pPr>
            <w:r>
              <w:rPr>
                <w:rFonts w:ascii="Arial" w:cs="Arial" w:eastAsia="Arial" w:hAnsi="Arial"/>
                <w:sz w:val="18"/>
                <w:szCs w:val="18"/>
                <w:color w:val="auto"/>
              </w:rPr>
              <w:t>Total transaction price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134,626</w:t>
            </w:r>
          </w:p>
        </w:tc>
        <w:tc>
          <w:tcPr>
            <w:tcW w:w="100" w:type="dxa"/>
            <w:vAlign w:val="bottom"/>
          </w:tcPr>
          <w:p>
            <w:pPr>
              <w:spacing w:after="0"/>
              <w:rPr>
                <w:sz w:val="20"/>
                <w:szCs w:val="20"/>
                <w:color w:val="auto"/>
              </w:rPr>
            </w:pPr>
          </w:p>
        </w:tc>
      </w:tr>
      <w:tr>
        <w:trPr>
          <w:trHeight w:val="20"/>
        </w:trPr>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recognized $116.6 million for the year ended December 31, 2022 as revenue associated with the Roche Agreement, of which $105.3 million related to the grant of the combined licenses, $2.7 million related to the clinical trial materials transferred, and $8.6 million related to the partial recognition of deferred revenue for research and development services performed towards the completion of the Continuing Trials during the period.</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there was $18.0 million (December 31, 2021 – nil) of deferred revenue related to the Roche Agreement, of which $15.3 million (December 31, 2021 – nil) was classified as current and $2.7 million (December 31, 2021 – nil) was classified as non-current in the consolidated balance sheet based on the period the services to complete the Continuing Trials are expected to be performed.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ind w:left="520"/>
        <w:spacing w:after="0"/>
        <w:rPr>
          <w:sz w:val="20"/>
          <w:szCs w:val="20"/>
          <w:color w:val="auto"/>
        </w:rPr>
      </w:pPr>
      <w:r>
        <w:rPr>
          <w:rFonts w:ascii="Arial" w:cs="Arial" w:eastAsia="Arial" w:hAnsi="Arial"/>
          <w:sz w:val="18"/>
          <w:szCs w:val="18"/>
          <w:i w:val="1"/>
          <w:iCs w:val="1"/>
          <w:color w:val="auto"/>
        </w:rPr>
        <w:t>Collaboration and License Agreement with Bristol-Myers Squibb Company</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May 2020, we entered into a collaboration and license agreement, or the BMS Agreement, with the Bristol 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screening campaigns and novel campaigns. We are responsible for carrying out early-stage research activities directed to identifying potential targets for potential licensing by Bristol Myers Squibb. The collaboration consists of programs directed to both druggable targets and to targets commonly considered undruggable to traditional small molecule approaches. In the event that Bristol Myers Squibb elects to obtain an exclusive license for the subsequent development, manufacturing and commercialization of a program, Bristol Myers Squibb will then be solely responsible for all such worldwide activities.</w:t>
      </w:r>
    </w:p>
    <w:p>
      <w:pPr>
        <w:spacing w:after="0" w:line="16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BMS Agreement was subsequently amended in July, September and November 2020 to include additional campaigns to the list of existing campaigns from which Bristol Myers Squibb may select campaigns under the BMS Agreement and to enable unblinding of a Bristol Myers Squibb alliance manager in order to streamline the collaboration process.</w:t>
      </w:r>
    </w:p>
    <w:p>
      <w:pPr>
        <w:spacing w:after="0" w:line="184"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As part of the BMS Agreement, Bristol Myers Squibb paid us an initial upfront fee of $50.0 million and made an equity investment of $15.0 million in our company. We will also be eligible to receive up to $3.0 billion in total milestones across all potential programs. Such milestones consist of $301.0 million in total milestones per program subject upon the achievement of certain specified research, development, regulatory and commercial milestones.</w:t>
      </w:r>
    </w:p>
    <w:p>
      <w:pPr>
        <w:spacing w:after="0" w:line="14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$50.0 million upfront payment was recorded as deferred revenue on our consolidated balance sheet and is expected to be partially recognized at the point in time when option licenses are exercised by Bristol Myers Squibb, with the remainder being recognized on a proportional performance basis over the period of service for research services.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Transaction price</w:t>
            </w:r>
          </w:p>
        </w:tc>
        <w:tc>
          <w:tcPr>
            <w:tcW w:w="100" w:type="dxa"/>
            <w:vAlign w:val="bottom"/>
          </w:tcPr>
          <w:p>
            <w:pPr>
              <w:spacing w:after="0"/>
              <w:rPr>
                <w:sz w:val="16"/>
                <w:szCs w:val="16"/>
                <w:color w:val="auto"/>
              </w:rPr>
            </w:pPr>
          </w:p>
        </w:tc>
      </w:tr>
      <w:tr>
        <w:trPr>
          <w:trHeight w:val="169"/>
        </w:trPr>
        <w:tc>
          <w:tcPr>
            <w:tcW w:w="9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140" w:type="dxa"/>
            <w:vAlign w:val="bottom"/>
            <w:shd w:val="clear" w:color="auto" w:fill="CFF0FC"/>
          </w:tcPr>
          <w:p>
            <w:pPr>
              <w:ind w:left="60"/>
              <w:spacing w:after="0"/>
              <w:rPr>
                <w:sz w:val="20"/>
                <w:szCs w:val="20"/>
                <w:color w:val="auto"/>
              </w:rPr>
            </w:pPr>
            <w:r>
              <w:rPr>
                <w:rFonts w:ascii="Arial" w:cs="Arial" w:eastAsia="Arial" w:hAnsi="Arial"/>
                <w:sz w:val="18"/>
                <w:szCs w:val="18"/>
                <w:color w:val="auto"/>
              </w:rPr>
              <w:t>Research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100" w:type="dxa"/>
            <w:vAlign w:val="bottom"/>
            <w:shd w:val="clear" w:color="auto" w:fill="CFF0FC"/>
          </w:tcPr>
          <w:p>
            <w:pPr>
              <w:spacing w:after="0"/>
              <w:rPr>
                <w:sz w:val="21"/>
                <w:szCs w:val="21"/>
                <w:color w:val="auto"/>
              </w:rPr>
            </w:pPr>
          </w:p>
        </w:tc>
      </w:tr>
      <w:tr>
        <w:trPr>
          <w:trHeight w:val="237"/>
        </w:trPr>
        <w:tc>
          <w:tcPr>
            <w:tcW w:w="9140" w:type="dxa"/>
            <w:vAlign w:val="bottom"/>
          </w:tcPr>
          <w:p>
            <w:pPr>
              <w:ind w:left="60"/>
              <w:spacing w:after="0"/>
              <w:rPr>
                <w:sz w:val="20"/>
                <w:szCs w:val="20"/>
                <w:color w:val="auto"/>
              </w:rPr>
            </w:pPr>
            <w:r>
              <w:rPr>
                <w:rFonts w:ascii="Arial" w:cs="Arial" w:eastAsia="Arial" w:hAnsi="Arial"/>
                <w:sz w:val="18"/>
                <w:szCs w:val="18"/>
                <w:color w:val="auto"/>
              </w:rPr>
              <w:t>Options to license druggable targets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tcPr>
          <w:p>
            <w:pPr>
              <w:spacing w:after="0"/>
              <w:rPr>
                <w:sz w:val="20"/>
                <w:szCs w:val="20"/>
                <w:color w:val="auto"/>
              </w:rPr>
            </w:pPr>
          </w:p>
        </w:tc>
      </w:tr>
      <w:tr>
        <w:trPr>
          <w:trHeight w:val="249"/>
        </w:trPr>
        <w:tc>
          <w:tcPr>
            <w:tcW w:w="91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Options to license undruggable targets</w:t>
            </w:r>
          </w:p>
        </w:tc>
        <w:tc>
          <w:tcPr>
            <w:tcW w:w="2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Total transaction price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r>
      <w:tr>
        <w:trPr>
          <w:trHeight w:val="20"/>
        </w:trPr>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years ended December 31, 2022 and 2021, we recognized, from our deferred revenue balance, $2.7 million and $1.1 million, respectively, as revenue associated with the BMS Agreement in relation to research activities performed during the period.</w:t>
      </w:r>
    </w:p>
    <w:p>
      <w:pPr>
        <w:spacing w:after="0" w:line="1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the fourth quarter of 2022, Bristol Myers Squibb waived its rights to exercise options for druggable targets directed at two separate lesions. As a result, we recognized, from our deferred revenue balance, $12.5 million as revenue for the year ended December 31, 2022 with regards to the amount allocated to the performance obligation from Bristol Meyers Squibb. In October 2021, we received notification from Bristol Myers Squibb of their option exercise for two druggable targets directed at a single synthetic lethal lesion, pursuant to the terms of the BMS Agreement. As a result, we recognized, from our deferred revenue balance, $6.5 million as revenue for the year ended December 31, 2021 with regards to the achievement of the performance obligation from Bristol Myers Squibb and the option fees received.</w:t>
      </w:r>
    </w:p>
    <w:p>
      <w:pPr>
        <w:spacing w:after="0" w:line="1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December 31, 2022, there was $27.4 million (December 31, 2021 - $42.5 million) of deferred revenue related to the BMS Agreement, of which $27.4 million (December 31, 2021 - $2.9 million) was classified as current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3" w:name="page114"/>
    <w:bookmarkEnd w:id="113"/>
    <w:p>
      <w:pPr>
        <w:jc w:val="both"/>
        <w:spacing w:after="0" w:line="277" w:lineRule="auto"/>
        <w:rPr>
          <w:sz w:val="20"/>
          <w:szCs w:val="20"/>
          <w:color w:val="auto"/>
        </w:rPr>
      </w:pPr>
      <w:r>
        <w:rPr>
          <w:rFonts w:ascii="Arial" w:cs="Arial" w:eastAsia="Arial" w:hAnsi="Arial"/>
          <w:sz w:val="18"/>
          <w:szCs w:val="18"/>
          <w:color w:val="auto"/>
        </w:rPr>
        <w:t>and nil (December 31, 2021 - $39.6 million) was classified as non-current on the consolidated balance sheet based on the period the services are expected to be performed and the expected timing of potential option exercises.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January 2019, we entered into a research services, license and collaboration agreement, or the Ono Agreement, with Ono Pharmaceutical Company Ltd., or Ono, pursuant to which we and Ono have agreed to collaborate in the research of potential product candidates targeting Polθ and the development of our small molecule Polθ inhibitor program. Pursuant to the terms of the agreement, we received initial upfront payments of approximately $8.1 million. These upfront payments have been recorded as deferred revenue on our consolidated balance sheet as per our revenue recognition accounting policy and will be recognized as revenue at the point in time when a product candidate is licensed to Ono pursuant to the terms of the agreement.</w:t>
      </w:r>
    </w:p>
    <w:p>
      <w:pPr>
        <w:spacing w:after="0" w:line="5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October 2021, we and Ono entered into an amendment to the Ono Agreement whereby the research term, as defined in the Ono Agreement, was extended by one year. In January 2023, we and Ono entered into a second amendment to the Ono Agreement whereby the Research Term, as defined in the Ono Agreement, was extended until July 31, 2023.</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October 2021 and December 2022, the Company achieved specified research triggers amounting to ¥100 million ($0.9 million) and ¥200 million ($1.5 million), respectively, as research service payments provided for in the Ono Agreement. The ¥200 million ($1.5 million) is included in the collaboration revenue receivable at December 31, 2022 and was subsequently received in January 2023. These amounts have been added to the transaction price as the consideration was no longer constrained.</w:t>
      </w:r>
    </w:p>
    <w:p>
      <w:pPr>
        <w:spacing w:after="0" w:line="18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December 31, 2022, we classified $10.5 million (December 31, 2021 - $9.0 million) as current deferred revenue related to the Ono Agreement.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partially offset by fully refundable Canadian research and development tax credits. We expense research and development costs as incurred, which include:</w:t>
      </w:r>
    </w:p>
    <w:p>
      <w:pPr>
        <w:spacing w:after="0" w:line="76" w:lineRule="exact"/>
        <w:rPr>
          <w:sz w:val="20"/>
          <w:szCs w:val="20"/>
          <w:color w:val="auto"/>
        </w:rPr>
      </w:pPr>
    </w:p>
    <w:p>
      <w:pPr>
        <w:ind w:left="1020" w:hanging="503"/>
        <w:spacing w:after="0" w:line="308"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and other related costs for those employees involved in research and development efforts;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studies or other services performed. Significant judgment and estimates are made in determining the accrued expense or prepaid balances at the end of any reporting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4" w:name="page115"/>
    <w:bookmarkEnd w:id="114"/>
    <w:p>
      <w:pPr>
        <w:jc w:val="both"/>
        <w:ind w:firstLine="50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30"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4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2021</w:t>
            </w:r>
          </w:p>
        </w:tc>
      </w:tr>
      <w:tr>
        <w:trPr>
          <w:trHeight w:val="169"/>
        </w:trPr>
        <w:tc>
          <w:tcPr>
            <w:tcW w:w="7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r>
      <w:tr>
        <w:trPr>
          <w:trHeight w:val="24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Discovery costs</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7"/>
        </w:trPr>
        <w:tc>
          <w:tcPr>
            <w:tcW w:w="7140" w:type="dxa"/>
            <w:vAlign w:val="bottom"/>
          </w:tcPr>
          <w:p>
            <w:pPr>
              <w:ind w:left="200"/>
              <w:spacing w:after="0"/>
              <w:rPr>
                <w:sz w:val="20"/>
                <w:szCs w:val="20"/>
                <w:color w:val="auto"/>
              </w:rPr>
            </w:pPr>
            <w:r>
              <w:rPr>
                <w:rFonts w:ascii="Arial" w:cs="Arial" w:eastAsia="Arial" w:hAnsi="Arial"/>
                <w:sz w:val="18"/>
                <w:szCs w:val="18"/>
                <w:color w:val="auto"/>
              </w:rPr>
              <w:t>Direct external costs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9,942</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11,308</w:t>
            </w:r>
          </w:p>
        </w:tc>
      </w:tr>
      <w:tr>
        <w:trPr>
          <w:trHeight w:val="249"/>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Laboratory supplies and research materials</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4,072</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4,398</w:t>
            </w:r>
          </w:p>
        </w:tc>
      </w:tr>
      <w:tr>
        <w:trPr>
          <w:trHeight w:val="237"/>
        </w:trPr>
        <w:tc>
          <w:tcPr>
            <w:tcW w:w="7140" w:type="dxa"/>
            <w:vAlign w:val="bottom"/>
          </w:tcPr>
          <w:p>
            <w:pPr>
              <w:ind w:left="200"/>
              <w:spacing w:after="0"/>
              <w:rPr>
                <w:sz w:val="20"/>
                <w:szCs w:val="20"/>
                <w:color w:val="auto"/>
              </w:rPr>
            </w:pPr>
            <w:r>
              <w:rPr>
                <w:rFonts w:ascii="Arial" w:cs="Arial" w:eastAsia="Arial" w:hAnsi="Arial"/>
                <w:sz w:val="18"/>
                <w:szCs w:val="18"/>
                <w:color w:val="auto"/>
              </w:rPr>
              <w:t>Personnel related costs*</w:t>
            </w:r>
          </w:p>
        </w:tc>
        <w:tc>
          <w:tcPr>
            <w:tcW w:w="44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10,965</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8,912</w:t>
            </w:r>
          </w:p>
        </w:tc>
      </w:tr>
      <w:tr>
        <w:trPr>
          <w:trHeight w:val="249"/>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Facilities related costs</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1,460</w:t>
            </w:r>
          </w:p>
        </w:tc>
      </w:tr>
      <w:tr>
        <w:trPr>
          <w:trHeight w:val="237"/>
        </w:trPr>
        <w:tc>
          <w:tcPr>
            <w:tcW w:w="7140" w:type="dxa"/>
            <w:vAlign w:val="bottom"/>
          </w:tcPr>
          <w:p>
            <w:pPr>
              <w:ind w:left="200"/>
              <w:spacing w:after="0"/>
              <w:rPr>
                <w:sz w:val="20"/>
                <w:szCs w:val="20"/>
                <w:color w:val="auto"/>
              </w:rPr>
            </w:pPr>
            <w:r>
              <w:rPr>
                <w:rFonts w:ascii="Arial" w:cs="Arial" w:eastAsia="Arial" w:hAnsi="Arial"/>
                <w:sz w:val="18"/>
                <w:szCs w:val="18"/>
                <w:color w:val="auto"/>
              </w:rPr>
              <w:t>Other costs*</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4,032</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3,665</w:t>
            </w:r>
          </w:p>
        </w:tc>
      </w:tr>
      <w:tr>
        <w:trPr>
          <w:trHeight w:val="243"/>
        </w:trPr>
        <w:tc>
          <w:tcPr>
            <w:tcW w:w="7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30,547</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29,743</w:t>
            </w: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9"/>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Direct external costs</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Camonsertib program</w:t>
            </w:r>
          </w:p>
        </w:tc>
        <w:tc>
          <w:tcPr>
            <w:tcW w:w="44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25,434</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25,350</w:t>
            </w:r>
          </w:p>
        </w:tc>
      </w:tr>
      <w:tr>
        <w:trPr>
          <w:trHeight w:val="24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RP-6306 program</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25,241</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15,962</w:t>
            </w: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RP-2119 program</w:t>
            </w:r>
          </w:p>
        </w:tc>
        <w:tc>
          <w:tcPr>
            <w:tcW w:w="44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5,152</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related costs*</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27,450</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16,889</w:t>
            </w:r>
          </w:p>
        </w:tc>
      </w:tr>
      <w:tr>
        <w:trPr>
          <w:trHeight w:val="237"/>
        </w:trPr>
        <w:tc>
          <w:tcPr>
            <w:tcW w:w="7140" w:type="dxa"/>
            <w:vAlign w:val="bottom"/>
          </w:tcPr>
          <w:p>
            <w:pPr>
              <w:ind w:left="200"/>
              <w:spacing w:after="0"/>
              <w:rPr>
                <w:sz w:val="20"/>
                <w:szCs w:val="20"/>
                <w:color w:val="auto"/>
              </w:rPr>
            </w:pPr>
            <w:r>
              <w:rPr>
                <w:rFonts w:ascii="Arial" w:cs="Arial" w:eastAsia="Arial" w:hAnsi="Arial"/>
                <w:sz w:val="18"/>
                <w:szCs w:val="18"/>
                <w:color w:val="auto"/>
              </w:rPr>
              <w:t>Facilities related costs</w:t>
            </w:r>
          </w:p>
        </w:tc>
        <w:tc>
          <w:tcPr>
            <w:tcW w:w="44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808</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733</w:t>
            </w:r>
          </w:p>
        </w:tc>
      </w:tr>
      <w:tr>
        <w:trPr>
          <w:trHeight w:val="243"/>
        </w:trPr>
        <w:tc>
          <w:tcPr>
            <w:tcW w:w="7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costs*</w:t>
            </w:r>
          </w:p>
        </w:tc>
        <w:tc>
          <w:tcPr>
            <w:tcW w:w="4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5,868</w:t>
            </w:r>
          </w:p>
        </w:tc>
        <w:tc>
          <w:tcPr>
            <w:tcW w:w="2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2,494</w:t>
            </w:r>
          </w:p>
        </w:tc>
      </w:tr>
      <w:tr>
        <w:trPr>
          <w:trHeight w:val="236"/>
        </w:trPr>
        <w:tc>
          <w:tcPr>
            <w:tcW w:w="7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89,953</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61,428</w:t>
            </w:r>
          </w:p>
        </w:tc>
      </w:tr>
      <w:tr>
        <w:trPr>
          <w:trHeight w:val="243"/>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R&amp;D tax credits</w:t>
            </w:r>
          </w:p>
        </w:tc>
        <w:tc>
          <w:tcPr>
            <w:tcW w:w="4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(1,434 )</w:t>
            </w:r>
          </w:p>
        </w:tc>
        <w:tc>
          <w:tcPr>
            <w:tcW w:w="2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(1,124 )</w:t>
            </w:r>
          </w:p>
        </w:tc>
      </w:tr>
      <w:tr>
        <w:trPr>
          <w:trHeight w:val="236"/>
        </w:trPr>
        <w:tc>
          <w:tcPr>
            <w:tcW w:w="7140" w:type="dxa"/>
            <w:vAlign w:val="bottom"/>
          </w:tcPr>
          <w:p>
            <w:pPr>
              <w:ind w:left="20"/>
              <w:spacing w:after="0"/>
              <w:rPr>
                <w:sz w:val="20"/>
                <w:szCs w:val="20"/>
                <w:color w:val="auto"/>
              </w:rPr>
            </w:pPr>
            <w:r>
              <w:rPr>
                <w:rFonts w:ascii="Arial" w:cs="Arial" w:eastAsia="Arial" w:hAnsi="Arial"/>
                <w:sz w:val="18"/>
                <w:szCs w:val="18"/>
                <w:color w:val="auto"/>
              </w:rPr>
              <w:t>Total research and development costs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119,066</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90,047</w:t>
            </w: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*Certain amounts have been reclassified for presentation purposes.</w:t>
            </w: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-659765</wp:posOffset>
            </wp:positionV>
            <wp:extent cx="128905"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-342265</wp:posOffset>
            </wp:positionV>
            <wp:extent cx="12890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spacing w:after="0" w:line="277" w:lineRule="auto"/>
        <w:rPr>
          <w:sz w:val="20"/>
          <w:szCs w:val="20"/>
          <w:color w:val="auto"/>
        </w:rPr>
      </w:pPr>
      <w:r>
        <w:rPr>
          <w:rFonts w:ascii="Arial" w:cs="Arial" w:eastAsia="Arial" w:hAnsi="Arial"/>
          <w:sz w:val="18"/>
          <w:szCs w:val="18"/>
          <w:color w:val="auto"/>
        </w:rPr>
        <w:t>anticipate that our expenses will increase substantially, particularly due to the numerous risks and uncertainties associated with developing product candidates, including the uncertainty of:</w:t>
      </w:r>
    </w:p>
    <w:p>
      <w:pPr>
        <w:spacing w:after="0" w:line="62" w:lineRule="exact"/>
        <w:rPr>
          <w:sz w:val="20"/>
          <w:szCs w:val="20"/>
          <w:color w:val="auto"/>
        </w:rPr>
      </w:pPr>
    </w:p>
    <w:p>
      <w:pPr>
        <w:ind w:left="1020" w:hanging="503"/>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the FDA, the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ongoing and planned clinical trials, we could be required to expend significant additional financial resources and time on the completion of clinical development of that product candidate.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directors and officers insurance expenses, investor and public relations expenses and other general administrative expenses.</w:t>
      </w:r>
    </w:p>
    <w:p>
      <w:pPr>
        <w:spacing w:after="0" w:line="14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continue to incur significant accounting, audit, legal, regulatory, compliance and directors and officers insurance costs as well as investor and public relations expenses associated with operating as a public company.</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(expense), net consists primarily of realized and unrealized gains and losses on foreign exchange, interest income earned on cash and cash equivalents and marketable securities, and other expenses such as interest and bank charges.</w:t>
      </w:r>
    </w:p>
    <w:p>
      <w:pPr>
        <w:spacing w:after="0" w:line="170"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Realized and unrealized gains and losses on foreign exchange consist of realized and unrealized gains and losses from holding cash and foreign currency denominated other receivables, accounts payable, accrued expenses and other current liabilities as well as operating lease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r>
      <w:tr>
        <w:trPr>
          <w:trHeight w:val="169"/>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Collaboration agreements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131,830</w:t>
            </w:r>
          </w:p>
        </w:tc>
        <w:tc>
          <w:tcPr>
            <w:tcW w:w="62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7,600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124,230</w:t>
            </w: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Research and development, net of tax credits</w:t>
            </w:r>
          </w:p>
        </w:tc>
        <w:tc>
          <w:tcPr>
            <w:tcW w:w="32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119,066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90,047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29,019</w:t>
            </w: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32,560</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26,213</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6,347</w:t>
            </w:r>
          </w:p>
        </w:tc>
      </w:tr>
      <w:tr>
        <w:trPr>
          <w:trHeight w:val="236"/>
        </w:trPr>
        <w:tc>
          <w:tcPr>
            <w:tcW w:w="6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151,626</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116,260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35,366</w:t>
            </w: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(19,796 )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(108,660 )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88,864</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Realized and unrealized gain (loss) on foreign exchange</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452</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5,631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5,372</w:t>
            </w: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6"/>
        </w:trPr>
        <w:tc>
          <w:tcPr>
            <w:tcW w:w="656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5,896</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5,822</w:t>
            </w: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(108,586 )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94,686</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(15,147 )</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(16,825 )</w:t>
            </w:r>
          </w:p>
        </w:tc>
      </w:tr>
      <w:tr>
        <w:trPr>
          <w:trHeight w:val="27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(29,047 )</w:t>
            </w: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(106,908 )</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77,861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-1610995</wp:posOffset>
            </wp:positionV>
            <wp:extent cx="10287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-1610995</wp:posOffset>
            </wp:positionV>
            <wp:extent cx="939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-668020</wp:posOffset>
            </wp:positionV>
            <wp:extent cx="10287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-668020</wp:posOffset>
            </wp:positionV>
            <wp:extent cx="939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Revenue was $131.8 million for the year ended December 31, 2022. Of this amount, $116.6 million related to the recognition of revenue associated with the Roche Agreement, of which $105.3 million related to the grant of the combined licenses, $2.7 million related to the clinical trial materials transferred, and $8.6 million related to the partial recognition of deferred revenue for research and development services performed towards the completion of the Continuing Trials during the period.</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also recognized $15.2 million for the year ended December 31, 2022 as revenue associated with the BMS Agreement. Of this amount, $12.5 million relates to the recognition of deferred revenue related to druggable targets as Bristol Myers Squibb waived its rights to exercise options for druggable targets directed at two separate lesions, and $2.7 million was a result of the partial recognition of the deferred revenue from the BMS Agreement, in proportion to the level of research and development services performed during the period.</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Revenue was $7.6 million for the year ended December 31, 2021. Of this amount, $6.5 million related to the recognition of deferred revenue from the exercise by Bristol Myers Squibb of their option exercise for druggable targets directed at synthetic lethal lesion, pursuant to the terms of the BMS Agreement, and the related option fees received, and $1.1 million was a result of the partial recognition of the deferred revenue from the BMS Agreement, in proportion to the level of research and development services performed during the period.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$119.1 million for the year ended December 31, 2022, compared to $90.0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The increase of $29.1 million in research and development expenses was primarily due to:</w:t>
      </w:r>
    </w:p>
    <w:p>
      <w:pPr>
        <w:spacing w:after="0" w:line="103" w:lineRule="exact"/>
        <w:rPr>
          <w:sz w:val="20"/>
          <w:szCs w:val="20"/>
          <w:color w:val="auto"/>
        </w:rPr>
      </w:pPr>
    </w:p>
    <w:p>
      <w:pPr>
        <w:ind w:left="1020" w:right="20" w:hanging="503"/>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$13.1 million increase in direct external costs related to the advancement of the RP-6306 program, and the advancement of preclinical programs into IND-enabling studies;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ind w:left="102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$12.6 million increase in personnel-related costs, including a $4.3 million increase in share-based compensation, primarily related to increased headcount in support of our discovery and development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$0.3 million decrease in laboratory supplies and research materials;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$3.7 million increase in other research and development costs, including travel, depreciation, facilities, and external costs not involved in the RP-6306, camonsertib or the advancement of preclinical programs into IND-enabling studies.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$32.6 million for the year ended December 31, 2022, compared to $26.2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The increase of $6.4 million in general and administrative expenses consisted of:</w:t>
      </w:r>
    </w:p>
    <w:p>
      <w:pPr>
        <w:spacing w:after="0" w:line="103" w:lineRule="exact"/>
        <w:rPr>
          <w:sz w:val="20"/>
          <w:szCs w:val="20"/>
          <w:color w:val="auto"/>
        </w:rPr>
      </w:pPr>
    </w:p>
    <w:p>
      <w:pPr>
        <w:ind w:left="1020" w:hanging="503"/>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$4.0 million increase in personnel related costs, including a $2.5 million increase in share-based compensation, primarily related to increased headcount as we scale the organization;</w:t>
      </w:r>
    </w:p>
    <w:p>
      <w:pPr>
        <w:spacing w:after="0" w:line="62"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$2.8 million increase in professional fees associated with the Roche collaboration and the establishment of our at-the-market facility program with Cowen and Company, LLC, as well as timing of audit and Sarbanes-Oxley Act of 2002 related compliance efforts;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$0.8 million increase in other general and administrative expenses mainly related to facilities and IT costs;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$1.2 million decrease in our D&amp;O insurance premium.</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Other income, net was $5.9 million for the year ended December 31, 2022, compared to $0.1 million for the year ended December 31, 2021. The increase of $5.8 million in other income was primarily attributable to higher sums invested in cash and cash equivalents and marketable securities as well as higher interest rates.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Income tax expense was $15.1 million for the year ended December 31, 2022, primarily due to the taxable income in our U.S. subsidiary and utilization of federal and state research and development tax credit carry forwards.</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Income tax benefit was $1.7 million for the year ended December 31, 2021, primarily due to U.S. federal and state research and development tax credits generated, offset by taxable income in our U.S. subsidiary.</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decrease of $16.8 million in the income tax benefit was primarily driven by the Tax Cuts and Jobs Act effective January 1, 2022 requiring capitalization and amortization of all IRC 174 costs associated with research and development costs, offset by the utilization of federal and state research and development tax credit carry forwards.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Since our inception, we have not recognized any revenue from product sales and have incurred operating losses and negative cash flows from our operations. We have not yet commercialized any product and we do not expect to generate revenue from sales of any products for several years, if at all. On June 23, 2020, we completed our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$232.0 million, after deducting underwriting commissions, and offering expenses of $3.2 million. In November 2021, we completed a follow-on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8" w:name="page119"/>
    <w:bookmarkEnd w:id="118"/>
    <w:p>
      <w:pPr>
        <w:jc w:val="both"/>
        <w:ind w:firstLine="509"/>
        <w:spacing w:after="0" w:line="279" w:lineRule="auto"/>
        <w:rPr>
          <w:sz w:val="20"/>
          <w:szCs w:val="20"/>
          <w:color w:val="auto"/>
        </w:rPr>
      </w:pPr>
      <w:r>
        <w:rPr>
          <w:rFonts w:ascii="Arial" w:cs="Arial" w:eastAsia="Arial" w:hAnsi="Arial"/>
          <w:sz w:val="17"/>
          <w:szCs w:val="17"/>
          <w:color w:val="auto"/>
        </w:rPr>
        <w:t>In August 2022, we entered into a Common Shares Sale Agreement, or the Sales Agreement, with Cowen and Company, LLC as sales agent, pursuant to which we may issue and sell common shares from time to time, or the ATM Shares. The ATM Shares to be sold under the Sales Agreement, if any, will be issued and sold pursuant to our shelf registration statement on Form S-3 (File No. 333-257668), up to a maximum aggregate amount of $125.0 million. No shares have been issued under the Sales Agreement as of the date of this Annual Report on Form 10-K.</w:t>
      </w:r>
    </w:p>
    <w:p>
      <w:pPr>
        <w:spacing w:after="0" w:line="17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We have also partnered with Ono for our Polθ inhibitor program and Bristol Myers Squibb for research and development of potential new product candidates for the treatment of cancer and received initial upfront and additional payments of approximately $60.5 million in the aggregate. In June 2022, we entered into a collaboration and license agreement with Roche for camonsertib and have received initial payments under the terms of the collaboration in the aggregate amount of $134.6 million.</w:t>
      </w:r>
    </w:p>
    <w:p>
      <w:pPr>
        <w:spacing w:after="0" w:line="1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and we will continue to incur additional costs associated with operating as a public company. We expect that our research and development and general and administrative costs will increase in connection with our planned research and development activities.</w:t>
      </w:r>
    </w:p>
    <w:p>
      <w:pPr>
        <w:spacing w:after="0" w:line="1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Beginning in 2022, the Tax Cuts and Jobs Act of 2017 eliminates the option to deduct U.S.-based research and development expenditures in the current fiscal year and requires taxpayers to amortize them over five years pursuant to Internal Revenue Code Section 174. This provision has increased our 2022 cash payments of income taxes significantly as compared to 2021. Although Congress is considering legislation that would defer the amortization requirement to later years, we have no assurance that the provision will be repealed or otherwise modified. If the requirement is not modified, it will materially reduce our cash flows.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19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of December 31, 2022, our cash and cash equivalents and marketable securities on hand was $343.9 million. We believe that our existing cash and cash equivalents, and marketable securities on hand will be sufficient to fund our anticipated operating and capital expenditure requirements into 2026.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9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38"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initiation, timing, costs, progress and results of our product candidates, including our ongoing Phase 1 clinical trials of RP-6306;</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 including the Roche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ind w:left="1020" w:right="2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camonsertib, RP-6306 and any future product candidates for which we or our collaborators receive marketing approval;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5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6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5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322</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(85,796 )</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86,118</w:t>
            </w:r>
          </w:p>
        </w:tc>
        <w:tc>
          <w:tcPr>
            <w:tcW w:w="160" w:type="dxa"/>
            <w:vAlign w:val="bottom"/>
            <w:shd w:val="clear" w:color="auto" w:fill="CFF0FC"/>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(175,778 )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(1,676 )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(174,102 )</w:t>
            </w:r>
          </w:p>
        </w:tc>
        <w:tc>
          <w:tcPr>
            <w:tcW w:w="160" w:type="dxa"/>
            <w:vAlign w:val="bottom"/>
          </w:tcPr>
          <w:p>
            <w:pPr>
              <w:spacing w:after="0"/>
              <w:rPr>
                <w:sz w:val="20"/>
                <w:szCs w:val="20"/>
                <w:color w:val="auto"/>
              </w:rPr>
            </w:pP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95,557</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(94,677 )</w:t>
            </w:r>
          </w:p>
        </w:tc>
        <w:tc>
          <w:tcPr>
            <w:tcW w:w="160" w:type="dxa"/>
            <w:vAlign w:val="bottom"/>
            <w:shd w:val="clear" w:color="auto" w:fill="CFF0FC"/>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Effect of exchange rate fluctuations on cash held</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(276 )</w:t>
            </w:r>
          </w:p>
        </w:tc>
        <w:tc>
          <w:tcPr>
            <w:tcW w:w="160" w:type="dxa"/>
            <w:vAlign w:val="bottom"/>
          </w:tcPr>
          <w:p>
            <w:pPr>
              <w:spacing w:after="0"/>
              <w:rPr>
                <w:sz w:val="20"/>
                <w:szCs w:val="20"/>
                <w:color w:val="auto"/>
              </w:rPr>
            </w:pPr>
          </w:p>
        </w:tc>
      </w:tr>
      <w:tr>
        <w:trPr>
          <w:trHeight w:val="277"/>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(174,906 )</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8,031</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(182,937 )</w:t>
            </w:r>
          </w:p>
        </w:tc>
        <w:tc>
          <w:tcPr>
            <w:tcW w:w="1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02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Net cash provided by operating activities was $0.3 million for the year ended December 31, 2022, reflecting a net loss of $29.0 million, offset by a net change of $4.4 million in our net operating assets and non-cash charges of $25.0 million. The non-cash charges primarily consist of share-based compensation for option grants to employees, as well as depreciation expense and non-cash lease expense offset by the net accretion/amortization of marketable securities and deferred tax assets. The change in our net operating assets was due to a decrease of $1.9 million in prepaid expenses and research development tax credits receivable, as well as an increase of $7.9 million in accrued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0" w:name="page121"/>
    <w:bookmarkEnd w:id="120"/>
    <w:p>
      <w:pPr>
        <w:jc w:val="both"/>
        <w:spacing w:after="0" w:line="277" w:lineRule="auto"/>
        <w:rPr>
          <w:sz w:val="20"/>
          <w:szCs w:val="20"/>
          <w:color w:val="auto"/>
        </w:rPr>
      </w:pPr>
      <w:r>
        <w:rPr>
          <w:rFonts w:ascii="Arial" w:cs="Arial" w:eastAsia="Arial" w:hAnsi="Arial"/>
          <w:sz w:val="18"/>
          <w:szCs w:val="18"/>
          <w:color w:val="auto"/>
        </w:rPr>
        <w:t>expenses and other current liabilities, income taxes payable and deferred revenue, offset by an increase of $2.7 million in collaboration revenue receivable and other receivables, as well as a $2.8 million decrease in accounts payable and operating lease liabilities.</w:t>
      </w:r>
    </w:p>
    <w:p>
      <w:pPr>
        <w:spacing w:after="0" w:line="1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Net cash used in operating activities was $85.8 million for the year ended December 31, 2021, reflecting a net loss of $106.9 million, offset by a net change of $7.0 million in our net operating assets and non-cash charges of $14.1 million. The non-cash charges primarily consist of share-based compensation for option grants to employees, as well as depreciation expense and non-cash lease expense offset by deferred tax assets. The change in our net operating assets was due to a decrease of $3.6 million in other receivables, as well as an increase of $11.9 million in accounts payable, income tax payable and accrued expenses and other current liabilities, offset by an increase of $0.9 million in research and development tax credits receivable and other non-current assets, as well as a $7.6 million decrease in operating lease liabilities and deferred revenue.</w:t>
      </w:r>
    </w:p>
    <w:p>
      <w:pPr>
        <w:spacing w:after="0" w:line="17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$86.1 million decrease in cash used in operating activities for the year ended December 31, 2022 compared to December 31, 2021 is primarily due to the $134.6 million upfront payment received under the Roche Agreement offset by an increase in operating expenses, specifically direct external costs and personnel-related costs, as we advance the development of our product candidates.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Net cash used in investing activities was $175.8 million for the year ended December 31, 2022 and resulted primarily from purchases of marketable securities offset by proceeds from maturities of marketable securities.</w:t>
      </w:r>
    </w:p>
    <w:p>
      <w:pPr>
        <w:spacing w:after="0" w:line="170"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Net cash used in investing activities was $1.7 million for the year ended December 31, 2021 and resulted primarily from purchases of property and equipment.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was $0.9 million for the year ended December 31, 2022, consisting of net proceeds from the exercise of stock options and issuance of common shares under the ESPP.</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was $95.6 million for the year ended December 31, 2021, consisting primarily of $94.3 million from the November 2021 issuance of shares in the follow-on offering, net of underwriting commissions and offering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we anticipate the aggregate of our cash and cash equivalents and marketable securities will be sufficient to fund our contractual obligations, as well as cash requirements to support our ongoing operations and capital expenditures. Our contractual obligations as of December 31, 2022 primarily consist of:</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Collaboration and research agreement obligations primarily relate to a strategic collaboration agreement that we entered into with the University of Texas M. D. Anderson Cancer Center, or MDACC, in March 2020. The collaboration consists of preclinical studies and clinical trials designed by us and MDACC with the research to be completed by MDACC. We have agreed to commit $10.0 million in the aggregate to fund the collaboration, with payments to be made over a period of five years, of which $5.4 million was paid as of December 31, 2022.</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also entered into an agreement with the Broad Institute, Inc., or Broad, in July 2022, under which Broad will perform specialty screening services at our request over the course of a three-year term in exchange for payments of $0.8 million per year, beginning in July 2022, totaling $2.3 million in the aggregate.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1" w:name="page122"/>
    <w:bookmarkEnd w:id="121"/>
    <w:p>
      <w:pPr>
        <w:ind w:left="520"/>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30 to 90 days’ prior written notice, and therefore are cancellable contracts. The amount and timing of such payments are not known as of December 31, 2022.</w:t>
      </w:r>
    </w:p>
    <w:p>
      <w:pPr>
        <w:spacing w:after="0" w:line="1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have further entered into license agreements under which we are obligated to make milestone and royalty payments and incur annual maintenance fees. The future milestone or royalty payment obligations under the agreement are contingent upon future events, such as achieving certain clinical and commercial milestones or generating product sales. As of December 31, 2022, we were unable to estimate the timing or likelihood of achieving these clinical and commercial milestones or generating future product sales. See the section titled “License and Collaboration Agreements” elsewhere in this Annual Report as well as Note 7 to our annual consolidated financial statements appearing elsewhere in this Annual Report for a description of our license agreements.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Indemnification agreements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the ordinary course of business, we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we have entered into indemnification agreements with members of our board of directors and executive officers that will require us, among other things, to indemnify them against certain liabilities that may arise by reason of their status or service as directors or officers. The maximum potential amount of future payments we could be required to make under these indemnification agreements is, in many cases, unlimited. To date, we have not incurred any material costs as a result of such indemnifications. We are not aware of any indemnification arrangements could have a material effect on our financial position, results of operations or cash flows, and we have not accrued any liabilities related to such obligations in our consolidated financial statements as of December 31,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While our accounting policies are described in more detail in the notes to our consolidated financial statements appearing elsewhere in this Annual Report, we believe the following accounting policies used in the preparation of our consolidated financial statements require the most significant judgments and estimates. See Note 2 to our annual consolidated financial statements included elsewhere in this Annual Report for a description of our other significant accounting policies.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In the year ended December 31, 2022, our revenue was generated from our Bristol Myers Squibb collaboration agreement and the Roche collaboration and license agreement. We also have a collaboration agreement with Ono, from which revenue has yet to be recognized.</w:t>
      </w:r>
    </w:p>
    <w:p>
      <w:pPr>
        <w:spacing w:after="0" w:line="14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recognize revenue in accordance with Financial Accounting Standards Board, or FASB, Accounting Standards Codification, or ASC, Topic 606, Revenue from Contracts with Customers, or ASC 606. We enter into collaboration and license agreements, which are within the scope of ASC 606, to discover, develop, manufacture,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2" w:name="page123"/>
    <w:bookmarkEnd w:id="122"/>
    <w:p>
      <w:pPr>
        <w:jc w:val="both"/>
        <w:spacing w:after="0" w:line="257" w:lineRule="auto"/>
        <w:rPr>
          <w:sz w:val="20"/>
          <w:szCs w:val="20"/>
          <w:color w:val="auto"/>
        </w:rPr>
      </w:pPr>
      <w:r>
        <w:rPr>
          <w:rFonts w:ascii="Arial" w:cs="Arial" w:eastAsia="Arial" w:hAnsi="Arial"/>
          <w:sz w:val="18"/>
          <w:szCs w:val="18"/>
          <w:color w:val="auto"/>
        </w:rPr>
        <w:t>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us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88"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we identify the contract(s) with a customer; (ii) we identify the performance obligations in the contract; (iii) we determine the transaction price; (iv) we allocate the transaction price to the performance obligations in the contract; and (v) we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6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As part of the accounting for these arrangements, we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We use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we recognize revenue as or when the performance obligations under the contract are satisfied. In determining the stand-alone selling price of a license to our proprietary technology or a material right provided by a customer option, we consider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estimated stand-alone selling price, we evaluate whether changes in the key assumptions used to determine estimated stand-alone selling price will have a significant effect on the allocation of arrangement consideration between performance obligations.</w:t>
      </w:r>
    </w:p>
    <w:p>
      <w:pPr>
        <w:spacing w:after="0" w:line="17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our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we recognize revenue from non-refundable, upfront fees allocated to the license when the license is transferred to the customer and the customer is able to use and benefit from the license. In assessing whether a license is distinct from the other promises, we consider relevant facts and circumstances of each arrangement, including the research and development capabilities of the collaboration partner and the availability of the associated expertise in the general marketplace. In addition, we consider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we utilize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18"/>
          <w:szCs w:val="18"/>
          <w:color w:val="auto"/>
        </w:rPr>
        <w:t>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 We have recognized revenue related to such licenses from our Roche collaboration and license agreement.</w:t>
      </w:r>
    </w:p>
    <w:p>
      <w:pPr>
        <w:spacing w:after="0" w:line="184"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 The obligations under our collaboration and license agreements generally include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services to be performed by us to benefit the collaboration partner. For performance obligations that include research and development services, we generally recognize revenue allocated to such performance obligations based on an appropriate measure of progress. We utilize judgment to determine the appropriate method of measuring progress for purposes of recognizing revenue, which is generally an input measure such as costs incurred. We evaluate the measure of progress each reporting period and, if necessary, adjust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We have recognized revenue related to such research and development services from our Bristol Myers Squibb collaboration agreement and our Roche collaboration and license agreement.</w:t>
      </w:r>
    </w:p>
    <w:p>
      <w:pPr>
        <w:spacing w:after="0" w:line="16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i w:val="1"/>
          <w:iCs w:val="1"/>
          <w:color w:val="auto"/>
        </w:rPr>
        <w:t xml:space="preserve">Customer Options </w:t>
      </w:r>
      <w:r>
        <w:rPr>
          <w:rFonts w:ascii="Arial" w:cs="Arial" w:eastAsia="Arial" w:hAnsi="Arial"/>
          <w:sz w:val="18"/>
          <w:szCs w:val="18"/>
          <w:color w:val="auto"/>
        </w:rPr>
        <w:t>– Our arrangements may provide a collaborator with the right to acquire additional goods or services in the future.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these agreements, fees may be due to us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 We have recognized revenue related to such customer options from our Bristol Myers Squibb collaboration agreement.</w:t>
      </w:r>
    </w:p>
    <w:p>
      <w:pPr>
        <w:spacing w:after="0" w:line="19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we evaluate whether the milestones</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probable of being achieved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our estimate of the overall transaction price. Any such adjustments are recorded on a cumulative catch-up basis, which would affect revenues and earnings in the period of adjustment. If a milestone or other variable consideration relates specifically to our efforts to satisfy a single performance obligation or to a specific outcome from satisfying the performance obligation, we generally allocate the milestone amount entirely to that performance obligation once it is probable that a significant revenue reversal would not occur. To date, we have not recognized any revenue related to the achievement of such milestones.</w:t>
      </w:r>
    </w:p>
    <w:p>
      <w:pPr>
        <w:spacing w:after="0" w:line="1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we recognize revenue at the later of (i) when the related sales occur or (ii) when the performance obligation to which some or all of the royalty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4" w:name="page125"/>
    <w:bookmarkEnd w:id="124"/>
    <w:p>
      <w:pPr>
        <w:jc w:val="both"/>
        <w:spacing w:after="0" w:line="277" w:lineRule="auto"/>
        <w:rPr>
          <w:sz w:val="20"/>
          <w:szCs w:val="20"/>
          <w:color w:val="auto"/>
        </w:rPr>
      </w:pPr>
      <w:r>
        <w:rPr>
          <w:rFonts w:ascii="Arial" w:cs="Arial" w:eastAsia="Arial" w:hAnsi="Arial"/>
          <w:sz w:val="18"/>
          <w:szCs w:val="18"/>
          <w:color w:val="auto"/>
        </w:rPr>
        <w:t>has been allocated has been satisfied (or partially satisfied). To date, we have not recognized any royalty revenue resulting from any of our licensing arrangements.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and Prepaid Research and Development Expenses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and prepaid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and prepaid expenses as of each balance sheet date based on facts and circumstances known to us at that time. We periodically confirm the accuracy of our estimates with the service providers and make adjustments if necessary.</w:t>
      </w:r>
    </w:p>
    <w:p>
      <w:pPr>
        <w:spacing w:after="0" w:line="19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w:t>
      </w:r>
    </w:p>
    <w:p>
      <w:pPr>
        <w:spacing w:after="0" w:line="14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share unit is estimated on the date of grant based on the fair value of our common share on that same date. Prior to our IPO, as there was no public market for our common shares, we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blended with the historical volatility of the Company's common shares. We expect to continue using such methodology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5" w:name="page126"/>
    <w:bookmarkEnd w:id="125"/>
    <w:p>
      <w:pPr>
        <w:ind w:right="20"/>
        <w:spacing w:after="0" w:line="277" w:lineRule="auto"/>
        <w:rPr>
          <w:sz w:val="20"/>
          <w:szCs w:val="20"/>
          <w:color w:val="auto"/>
        </w:rPr>
      </w:pPr>
      <w:r>
        <w:rPr>
          <w:rFonts w:ascii="Arial" w:cs="Arial" w:eastAsia="Arial" w:hAnsi="Arial"/>
          <w:sz w:val="18"/>
          <w:szCs w:val="18"/>
          <w:color w:val="auto"/>
        </w:rPr>
        <w:t>approximately equal to the expected term of the award. We have not paid, and do not anticipate paying, cash dividends on our common shares; therefore, the expected dividend yield is assumed to be zero.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See note 2 to our annual consolidated financial statements appearing elsewhere in this Annual Report for a description of recently adopted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Under SEC rules and regulations, because we are considered to be a “smaller reporting company”, we are not required to provide the information required by this item in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r>
      <w:tr>
        <w:trPr>
          <w:trHeight w:val="331"/>
        </w:trPr>
        <w:tc>
          <w:tcPr>
            <w:tcW w:w="1056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 (PCAOB ID: 1263)</w:t>
            </w: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and Comprehensive Loss for the years ended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Arial" w:cs="Arial" w:eastAsia="Arial" w:hAnsi="Arial"/>
                <w:sz w:val="18"/>
                <w:szCs w:val="18"/>
                <w:color w:val="0000FF"/>
              </w:rPr>
              <w:t>Consolidated Statements of Shareholders’ Equity for the years ended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 for the years ended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the Shareholders and the Board of Directors of </w:t>
      </w:r>
      <w:r>
        <w:rPr>
          <w:rFonts w:ascii="Arial" w:cs="Arial" w:eastAsia="Arial" w:hAnsi="Arial"/>
          <w:sz w:val="16"/>
          <w:szCs w:val="16"/>
          <w:b w:val="1"/>
          <w:bCs w:val="1"/>
          <w:color w:val="auto"/>
        </w:rPr>
        <w:t>Repare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have audited the accompanying consolidated balance sheets of </w:t>
      </w:r>
      <w:r>
        <w:rPr>
          <w:rFonts w:ascii="Arial" w:cs="Arial" w:eastAsia="Arial" w:hAnsi="Arial"/>
          <w:sz w:val="16"/>
          <w:szCs w:val="16"/>
          <w:b w:val="1"/>
          <w:bCs w:val="1"/>
          <w:color w:val="auto"/>
        </w:rPr>
        <w:t>Repare Therapeutics Inc.</w:t>
      </w:r>
      <w:r>
        <w:rPr>
          <w:rFonts w:ascii="Arial" w:cs="Arial" w:eastAsia="Arial" w:hAnsi="Arial"/>
          <w:sz w:val="16"/>
          <w:szCs w:val="16"/>
          <w:color w:val="auto"/>
        </w:rPr>
        <w:t xml:space="preserve"> (the “Company”) as of December 31, 2022 and 2021, the related consolidated statements of operations and comprehensive loss, shareholders’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6"/>
                <w:szCs w:val="16"/>
                <w:b w:val="1"/>
                <w:bCs w:val="1"/>
                <w:color w:val="auto"/>
              </w:rPr>
              <w:t>Accrued and Prepaid Research and Development Expenses</w:t>
            </w:r>
          </w:p>
        </w:tc>
      </w:tr>
      <w:tr>
        <w:trPr>
          <w:trHeight w:val="289"/>
        </w:trPr>
        <w:tc>
          <w:tcPr>
            <w:tcW w:w="1540" w:type="dxa"/>
            <w:vAlign w:val="bottom"/>
          </w:tcPr>
          <w:p>
            <w:pPr>
              <w:ind w:left="120"/>
              <w:spacing w:after="0"/>
              <w:rPr>
                <w:sz w:val="20"/>
                <w:szCs w:val="20"/>
                <w:color w:val="auto"/>
              </w:rPr>
            </w:pPr>
            <w:r>
              <w:rPr>
                <w:rFonts w:ascii="Arial" w:cs="Arial" w:eastAsia="Arial" w:hAnsi="Arial"/>
                <w:sz w:val="16"/>
                <w:szCs w:val="16"/>
                <w:i w:val="1"/>
                <w:iCs w:val="1"/>
                <w:color w:val="auto"/>
              </w:rPr>
              <w:t>Description of the</w:t>
            </w:r>
          </w:p>
        </w:tc>
        <w:tc>
          <w:tcPr>
            <w:tcW w:w="9700" w:type="dxa"/>
            <w:vAlign w:val="bottom"/>
          </w:tcPr>
          <w:p>
            <w:pPr>
              <w:ind w:left="440"/>
              <w:spacing w:after="0"/>
              <w:rPr>
                <w:sz w:val="20"/>
                <w:szCs w:val="20"/>
                <w:color w:val="auto"/>
              </w:rPr>
            </w:pPr>
            <w:r>
              <w:rPr>
                <w:rFonts w:ascii="Arial" w:cs="Arial" w:eastAsia="Arial" w:hAnsi="Arial"/>
                <w:sz w:val="16"/>
                <w:szCs w:val="16"/>
                <w:color w:val="auto"/>
              </w:rPr>
              <w:t>As described in note 2 to the consolidated financial statements, the Company has entered into various research and</w:t>
            </w:r>
          </w:p>
        </w:tc>
      </w:tr>
      <w:tr>
        <w:trPr>
          <w:trHeight w:val="205"/>
        </w:trPr>
        <w:tc>
          <w:tcPr>
            <w:tcW w:w="1540" w:type="dxa"/>
            <w:vAlign w:val="bottom"/>
          </w:tcPr>
          <w:p>
            <w:pPr>
              <w:ind w:left="120"/>
              <w:spacing w:after="0"/>
              <w:rPr>
                <w:sz w:val="20"/>
                <w:szCs w:val="20"/>
                <w:color w:val="auto"/>
              </w:rPr>
            </w:pPr>
            <w:r>
              <w:rPr>
                <w:rFonts w:ascii="Arial" w:cs="Arial" w:eastAsia="Arial" w:hAnsi="Arial"/>
                <w:sz w:val="16"/>
                <w:szCs w:val="16"/>
                <w:i w:val="1"/>
                <w:iCs w:val="1"/>
                <w:color w:val="auto"/>
              </w:rPr>
              <w:t>matter</w:t>
            </w:r>
          </w:p>
        </w:tc>
        <w:tc>
          <w:tcPr>
            <w:tcW w:w="9700" w:type="dxa"/>
            <w:vAlign w:val="bottom"/>
          </w:tcPr>
          <w:p>
            <w:pPr>
              <w:ind w:left="440"/>
              <w:spacing w:after="0"/>
              <w:rPr>
                <w:sz w:val="20"/>
                <w:szCs w:val="20"/>
                <w:color w:val="auto"/>
              </w:rPr>
            </w:pPr>
            <w:r>
              <w:rPr>
                <w:rFonts w:ascii="Arial" w:cs="Arial" w:eastAsia="Arial" w:hAnsi="Arial"/>
                <w:sz w:val="16"/>
                <w:szCs w:val="16"/>
                <w:color w:val="auto"/>
              </w:rPr>
              <w:t>development contracts with third parties and is required to record its accrued and prepaid research and development</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expenses resulting from these contracts at the end of each reporting period. When evaluating the adequacy of the</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accrued and prepaid expenses, the Company analyzes progress of the studies, including the phase or completion of</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events, invoices received and contracted costs. As of December 31, 2022, the Company has recorded $15.1 million of</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accrued research and development expenses and has also recorded total prepaid expenses of $5.7 million, which</w:t>
            </w:r>
          </w:p>
        </w:tc>
      </w:tr>
      <w:tr>
        <w:trPr>
          <w:trHeight w:val="195"/>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included amounts for</w:t>
            </w:r>
          </w:p>
        </w:tc>
      </w:tr>
      <w:tr>
        <w:trPr>
          <w:trHeight w:val="438"/>
        </w:trPr>
        <w:tc>
          <w:tcPr>
            <w:tcW w:w="1540" w:type="dxa"/>
            <w:vAlign w:val="bottom"/>
          </w:tcPr>
          <w:p>
            <w:pPr>
              <w:spacing w:after="0"/>
              <w:rPr>
                <w:sz w:val="24"/>
                <w:szCs w:val="24"/>
                <w:color w:val="auto"/>
              </w:rPr>
            </w:pPr>
          </w:p>
        </w:tc>
        <w:tc>
          <w:tcPr>
            <w:tcW w:w="9700" w:type="dxa"/>
            <w:vAlign w:val="bottom"/>
          </w:tcPr>
          <w:p>
            <w:pPr>
              <w:ind w:left="3940"/>
              <w:spacing w:after="0"/>
              <w:rPr>
                <w:sz w:val="20"/>
                <w:szCs w:val="20"/>
                <w:color w:val="auto"/>
              </w:rPr>
            </w:pPr>
            <w:r>
              <w:rPr>
                <w:rFonts w:ascii="Arial" w:cs="Arial" w:eastAsia="Arial" w:hAnsi="Arial"/>
                <w:sz w:val="18"/>
                <w:szCs w:val="18"/>
                <w:color w:val="auto"/>
              </w:rPr>
              <w:t>126</w:t>
            </w:r>
          </w:p>
        </w:tc>
      </w:tr>
      <w:tr>
        <w:trPr>
          <w:trHeight w:val="115"/>
        </w:trPr>
        <w:tc>
          <w:tcPr>
            <w:tcW w:w="1540" w:type="dxa"/>
            <w:vAlign w:val="bottom"/>
            <w:tcBorders>
              <w:bottom w:val="single" w:sz="8" w:color="9A9A9A"/>
            </w:tcBorders>
          </w:tcPr>
          <w:p>
            <w:pPr>
              <w:spacing w:after="0"/>
              <w:rPr>
                <w:sz w:val="10"/>
                <w:szCs w:val="10"/>
                <w:color w:val="auto"/>
              </w:rPr>
            </w:pPr>
          </w:p>
        </w:tc>
        <w:tc>
          <w:tcPr>
            <w:tcW w:w="9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both"/>
        <w:ind w:left="1980" w:right="560"/>
        <w:spacing w:after="0" w:line="253" w:lineRule="auto"/>
        <w:rPr>
          <w:sz w:val="20"/>
          <w:szCs w:val="20"/>
          <w:color w:val="auto"/>
        </w:rPr>
      </w:pPr>
      <w:r>
        <w:rPr>
          <w:rFonts w:ascii="Arial" w:cs="Arial" w:eastAsia="Arial" w:hAnsi="Arial"/>
          <w:sz w:val="16"/>
          <w:szCs w:val="16"/>
          <w:color w:val="auto"/>
        </w:rPr>
        <w:t>prepayments of research and development expenses. The Company’s determination of the amount of accrued or prepaid expenses at each reporting period requires significant judgment and estimates by management in certain circumstances, as estimates are based on management’s knowledge of the level of service performed by the third parties to date.</w:t>
      </w:r>
    </w:p>
    <w:p>
      <w:pPr>
        <w:spacing w:after="0" w:line="201" w:lineRule="exact"/>
        <w:rPr>
          <w:sz w:val="20"/>
          <w:szCs w:val="20"/>
          <w:color w:val="auto"/>
        </w:rPr>
      </w:pPr>
    </w:p>
    <w:p>
      <w:pPr>
        <w:jc w:val="both"/>
        <w:ind w:left="1980" w:right="560"/>
        <w:spacing w:after="0" w:line="253" w:lineRule="auto"/>
        <w:rPr>
          <w:sz w:val="20"/>
          <w:szCs w:val="20"/>
          <w:color w:val="auto"/>
        </w:rPr>
      </w:pPr>
      <w:r>
        <w:rPr>
          <w:rFonts w:ascii="Arial" w:cs="Arial" w:eastAsia="Arial" w:hAnsi="Arial"/>
          <w:sz w:val="16"/>
          <w:szCs w:val="16"/>
          <w:color w:val="auto"/>
        </w:rPr>
        <w:t>Auditing the Company’s accrued and prepaid research and development expenses is challenging and required significant auditor effort in performing appropriate procedures to evaluate the completeness and accuracy of the information management utilizes in these estimates.</w:t>
      </w:r>
    </w:p>
    <w:p>
      <w:pPr>
        <w:spacing w:after="0" w:line="212" w:lineRule="exact"/>
        <w:rPr>
          <w:sz w:val="20"/>
          <w:szCs w:val="20"/>
          <w:color w:val="auto"/>
        </w:rPr>
      </w:pPr>
    </w:p>
    <w:p>
      <w:pPr>
        <w:ind w:left="120"/>
        <w:spacing w:after="0"/>
        <w:tabs>
          <w:tab w:leader="none" w:pos="1960" w:val="left"/>
        </w:tabs>
        <w:rPr>
          <w:sz w:val="20"/>
          <w:szCs w:val="20"/>
          <w:color w:val="auto"/>
        </w:rPr>
      </w:pPr>
      <w:r>
        <w:rPr>
          <w:rFonts w:ascii="Arial" w:cs="Arial" w:eastAsia="Arial" w:hAnsi="Arial"/>
          <w:sz w:val="16"/>
          <w:szCs w:val="16"/>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 over the</w:t>
      </w:r>
    </w:p>
    <w:p>
      <w:pPr>
        <w:spacing w:after="0" w:line="21" w:lineRule="exact"/>
        <w:rPr>
          <w:sz w:val="20"/>
          <w:szCs w:val="20"/>
          <w:color w:val="auto"/>
        </w:rPr>
      </w:pPr>
    </w:p>
    <w:p>
      <w:pPr>
        <w:ind w:left="120"/>
        <w:spacing w:after="0"/>
        <w:tabs>
          <w:tab w:leader="none" w:pos="1960" w:val="left"/>
        </w:tabs>
        <w:rPr>
          <w:sz w:val="20"/>
          <w:szCs w:val="20"/>
          <w:color w:val="auto"/>
        </w:rPr>
      </w:pPr>
      <w:r>
        <w:rPr>
          <w:rFonts w:ascii="Arial" w:cs="Arial" w:eastAsia="Arial" w:hAnsi="Arial"/>
          <w:sz w:val="16"/>
          <w:szCs w:val="16"/>
          <w:i w:val="1"/>
          <w:iCs w:val="1"/>
          <w:color w:val="auto"/>
        </w:rPr>
        <w:t>matter in our audit</w:t>
      </w:r>
      <w:r>
        <w:rPr>
          <w:sz w:val="20"/>
          <w:szCs w:val="20"/>
          <w:color w:val="auto"/>
        </w:rPr>
        <w:tab/>
      </w:r>
      <w:r>
        <w:rPr>
          <w:rFonts w:ascii="Arial" w:cs="Arial" w:eastAsia="Arial" w:hAnsi="Arial"/>
          <w:sz w:val="16"/>
          <w:szCs w:val="16"/>
          <w:color w:val="auto"/>
        </w:rPr>
        <w:t>Company’s process used in accounting for accrued and prepaid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To test the accrued and prepaid research and development expenses, our audit procedures included, among others,</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testing the accuracy and completeness of the underlying data used by management to estimate the accrual or prepaid</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balance. To corroborate management’s estimates, we inspected a sample of contracts with third parties, discussed and</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obtained information regarding the progress of clinical trials from the Company’s research and development personnel</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that oversee the clinical trials, and inspected a sample of data obtained from the third parties. We confirmed information</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directly with a sample of the third parties, such as the services provided and costs incurred, and the number of sites in</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the clinical trials. We also inspected subsequent invoices received from the third parties and cash disbursements made to</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these parties, to the extent such invoices were received, or payments were made prior to the date that the consolidated</w:t>
            </w:r>
          </w:p>
        </w:tc>
      </w:tr>
      <w:tr>
        <w:trPr>
          <w:trHeight w:val="195"/>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financial statements were issued.</w:t>
            </w:r>
          </w:p>
        </w:tc>
      </w:tr>
      <w:tr>
        <w:trPr>
          <w:trHeight w:val="418"/>
        </w:trPr>
        <w:tc>
          <w:tcPr>
            <w:tcW w:w="1540" w:type="dxa"/>
            <w:vAlign w:val="bottom"/>
          </w:tcPr>
          <w:p>
            <w:pPr>
              <w:spacing w:after="0"/>
              <w:rPr>
                <w:sz w:val="24"/>
                <w:szCs w:val="24"/>
                <w:color w:val="auto"/>
              </w:rPr>
            </w:pPr>
          </w:p>
        </w:tc>
        <w:tc>
          <w:tcPr>
            <w:tcW w:w="9700" w:type="dxa"/>
            <w:vAlign w:val="bottom"/>
          </w:tcPr>
          <w:p>
            <w:pPr>
              <w:ind w:left="180"/>
              <w:spacing w:after="0"/>
              <w:rPr>
                <w:sz w:val="20"/>
                <w:szCs w:val="20"/>
                <w:color w:val="auto"/>
              </w:rPr>
            </w:pPr>
            <w:r>
              <w:rPr>
                <w:rFonts w:ascii="Arial" w:cs="Arial" w:eastAsia="Arial" w:hAnsi="Arial"/>
                <w:sz w:val="16"/>
                <w:szCs w:val="16"/>
                <w:b w:val="1"/>
                <w:bCs w:val="1"/>
                <w:color w:val="auto"/>
              </w:rPr>
              <w:t>Determining Standalone Selling Prices for the Roche Agreement</w:t>
            </w:r>
          </w:p>
        </w:tc>
      </w:tr>
      <w:tr>
        <w:trPr>
          <w:trHeight w:val="289"/>
        </w:trPr>
        <w:tc>
          <w:tcPr>
            <w:tcW w:w="1540" w:type="dxa"/>
            <w:vAlign w:val="bottom"/>
          </w:tcPr>
          <w:p>
            <w:pPr>
              <w:ind w:left="120"/>
              <w:spacing w:after="0"/>
              <w:rPr>
                <w:sz w:val="20"/>
                <w:szCs w:val="20"/>
                <w:color w:val="auto"/>
              </w:rPr>
            </w:pPr>
            <w:r>
              <w:rPr>
                <w:rFonts w:ascii="Arial" w:cs="Arial" w:eastAsia="Arial" w:hAnsi="Arial"/>
                <w:sz w:val="16"/>
                <w:szCs w:val="16"/>
                <w:i w:val="1"/>
                <w:iCs w:val="1"/>
                <w:color w:val="auto"/>
              </w:rPr>
              <w:t>Description of the</w:t>
            </w:r>
          </w:p>
        </w:tc>
        <w:tc>
          <w:tcPr>
            <w:tcW w:w="9700" w:type="dxa"/>
            <w:vAlign w:val="bottom"/>
          </w:tcPr>
          <w:p>
            <w:pPr>
              <w:ind w:left="440"/>
              <w:spacing w:after="0"/>
              <w:rPr>
                <w:sz w:val="20"/>
                <w:szCs w:val="20"/>
                <w:color w:val="auto"/>
              </w:rPr>
            </w:pPr>
            <w:r>
              <w:rPr>
                <w:rFonts w:ascii="Arial" w:cs="Arial" w:eastAsia="Arial" w:hAnsi="Arial"/>
                <w:sz w:val="16"/>
                <w:szCs w:val="16"/>
                <w:color w:val="auto"/>
              </w:rPr>
              <w:t>As described in Note 12 to the consolidated financial statements, the Company entered into a collaboration and license</w:t>
            </w:r>
          </w:p>
        </w:tc>
      </w:tr>
      <w:tr>
        <w:trPr>
          <w:trHeight w:val="205"/>
        </w:trPr>
        <w:tc>
          <w:tcPr>
            <w:tcW w:w="1540" w:type="dxa"/>
            <w:vAlign w:val="bottom"/>
          </w:tcPr>
          <w:p>
            <w:pPr>
              <w:ind w:left="120"/>
              <w:spacing w:after="0"/>
              <w:rPr>
                <w:sz w:val="20"/>
                <w:szCs w:val="20"/>
                <w:color w:val="auto"/>
              </w:rPr>
            </w:pPr>
            <w:r>
              <w:rPr>
                <w:rFonts w:ascii="Arial" w:cs="Arial" w:eastAsia="Arial" w:hAnsi="Arial"/>
                <w:sz w:val="16"/>
                <w:szCs w:val="16"/>
                <w:i w:val="1"/>
                <w:iCs w:val="1"/>
                <w:color w:val="auto"/>
              </w:rPr>
              <w:t>matter</w:t>
            </w:r>
          </w:p>
        </w:tc>
        <w:tc>
          <w:tcPr>
            <w:tcW w:w="9700" w:type="dxa"/>
            <w:vAlign w:val="bottom"/>
          </w:tcPr>
          <w:p>
            <w:pPr>
              <w:ind w:left="440"/>
              <w:spacing w:after="0"/>
              <w:rPr>
                <w:sz w:val="20"/>
                <w:szCs w:val="20"/>
                <w:color w:val="auto"/>
              </w:rPr>
            </w:pPr>
            <w:r>
              <w:rPr>
                <w:rFonts w:ascii="Arial" w:cs="Arial" w:eastAsia="Arial" w:hAnsi="Arial"/>
                <w:sz w:val="16"/>
                <w:szCs w:val="16"/>
                <w:color w:val="auto"/>
              </w:rPr>
              <w:t>agreement (the “Roche Agreement”) with Hoffmann-La Roche Inc. and F. Hoffmann-La Roche Ltd (collectively, “Roche”).</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The Company accounted for the Roche Agreement under ASC 606, Revenue from Contracts with Customers and</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identified several performance obligations, being (i) the combination of the exclusive perpetual license to the licensed</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products and the non-exclusive license to certain companion diagnostics (the “License”), (ii) the research and</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development activities related to the completion of the continuing trials (the “Continuing Trials”), as well as (iii) the</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transfer of clinical trial materials on hand. The transaction price of $134.6 million was allocated to each performance</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obligation based on their relative standalone selling prices, which included $105.3 million being allocated to the License</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and recognized at a point in time upon the transfer of the License to Roche, and $26.6 million allocated to the Continuing</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Trials which will be deferred and recognized over the period of time to complete the Continuing Trials. The standalone</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selling price of the License was determined by applying a probability adjusted discounted cashflow model which</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forecasts future cash flows related to the License. The standalone selling price of the Continuing Trials was based on</w:t>
            </w:r>
          </w:p>
        </w:tc>
      </w:tr>
      <w:tr>
        <w:trPr>
          <w:trHeight w:val="195"/>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internal estimates of the costs to perform the services, inclusive of a reasonable profit margin.</w:t>
            </w:r>
          </w:p>
        </w:tc>
      </w:tr>
      <w:tr>
        <w:trPr>
          <w:trHeight w:val="399"/>
        </w:trPr>
        <w:tc>
          <w:tcPr>
            <w:tcW w:w="1540" w:type="dxa"/>
            <w:vAlign w:val="bottom"/>
          </w:tcPr>
          <w:p>
            <w:pPr>
              <w:spacing w:after="0"/>
              <w:rPr>
                <w:sz w:val="24"/>
                <w:szCs w:val="24"/>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Auditing management’s estimates of standalone selling prices for the performance obligations related to the License and</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the Continuing Trials was challenging as certain assumptions used by management required significant judgment and</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estimation. These assumptions include the probability of success and the discount rate for the License and the cost per</w:t>
            </w:r>
          </w:p>
        </w:tc>
      </w:tr>
      <w:tr>
        <w:trPr>
          <w:trHeight w:val="189"/>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patient for the Continuing Trials. Changes to these assumptions can have a material effect on the allocation of the</w:t>
            </w:r>
          </w:p>
        </w:tc>
      </w:tr>
      <w:tr>
        <w:trPr>
          <w:trHeight w:val="195"/>
        </w:trPr>
        <w:tc>
          <w:tcPr>
            <w:tcW w:w="1540" w:type="dxa"/>
            <w:vAlign w:val="bottom"/>
          </w:tcPr>
          <w:p>
            <w:pPr>
              <w:spacing w:after="0"/>
              <w:rPr>
                <w:sz w:val="16"/>
                <w:szCs w:val="16"/>
                <w:color w:val="auto"/>
              </w:rPr>
            </w:pPr>
          </w:p>
        </w:tc>
        <w:tc>
          <w:tcPr>
            <w:tcW w:w="9700" w:type="dxa"/>
            <w:vAlign w:val="bottom"/>
          </w:tcPr>
          <w:p>
            <w:pPr>
              <w:ind w:left="440"/>
              <w:spacing w:after="0"/>
              <w:rPr>
                <w:sz w:val="20"/>
                <w:szCs w:val="20"/>
                <w:color w:val="auto"/>
              </w:rPr>
            </w:pPr>
            <w:r>
              <w:rPr>
                <w:rFonts w:ascii="Arial" w:cs="Arial" w:eastAsia="Arial" w:hAnsi="Arial"/>
                <w:sz w:val="16"/>
                <w:szCs w:val="16"/>
                <w:color w:val="auto"/>
              </w:rPr>
              <w:t>transaction price to the performance obligations as well as the amount and timing of revenue recognized.</w:t>
            </w:r>
          </w:p>
        </w:tc>
      </w:tr>
      <w:tr>
        <w:trPr>
          <w:trHeight w:val="438"/>
        </w:trPr>
        <w:tc>
          <w:tcPr>
            <w:tcW w:w="1540" w:type="dxa"/>
            <w:vAlign w:val="bottom"/>
          </w:tcPr>
          <w:p>
            <w:pPr>
              <w:spacing w:after="0"/>
              <w:rPr>
                <w:sz w:val="24"/>
                <w:szCs w:val="24"/>
                <w:color w:val="auto"/>
              </w:rPr>
            </w:pPr>
          </w:p>
        </w:tc>
        <w:tc>
          <w:tcPr>
            <w:tcW w:w="9700" w:type="dxa"/>
            <w:vAlign w:val="bottom"/>
          </w:tcPr>
          <w:p>
            <w:pPr>
              <w:ind w:left="3940"/>
              <w:spacing w:after="0"/>
              <w:rPr>
                <w:sz w:val="20"/>
                <w:szCs w:val="20"/>
                <w:color w:val="auto"/>
              </w:rPr>
            </w:pPr>
            <w:r>
              <w:rPr>
                <w:rFonts w:ascii="Arial" w:cs="Arial" w:eastAsia="Arial" w:hAnsi="Arial"/>
                <w:sz w:val="18"/>
                <w:szCs w:val="18"/>
                <w:color w:val="auto"/>
              </w:rPr>
              <w:t>127</w:t>
            </w:r>
          </w:p>
        </w:tc>
      </w:tr>
      <w:tr>
        <w:trPr>
          <w:trHeight w:val="115"/>
        </w:trPr>
        <w:tc>
          <w:tcPr>
            <w:tcW w:w="1540" w:type="dxa"/>
            <w:vAlign w:val="bottom"/>
            <w:tcBorders>
              <w:bottom w:val="single" w:sz="8" w:color="9A9A9A"/>
            </w:tcBorders>
          </w:tcPr>
          <w:p>
            <w:pPr>
              <w:spacing w:after="0"/>
              <w:rPr>
                <w:sz w:val="10"/>
                <w:szCs w:val="10"/>
                <w:color w:val="auto"/>
              </w:rPr>
            </w:pPr>
          </w:p>
        </w:tc>
        <w:tc>
          <w:tcPr>
            <w:tcW w:w="9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129" w:name="page130"/>
    <w:bookmarkEnd w:id="129"/>
    <w:p>
      <w:pPr>
        <w:ind w:left="120"/>
        <w:spacing w:after="0"/>
        <w:tabs>
          <w:tab w:leader="none" w:pos="1960" w:val="left"/>
        </w:tabs>
        <w:rPr>
          <w:sz w:val="20"/>
          <w:szCs w:val="20"/>
          <w:color w:val="auto"/>
        </w:rPr>
      </w:pPr>
      <w:r>
        <w:rPr>
          <w:rFonts w:ascii="Arial" w:cs="Arial" w:eastAsia="Arial" w:hAnsi="Arial"/>
          <w:sz w:val="16"/>
          <w:szCs w:val="16"/>
          <w:i w:val="1"/>
          <w:iCs w:val="1"/>
          <w:color w:val="auto"/>
        </w:rPr>
        <w:t>How we addressed the</w:t>
      </w:r>
      <w:r>
        <w:rPr>
          <w:sz w:val="20"/>
          <w:szCs w:val="20"/>
          <w:color w:val="auto"/>
        </w:rPr>
        <w:tab/>
      </w:r>
      <w:r>
        <w:rPr>
          <w:rFonts w:ascii="Arial" w:cs="Arial" w:eastAsia="Arial" w:hAnsi="Arial"/>
          <w:sz w:val="16"/>
          <w:szCs w:val="16"/>
          <w:color w:val="auto"/>
        </w:rPr>
        <w:t>To audit the Company’s estimates of the standalone selling prices for the License and the Continuing Trials as described</w:t>
      </w:r>
    </w:p>
    <w:p>
      <w:pPr>
        <w:spacing w:after="0" w:line="21" w:lineRule="exact"/>
        <w:rPr>
          <w:sz w:val="20"/>
          <w:szCs w:val="20"/>
          <w:color w:val="auto"/>
        </w:rPr>
      </w:pPr>
    </w:p>
    <w:p>
      <w:pPr>
        <w:jc w:val="both"/>
        <w:ind w:left="1980" w:hanging="1875"/>
        <w:spacing w:after="0" w:line="248" w:lineRule="auto"/>
        <w:tabs>
          <w:tab w:leader="none" w:pos="1960" w:val="left"/>
        </w:tabs>
        <w:rPr>
          <w:sz w:val="20"/>
          <w:szCs w:val="20"/>
          <w:color w:val="auto"/>
        </w:rPr>
      </w:pPr>
      <w:r>
        <w:rPr>
          <w:rFonts w:ascii="Arial" w:cs="Arial" w:eastAsia="Arial" w:hAnsi="Arial"/>
          <w:sz w:val="16"/>
          <w:szCs w:val="16"/>
          <w:i w:val="1"/>
          <w:iCs w:val="1"/>
          <w:color w:val="auto"/>
        </w:rPr>
        <w:t>matter in our audit</w:t>
      </w:r>
      <w:r>
        <w:rPr>
          <w:sz w:val="20"/>
          <w:szCs w:val="20"/>
          <w:color w:val="auto"/>
        </w:rPr>
        <w:tab/>
      </w:r>
      <w:r>
        <w:rPr>
          <w:rFonts w:ascii="Arial" w:cs="Arial" w:eastAsia="Arial" w:hAnsi="Arial"/>
          <w:sz w:val="16"/>
          <w:szCs w:val="16"/>
          <w:color w:val="auto"/>
        </w:rPr>
        <w:t>above, we performed audit procedures that included, among others, obtaining and assessing management’s analysis to support their conclusion of the allocation of the transaction price under ASC 606. We involved our valuation professionals to assist in the assessment of the estimation methodology used by management and to assess the discount rate used by management by comparing it to current industry trends using available information from other comparable companies. We compared the probability of success used by the Company in developing the estimate of standalone selling price of the License with external data. We obtained management’s schedules for cost per patient and tested the accuracy and completeness of the underlying data, and compared inputs with approved budgets and with historical data for comparable clinical trials.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Montréal, Canada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71" w:right="89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FF0FC"/>
          </w:tcPr>
          <w:p>
            <w:pPr>
              <w:jc w:val="right"/>
              <w:ind w:right="7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159,521</w:t>
            </w:r>
          </w:p>
        </w:tc>
        <w:tc>
          <w:tcPr>
            <w:tcW w:w="72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334,427</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184,420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7,439</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tax credits receivable</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1,280</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2,580</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Collaboration revenue receivable</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1,525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receivables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1,518</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654</w:t>
            </w:r>
          </w:p>
        </w:tc>
      </w:tr>
      <w:tr>
        <w:trPr>
          <w:trHeight w:val="223"/>
        </w:trPr>
        <w:tc>
          <w:tcPr>
            <w:tcW w:w="7700" w:type="dxa"/>
            <w:vAlign w:val="bottom"/>
          </w:tcPr>
          <w:p>
            <w:pPr>
              <w:ind w:left="200"/>
              <w:spacing w:after="0"/>
              <w:rPr>
                <w:sz w:val="20"/>
                <w:szCs w:val="20"/>
                <w:color w:val="auto"/>
              </w:rPr>
            </w:pPr>
            <w:r>
              <w:rPr>
                <w:rFonts w:ascii="Arial" w:cs="Arial" w:eastAsia="Arial" w:hAnsi="Arial"/>
                <w:sz w:val="16"/>
                <w:szCs w:val="16"/>
                <w:color w:val="auto"/>
              </w:rPr>
              <w:t>Prepaid expenses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5,715</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6,314</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353,979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351,414</w:t>
            </w: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4,228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5,604</w:t>
            </w: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5,371</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7,491</w:t>
            </w: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586</w:t>
            </w:r>
          </w:p>
        </w:tc>
      </w:tr>
      <w:tr>
        <w:trPr>
          <w:trHeight w:val="23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3,620</w:t>
            </w:r>
          </w:p>
        </w:tc>
      </w:tr>
      <w:tr>
        <w:trPr>
          <w:trHeight w:val="223"/>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364,075</w:t>
            </w:r>
          </w:p>
        </w:tc>
        <w:tc>
          <w:tcPr>
            <w:tcW w:w="7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368,715</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FF0FC"/>
          </w:tcPr>
          <w:p>
            <w:pPr>
              <w:jc w:val="right"/>
              <w:ind w:right="7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w:t>
            </w:r>
          </w:p>
        </w:tc>
        <w:tc>
          <w:tcPr>
            <w:tcW w:w="72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2,302</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21,645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18,622</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 current portion</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2,171</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1,721</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Deferred revenue, current portion</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53,102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11,921</w:t>
            </w:r>
          </w:p>
        </w:tc>
      </w:tr>
      <w:tr>
        <w:trPr>
          <w:trHeight w:val="23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 payable</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1,240</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523</w:t>
            </w: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78,619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35,089</w:t>
            </w: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3,257</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5,592</w:t>
            </w:r>
          </w:p>
        </w:tc>
      </w:tr>
      <w:tr>
        <w:trPr>
          <w:trHeight w:val="223"/>
        </w:trPr>
        <w:tc>
          <w:tcPr>
            <w:tcW w:w="770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2,682</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39,613</w:t>
            </w:r>
          </w:p>
        </w:tc>
      </w:tr>
      <w:tr>
        <w:trPr>
          <w:trHeight w:val="22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84,558</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80,294</w:t>
            </w: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06"/>
        </w:trPr>
        <w:tc>
          <w:tcPr>
            <w:tcW w:w="7700" w:type="dxa"/>
            <w:vAlign w:val="bottom"/>
          </w:tcPr>
          <w:p>
            <w:pPr>
              <w:ind w:left="200"/>
              <w:spacing w:after="0"/>
              <w:rPr>
                <w:sz w:val="20"/>
                <w:szCs w:val="20"/>
                <w:color w:val="auto"/>
              </w:rPr>
            </w:pPr>
            <w:r>
              <w:rPr>
                <w:rFonts w:ascii="Arial" w:cs="Arial" w:eastAsia="Arial" w:hAnsi="Arial"/>
                <w:sz w:val="16"/>
                <w:szCs w:val="16"/>
                <w:color w:val="auto"/>
              </w:rPr>
              <w:t>Preferred shares, no par value per share; unlimited shares authorized as</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700" w:type="dxa"/>
            <w:vAlign w:val="bottom"/>
          </w:tcPr>
          <w:p>
            <w:pPr>
              <w:ind w:left="280"/>
              <w:spacing w:after="0"/>
              <w:rPr>
                <w:sz w:val="20"/>
                <w:szCs w:val="20"/>
                <w:color w:val="auto"/>
              </w:rPr>
            </w:pPr>
            <w:r>
              <w:rPr>
                <w:rFonts w:ascii="Arial" w:cs="Arial" w:eastAsia="Arial" w:hAnsi="Arial"/>
                <w:sz w:val="16"/>
                <w:szCs w:val="16"/>
                <w:color w:val="auto"/>
              </w:rPr>
              <w:t>of December 31, 2022 and December 31, 2021, respectively; 0 shares issued</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6"/>
                <w:szCs w:val="16"/>
                <w:color w:val="auto"/>
              </w:rPr>
              <w:t>and outstanding as of December 31, 2022 and December 31, 2021, respectively</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shares, no par value per share; unlimited shares authorized as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of December 31, 2022 and December 31, 2021; 42,036,193 and 41,850,162</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shares issued and outstanding as of December 31, 2022 and December 31, 2021,</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26"/>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respectively</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482,032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480,699</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37,226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17,988</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(428 )</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770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(239,313 )</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(210,266 )</w:t>
            </w:r>
          </w:p>
        </w:tc>
      </w:tr>
      <w:tr>
        <w:trPr>
          <w:trHeight w:val="22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279,517</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288,421</w:t>
            </w:r>
          </w:p>
        </w:tc>
      </w:tr>
      <w:tr>
        <w:trPr>
          <w:trHeight w:val="223"/>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364,075</w:t>
            </w:r>
          </w:p>
        </w:tc>
        <w:tc>
          <w:tcPr>
            <w:tcW w:w="7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368,715</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-3805555</wp:posOffset>
            </wp:positionV>
            <wp:extent cx="111125"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-2605405</wp:posOffset>
            </wp:positionV>
            <wp:extent cx="111125"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-2005330</wp:posOffset>
            </wp:positionV>
            <wp:extent cx="111125"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-179705</wp:posOffset>
            </wp:positionV>
            <wp:extent cx="11112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180340"/>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7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Collaboration agreements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131,830</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7,600</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Research and development, net of tax credits</w:t>
            </w:r>
          </w:p>
        </w:tc>
        <w:tc>
          <w:tcPr>
            <w:tcW w:w="3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119,066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90,047</w:t>
            </w: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32,560</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26,213</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151,626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116,260</w:t>
            </w: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(19,796 )</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(108,660 )</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Realized and unrealized gain (loss) on foreign exchange</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(144 )</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5,631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259</w:t>
            </w: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(41 )</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5,896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(108,586 )</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(15,147 )</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1,678</w:t>
            </w: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(29,047 )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(106,908 )</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1"/>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loss on available-for-sale marketable securities</w:t>
            </w: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(428 )</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(428 )</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(29,475 )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(106,908 )</w:t>
            </w:r>
          </w:p>
        </w:tc>
      </w:tr>
      <w:tr>
        <w:trPr>
          <w:trHeight w:val="221"/>
        </w:trPr>
        <w:tc>
          <w:tcPr>
            <w:tcW w:w="768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(0.69 )</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(2.83 )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41,922,042</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37,818,115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-2639695</wp:posOffset>
            </wp:positionV>
            <wp:extent cx="11112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-2313940</wp:posOffset>
            </wp:positionV>
            <wp:extent cx="111125"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-1688465</wp:posOffset>
            </wp:positionV>
            <wp:extent cx="11112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-1045210</wp:posOffset>
            </wp:positionV>
            <wp:extent cx="111125"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-710565</wp:posOffset>
            </wp:positionV>
            <wp:extent cx="11112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-385445</wp:posOffset>
            </wp:positionV>
            <wp:extent cx="11112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111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8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Shares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Accumulated Other</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477"/>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Comprehensive</w:t>
            </w:r>
          </w:p>
        </w:tc>
        <w:tc>
          <w:tcPr>
            <w:tcW w:w="160" w:type="dxa"/>
            <w:vAlign w:val="bottom"/>
          </w:tcPr>
          <w:p>
            <w:pPr>
              <w:spacing w:after="0"/>
              <w:rPr>
                <w:sz w:val="13"/>
                <w:szCs w:val="13"/>
                <w:color w:val="auto"/>
              </w:rPr>
            </w:pPr>
          </w:p>
        </w:tc>
        <w:tc>
          <w:tcPr>
            <w:tcW w:w="128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Total Shareholders'</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200" w:type="dxa"/>
            <w:vAlign w:val="bottom"/>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357"/>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w w:val="97"/>
              </w:rPr>
              <w:t>Paid-in Capital</w:t>
            </w:r>
          </w:p>
        </w:tc>
        <w:tc>
          <w:tcPr>
            <w:tcW w:w="14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3"/>
                <w:szCs w:val="13"/>
                <w:color w:val="auto"/>
              </w:rPr>
            </w:pPr>
          </w:p>
        </w:tc>
        <w:tc>
          <w:tcPr>
            <w:tcW w:w="1280" w:type="dxa"/>
            <w:vAlign w:val="bottom"/>
            <w:gridSpan w:val="2"/>
          </w:tcPr>
          <w:p>
            <w:pPr>
              <w:jc w:val="right"/>
              <w:ind w:right="57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36,902,924</w:t>
            </w:r>
          </w:p>
        </w:tc>
        <w:tc>
          <w:tcPr>
            <w:tcW w:w="24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384,313</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5,875</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(103,358</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286,830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60" w:type="dxa"/>
            <w:vAlign w:val="bottom"/>
          </w:tcPr>
          <w:p>
            <w:pPr>
              <w:ind w:left="20"/>
              <w:spacing w:after="0"/>
              <w:rPr>
                <w:sz w:val="20"/>
                <w:szCs w:val="20"/>
                <w:color w:val="auto"/>
              </w:rPr>
            </w:pPr>
            <w:r>
              <w:rPr>
                <w:rFonts w:ascii="Arial" w:cs="Arial" w:eastAsia="Arial" w:hAnsi="Arial"/>
                <w:sz w:val="13"/>
                <w:szCs w:val="13"/>
                <w:color w:val="auto"/>
              </w:rPr>
              <w:t>Exercise of vested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333,996</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97"/>
              <w:spacing w:after="0"/>
              <w:rPr>
                <w:sz w:val="20"/>
                <w:szCs w:val="20"/>
                <w:color w:val="auto"/>
              </w:rPr>
            </w:pPr>
            <w:r>
              <w:rPr>
                <w:rFonts w:ascii="Arial" w:cs="Arial" w:eastAsia="Arial" w:hAnsi="Arial"/>
                <w:sz w:val="13"/>
                <w:szCs w:val="13"/>
                <w:color w:val="auto"/>
              </w:rPr>
              <w:t>(592 )</w:t>
            </w: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shares upon</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follow-on offering, net of</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60" w:type="dxa"/>
            <w:vAlign w:val="bottom"/>
          </w:tcPr>
          <w:p>
            <w:pPr>
              <w:ind w:left="120"/>
              <w:spacing w:after="0"/>
              <w:rPr>
                <w:sz w:val="20"/>
                <w:szCs w:val="20"/>
                <w:color w:val="auto"/>
              </w:rPr>
            </w:pPr>
            <w:r>
              <w:rPr>
                <w:rFonts w:ascii="Arial" w:cs="Arial" w:eastAsia="Arial" w:hAnsi="Arial"/>
                <w:sz w:val="13"/>
                <w:szCs w:val="13"/>
                <w:color w:val="auto"/>
              </w:rPr>
              <w:t>issuance costs of $840</w:t>
            </w:r>
          </w:p>
        </w:tc>
        <w:tc>
          <w:tcPr>
            <w:tcW w:w="1200" w:type="dxa"/>
            <w:vAlign w:val="bottom"/>
          </w:tcPr>
          <w:p>
            <w:pPr>
              <w:jc w:val="right"/>
              <w:spacing w:after="0"/>
              <w:rPr>
                <w:sz w:val="20"/>
                <w:szCs w:val="20"/>
                <w:color w:val="auto"/>
              </w:rPr>
            </w:pPr>
            <w:r>
              <w:rPr>
                <w:rFonts w:ascii="Arial" w:cs="Arial" w:eastAsia="Arial" w:hAnsi="Arial"/>
                <w:sz w:val="13"/>
                <w:szCs w:val="13"/>
                <w:color w:val="auto"/>
              </w:rPr>
              <w:t>4,600,000</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94,288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94,288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shares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3,299</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shares under</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the 2020 Employee Share</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60" w:type="dxa"/>
            <w:vAlign w:val="bottom"/>
          </w:tcPr>
          <w:p>
            <w:pPr>
              <w:ind w:left="120"/>
              <w:spacing w:after="0"/>
              <w:rPr>
                <w:sz w:val="20"/>
                <w:szCs w:val="20"/>
                <w:color w:val="auto"/>
              </w:rPr>
            </w:pPr>
            <w:r>
              <w:rPr>
                <w:rFonts w:ascii="Arial" w:cs="Arial" w:eastAsia="Arial" w:hAnsi="Arial"/>
                <w:sz w:val="13"/>
                <w:szCs w:val="13"/>
                <w:color w:val="auto"/>
              </w:rPr>
              <w:t>Purchase Plan</w:t>
            </w:r>
          </w:p>
        </w:tc>
        <w:tc>
          <w:tcPr>
            <w:tcW w:w="1200" w:type="dxa"/>
            <w:vAlign w:val="bottom"/>
          </w:tcPr>
          <w:p>
            <w:pPr>
              <w:jc w:val="right"/>
              <w:spacing w:after="0"/>
              <w:rPr>
                <w:sz w:val="20"/>
                <w:szCs w:val="20"/>
                <w:color w:val="auto"/>
              </w:rPr>
            </w:pPr>
            <w:r>
              <w:rPr>
                <w:rFonts w:ascii="Arial" w:cs="Arial" w:eastAsia="Arial" w:hAnsi="Arial"/>
                <w:sz w:val="13"/>
                <w:szCs w:val="13"/>
                <w:color w:val="auto"/>
              </w:rPr>
              <w:t>9,943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97"/>
              <w:spacing w:after="0"/>
              <w:rPr>
                <w:sz w:val="20"/>
                <w:szCs w:val="20"/>
                <w:color w:val="auto"/>
              </w:rPr>
            </w:pPr>
            <w:r>
              <w:rPr>
                <w:rFonts w:ascii="Arial" w:cs="Arial" w:eastAsia="Arial" w:hAnsi="Arial"/>
                <w:sz w:val="13"/>
                <w:szCs w:val="13"/>
                <w:color w:val="auto"/>
              </w:rPr>
              <w:t>(124 )</w:t>
            </w: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and comprehensive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(106,908 )</w:t>
            </w: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(106,908 )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2021</w:t>
            </w:r>
          </w:p>
        </w:tc>
        <w:tc>
          <w:tcPr>
            <w:tcW w:w="1200" w:type="dxa"/>
            <w:vAlign w:val="bottom"/>
          </w:tcPr>
          <w:p>
            <w:pPr>
              <w:jc w:val="right"/>
              <w:spacing w:after="0"/>
              <w:rPr>
                <w:sz w:val="20"/>
                <w:szCs w:val="20"/>
                <w:color w:val="auto"/>
              </w:rPr>
            </w:pPr>
            <w:r>
              <w:rPr>
                <w:rFonts w:ascii="Arial" w:cs="Arial" w:eastAsia="Arial" w:hAnsi="Arial"/>
                <w:sz w:val="13"/>
                <w:szCs w:val="13"/>
                <w:color w:val="auto"/>
              </w:rPr>
              <w:t>41,850,162</w:t>
            </w:r>
          </w:p>
        </w:tc>
        <w:tc>
          <w:tcPr>
            <w:tcW w:w="240" w:type="dxa"/>
            <w:vAlign w:val="bottom"/>
          </w:tcPr>
          <w:p>
            <w:pPr>
              <w:spacing w:after="0"/>
              <w:rPr>
                <w:sz w:val="13"/>
                <w:szCs w:val="1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480,699</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17,988</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97"/>
              <w:spacing w:after="0"/>
              <w:rPr>
                <w:sz w:val="20"/>
                <w:szCs w:val="20"/>
                <w:color w:val="auto"/>
              </w:rPr>
            </w:pPr>
            <w:r>
              <w:rPr>
                <w:rFonts w:ascii="Arial" w:cs="Arial" w:eastAsia="Arial" w:hAnsi="Arial"/>
                <w:sz w:val="13"/>
                <w:szCs w:val="13"/>
                <w:color w:val="auto"/>
              </w:rPr>
              <w:t>(210,266 )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288,421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6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Exercise of vested stock options</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148,116</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708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(261</w:t>
            </w:r>
          </w:p>
        </w:tc>
        <w:tc>
          <w:tcPr>
            <w:tcW w:w="220" w:type="dxa"/>
            <w:vAlign w:val="bottom"/>
            <w:shd w:val="clear" w:color="auto" w:fill="CFF0FC"/>
          </w:tcPr>
          <w:p>
            <w:pPr>
              <w:jc w:val="right"/>
              <w:ind w:right="97"/>
              <w:spacing w:after="0" w:line="143"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6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19,691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19,691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common shares under</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the 2020 Employee Share</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Plan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37,915</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(192 )</w:t>
            </w: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(428 )</w:t>
            </w:r>
          </w:p>
        </w:tc>
        <w:tc>
          <w:tcPr>
            <w:tcW w:w="16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(428 )</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(29,047 )</w:t>
            </w: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(29,047 )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2022</w:t>
            </w:r>
          </w:p>
        </w:tc>
        <w:tc>
          <w:tcPr>
            <w:tcW w:w="1200" w:type="dxa"/>
            <w:vAlign w:val="bottom"/>
          </w:tcPr>
          <w:p>
            <w:pPr>
              <w:jc w:val="right"/>
              <w:spacing w:after="0"/>
              <w:rPr>
                <w:sz w:val="20"/>
                <w:szCs w:val="20"/>
                <w:color w:val="auto"/>
              </w:rPr>
            </w:pPr>
            <w:r>
              <w:rPr>
                <w:rFonts w:ascii="Arial" w:cs="Arial" w:eastAsia="Arial" w:hAnsi="Arial"/>
                <w:sz w:val="13"/>
                <w:szCs w:val="13"/>
                <w:color w:val="auto"/>
              </w:rPr>
              <w:t>42,036,193</w:t>
            </w:r>
          </w:p>
        </w:tc>
        <w:tc>
          <w:tcPr>
            <w:tcW w:w="240" w:type="dxa"/>
            <w:vAlign w:val="bottom"/>
          </w:tcPr>
          <w:p>
            <w:pPr>
              <w:spacing w:after="0"/>
              <w:rPr>
                <w:sz w:val="13"/>
                <w:szCs w:val="1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482,032</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37,226</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(428 )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97"/>
              <w:spacing w:after="0"/>
              <w:rPr>
                <w:sz w:val="20"/>
                <w:szCs w:val="20"/>
                <w:color w:val="auto"/>
              </w:rPr>
            </w:pPr>
            <w:r>
              <w:rPr>
                <w:rFonts w:ascii="Arial" w:cs="Arial" w:eastAsia="Arial" w:hAnsi="Arial"/>
                <w:sz w:val="13"/>
                <w:szCs w:val="13"/>
                <w:color w:val="auto"/>
              </w:rPr>
              <w:t>(239,313 )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279,517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-959485</wp:posOffset>
            </wp:positionV>
            <wp:extent cx="7683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-959485</wp:posOffset>
            </wp:positionV>
            <wp:extent cx="6858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-959485</wp:posOffset>
            </wp:positionV>
            <wp:extent cx="6858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-959485</wp:posOffset>
            </wp:positionV>
            <wp:extent cx="6858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-959485</wp:posOffset>
            </wp:positionV>
            <wp:extent cx="6858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-136525</wp:posOffset>
            </wp:positionV>
            <wp:extent cx="76835"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-136525</wp:posOffset>
            </wp:positionV>
            <wp:extent cx="6858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-136525</wp:posOffset>
            </wp:positionV>
            <wp:extent cx="6858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-136525</wp:posOffset>
            </wp:positionV>
            <wp:extent cx="6858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-136525</wp:posOffset>
            </wp:positionV>
            <wp:extent cx="6858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U.S. dollars)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Year Ended December 31,</w:t>
            </w:r>
          </w:p>
        </w:tc>
        <w:tc>
          <w:tcPr>
            <w:tcW w:w="1060" w:type="dxa"/>
            <w:vAlign w:val="bottom"/>
            <w:vMerge w:val="restart"/>
          </w:tcPr>
          <w:p>
            <w:pPr>
              <w:jc w:val="right"/>
              <w:ind w:right="68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6"/>
        </w:trPr>
        <w:tc>
          <w:tcPr>
            <w:tcW w:w="77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Net loss for the year</w:t>
            </w: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(29,047 )</w:t>
            </w:r>
          </w:p>
        </w:tc>
        <w:tc>
          <w:tcPr>
            <w:tcW w:w="780" w:type="dxa"/>
            <w:vAlign w:val="bottom"/>
            <w:gridSpan w:val="2"/>
          </w:tcPr>
          <w:p>
            <w:pPr>
              <w:jc w:val="right"/>
              <w:ind w:right="464"/>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(106,908 )</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Share-based compensation expense</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19,691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12,829</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Depreciation expense</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1,978</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1,471</w:t>
            </w:r>
          </w:p>
        </w:tc>
        <w:tc>
          <w:tcPr>
            <w:tcW w:w="0" w:type="dxa"/>
            <w:vAlign w:val="bottom"/>
          </w:tcPr>
          <w:p>
            <w:pPr>
              <w:spacing w:after="0"/>
              <w:rPr>
                <w:sz w:val="1"/>
                <w:szCs w:val="1"/>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Non-cash lease expense</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2,206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1,873</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Loss on disposal of property and equipment</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Foreign exchange loss (gain)</w:t>
            </w:r>
          </w:p>
        </w:tc>
        <w:tc>
          <w:tcPr>
            <w:tcW w:w="9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(298 )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(accretion)/amortization of marketable securities</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(2,233 )</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Deferred tax asset</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3,620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(2,208 )</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Changes in operating assets and liabilities:</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380"/>
              <w:spacing w:after="0"/>
              <w:rPr>
                <w:sz w:val="20"/>
                <w:szCs w:val="20"/>
                <w:color w:val="auto"/>
              </w:rPr>
            </w:pPr>
            <w:r>
              <w:rPr>
                <w:rFonts w:ascii="Arial" w:cs="Arial" w:eastAsia="Arial" w:hAnsi="Arial"/>
                <w:sz w:val="15"/>
                <w:szCs w:val="15"/>
                <w:color w:val="auto"/>
              </w:rPr>
              <w:t>Prepaid expenses</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593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Research and development tax credits receivable</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1,287</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(556 )</w:t>
            </w:r>
          </w:p>
        </w:tc>
        <w:tc>
          <w:tcPr>
            <w:tcW w:w="0" w:type="dxa"/>
            <w:vAlign w:val="bottom"/>
          </w:tcPr>
          <w:p>
            <w:pPr>
              <w:spacing w:after="0"/>
              <w:rPr>
                <w:sz w:val="1"/>
                <w:szCs w:val="1"/>
                <w:color w:val="auto"/>
              </w:rPr>
            </w:pPr>
          </w:p>
        </w:tc>
      </w:tr>
      <w:tr>
        <w:trPr>
          <w:trHeight w:val="189"/>
        </w:trPr>
        <w:tc>
          <w:tcPr>
            <w:tcW w:w="7700" w:type="dxa"/>
            <w:vAlign w:val="bottom"/>
          </w:tcPr>
          <w:p>
            <w:pPr>
              <w:ind w:left="380"/>
              <w:spacing w:after="0"/>
              <w:rPr>
                <w:sz w:val="20"/>
                <w:szCs w:val="20"/>
                <w:color w:val="auto"/>
              </w:rPr>
            </w:pPr>
            <w:r>
              <w:rPr>
                <w:rFonts w:ascii="Arial" w:cs="Arial" w:eastAsia="Arial" w:hAnsi="Arial"/>
                <w:sz w:val="15"/>
                <w:szCs w:val="15"/>
                <w:color w:val="auto"/>
              </w:rPr>
              <w:t>Collaboration revenue receivable</w:t>
            </w:r>
          </w:p>
        </w:tc>
        <w:tc>
          <w:tcPr>
            <w:tcW w:w="9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(1,525 )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Other receivables</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(1,147 )</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3,554</w:t>
            </w:r>
          </w:p>
        </w:tc>
        <w:tc>
          <w:tcPr>
            <w:tcW w:w="0" w:type="dxa"/>
            <w:vAlign w:val="bottom"/>
          </w:tcPr>
          <w:p>
            <w:pPr>
              <w:spacing w:after="0"/>
              <w:rPr>
                <w:sz w:val="1"/>
                <w:szCs w:val="1"/>
                <w:color w:val="auto"/>
              </w:rPr>
            </w:pPr>
          </w:p>
        </w:tc>
      </w:tr>
      <w:tr>
        <w:trPr>
          <w:trHeight w:val="189"/>
        </w:trPr>
        <w:tc>
          <w:tcPr>
            <w:tcW w:w="7700" w:type="dxa"/>
            <w:vAlign w:val="bottom"/>
          </w:tcPr>
          <w:p>
            <w:pPr>
              <w:ind w:left="380"/>
              <w:spacing w:after="0"/>
              <w:rPr>
                <w:sz w:val="20"/>
                <w:szCs w:val="20"/>
                <w:color w:val="auto"/>
              </w:rPr>
            </w:pPr>
            <w:r>
              <w:rPr>
                <w:rFonts w:ascii="Arial" w:cs="Arial" w:eastAsia="Arial" w:hAnsi="Arial"/>
                <w:sz w:val="15"/>
                <w:szCs w:val="15"/>
                <w:color w:val="auto"/>
              </w:rPr>
              <w:t>Other non-current assets</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89</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(298 )</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(1,348 )</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89"/>
        </w:trPr>
        <w:tc>
          <w:tcPr>
            <w:tcW w:w="7700" w:type="dxa"/>
            <w:vAlign w:val="bottom"/>
          </w:tcPr>
          <w:p>
            <w:pPr>
              <w:ind w:left="380"/>
              <w:spacing w:after="0"/>
              <w:rPr>
                <w:sz w:val="20"/>
                <w:szCs w:val="20"/>
                <w:color w:val="auto"/>
              </w:rPr>
            </w:pPr>
            <w:r>
              <w:rPr>
                <w:rFonts w:ascii="Arial" w:cs="Arial" w:eastAsia="Arial" w:hAnsi="Arial"/>
                <w:sz w:val="15"/>
                <w:szCs w:val="15"/>
                <w:color w:val="auto"/>
              </w:rPr>
              <w:t>Accrued expenses and other current liabilities</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3,020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11,166</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liabilities, current portion</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615</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9"/>
        </w:trPr>
        <w:tc>
          <w:tcPr>
            <w:tcW w:w="7700" w:type="dxa"/>
            <w:vAlign w:val="bottom"/>
          </w:tcPr>
          <w:p>
            <w:pPr>
              <w:ind w:left="380"/>
              <w:spacing w:after="0"/>
              <w:rPr>
                <w:sz w:val="20"/>
                <w:szCs w:val="20"/>
                <w:color w:val="auto"/>
              </w:rPr>
            </w:pPr>
            <w:r>
              <w:rPr>
                <w:rFonts w:ascii="Arial" w:cs="Arial" w:eastAsia="Arial" w:hAnsi="Arial"/>
                <w:sz w:val="15"/>
                <w:szCs w:val="15"/>
                <w:color w:val="auto"/>
              </w:rPr>
              <w:t>Income tax payable</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717</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liabilities, net of current portion</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(2,146 )</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(1,118 )</w:t>
            </w:r>
          </w:p>
        </w:tc>
        <w:tc>
          <w:tcPr>
            <w:tcW w:w="0" w:type="dxa"/>
            <w:vAlign w:val="bottom"/>
          </w:tcPr>
          <w:p>
            <w:pPr>
              <w:spacing w:after="0"/>
              <w:rPr>
                <w:sz w:val="1"/>
                <w:szCs w:val="1"/>
                <w:color w:val="auto"/>
              </w:rPr>
            </w:pPr>
          </w:p>
        </w:tc>
      </w:tr>
      <w:tr>
        <w:trPr>
          <w:trHeight w:val="189"/>
        </w:trPr>
        <w:tc>
          <w:tcPr>
            <w:tcW w:w="7700" w:type="dxa"/>
            <w:vAlign w:val="bottom"/>
          </w:tcPr>
          <w:p>
            <w:pPr>
              <w:ind w:left="380"/>
              <w:spacing w:after="0"/>
              <w:rPr>
                <w:sz w:val="20"/>
                <w:szCs w:val="20"/>
                <w:color w:val="auto"/>
              </w:rPr>
            </w:pPr>
            <w:r>
              <w:rPr>
                <w:rFonts w:ascii="Arial" w:cs="Arial" w:eastAsia="Arial" w:hAnsi="Arial"/>
                <w:sz w:val="15"/>
                <w:szCs w:val="15"/>
                <w:color w:val="auto"/>
              </w:rPr>
              <w:t>Deferred revenue</w:t>
            </w: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4,250</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(6,473 )</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9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322</w:t>
            </w: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(85,796 )</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 of property and equipment</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(602 )</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(1,690 )</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Proceeds on disposal of property and equipment</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maturities of marketable securities</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81,400</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7,450</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Purchase of marketable securities</w:t>
            </w: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(256,576 )</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(7,476 )</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b w:val="1"/>
                <w:bCs w:val="1"/>
                <w:color w:val="auto"/>
              </w:rPr>
              <w:t>Net cash used in investing activities</w:t>
            </w:r>
          </w:p>
        </w:tc>
        <w:tc>
          <w:tcPr>
            <w:tcW w:w="9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6"/>
              </w:rPr>
              <w:t>(175,778 )</w:t>
            </w: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(1,676 )</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exercise of stock options</w:t>
            </w:r>
          </w:p>
        </w:tc>
        <w:tc>
          <w:tcPr>
            <w:tcW w:w="9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447</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986</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Proceeds from issuance of common shares under the 2020 Employee Share Purchase Plan</w:t>
            </w:r>
          </w:p>
        </w:tc>
        <w:tc>
          <w:tcPr>
            <w:tcW w:w="96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433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proceeds from issuance of common shares in follow-on offering</w:t>
            </w:r>
          </w:p>
        </w:tc>
        <w:tc>
          <w:tcPr>
            <w:tcW w:w="9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94,288</w:t>
            </w:r>
          </w:p>
        </w:tc>
        <w:tc>
          <w:tcPr>
            <w:tcW w:w="0" w:type="dxa"/>
            <w:vAlign w:val="bottom"/>
          </w:tcPr>
          <w:p>
            <w:pPr>
              <w:spacing w:after="0"/>
              <w:rPr>
                <w:sz w:val="1"/>
                <w:szCs w:val="1"/>
                <w:color w:val="auto"/>
              </w:rPr>
            </w:pPr>
          </w:p>
        </w:tc>
      </w:tr>
      <w:tr>
        <w:trPr>
          <w:trHeight w:val="183"/>
        </w:trPr>
        <w:tc>
          <w:tcPr>
            <w:tcW w:w="7700" w:type="dxa"/>
            <w:vAlign w:val="bottom"/>
          </w:tcPr>
          <w:p>
            <w:pPr>
              <w:ind w:left="200"/>
              <w:spacing w:after="0"/>
              <w:rPr>
                <w:sz w:val="20"/>
                <w:szCs w:val="20"/>
                <w:color w:val="auto"/>
              </w:rPr>
            </w:pPr>
            <w:r>
              <w:rPr>
                <w:rFonts w:ascii="Arial" w:cs="Arial" w:eastAsia="Arial" w:hAnsi="Arial"/>
                <w:sz w:val="15"/>
                <w:szCs w:val="15"/>
                <w:b w:val="1"/>
                <w:bCs w:val="1"/>
                <w:color w:val="auto"/>
              </w:rPr>
              <w:t>Net cash provided by financing activities</w:t>
            </w: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880</w:t>
            </w: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95,557</w:t>
            </w: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Effect of exchange rate fluctuations on cash held</w:t>
            </w:r>
          </w:p>
        </w:tc>
        <w:tc>
          <w:tcPr>
            <w:tcW w:w="9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(330 )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(54 )</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Net (Decrease) Increase In Cash And Cash Equivalents</w:t>
            </w:r>
          </w:p>
        </w:tc>
        <w:tc>
          <w:tcPr>
            <w:tcW w:w="9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w w:val="96"/>
              </w:rPr>
              <w:t>(174,906 )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8,031</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and cash equivalents cash at beginning of year</w:t>
            </w:r>
          </w:p>
        </w:tc>
        <w:tc>
          <w:tcPr>
            <w:tcW w:w="9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334,427</w:t>
            </w:r>
          </w:p>
        </w:tc>
        <w:tc>
          <w:tcPr>
            <w:tcW w:w="1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326,396</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5"/>
                <w:szCs w:val="15"/>
                <w:color w:val="auto"/>
              </w:rPr>
              <w:t>Cash and cash equivalents at end of year</w:t>
            </w:r>
          </w:p>
        </w:tc>
        <w:tc>
          <w:tcPr>
            <w:tcW w:w="960" w:type="dxa"/>
            <w:vAlign w:val="bottom"/>
          </w:tcPr>
          <w:p>
            <w:pPr>
              <w:jc w:val="right"/>
              <w:ind w:right="78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64"/>
              <w:spacing w:after="0"/>
              <w:rPr>
                <w:sz w:val="20"/>
                <w:szCs w:val="20"/>
                <w:color w:val="auto"/>
              </w:rPr>
            </w:pPr>
            <w:r>
              <w:rPr>
                <w:rFonts w:ascii="Arial" w:cs="Arial" w:eastAsia="Arial" w:hAnsi="Arial"/>
                <w:sz w:val="15"/>
                <w:szCs w:val="15"/>
                <w:b w:val="1"/>
                <w:bCs w:val="1"/>
                <w:color w:val="auto"/>
              </w:rPr>
              <w:t>159,521</w:t>
            </w:r>
          </w:p>
        </w:tc>
        <w:tc>
          <w:tcPr>
            <w:tcW w:w="780" w:type="dxa"/>
            <w:vAlign w:val="bottom"/>
            <w:gridSpan w:val="2"/>
          </w:tcPr>
          <w:p>
            <w:pPr>
              <w:jc w:val="right"/>
              <w:ind w:right="464"/>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334,427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9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Cash interest received</w:t>
            </w: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1,966</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Cash taxes paid, net</w:t>
            </w:r>
          </w:p>
        </w:tc>
        <w:tc>
          <w:tcPr>
            <w:tcW w:w="960" w:type="dxa"/>
            <w:vAlign w:val="bottom"/>
            <w:tcBorders>
              <w:bottom w:val="single" w:sz="8" w:color="auto"/>
            </w:tcBorders>
            <w:shd w:val="clear" w:color="auto" w:fill="CFF0FC"/>
          </w:tcPr>
          <w:p>
            <w:pPr>
              <w:jc w:val="right"/>
              <w:ind w:right="78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10,810</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64"/>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line="169" w:lineRule="exact"/>
              <w:rPr>
                <w:sz w:val="20"/>
                <w:szCs w:val="20"/>
                <w:color w:val="auto"/>
              </w:rPr>
            </w:pPr>
            <w:r>
              <w:rPr>
                <w:rFonts w:ascii="Arial" w:cs="Arial" w:eastAsia="Arial" w:hAnsi="Arial"/>
                <w:sz w:val="15"/>
                <w:szCs w:val="15"/>
                <w:color w:val="auto"/>
              </w:rPr>
              <w:t>Property and equipment purchases incurred but not yet paid</w:t>
            </w:r>
          </w:p>
        </w:tc>
        <w:tc>
          <w:tcPr>
            <w:tcW w:w="960" w:type="dxa"/>
            <w:vAlign w:val="bottom"/>
            <w:tcBorders>
              <w:bottom w:val="single" w:sz="8" w:color="auto"/>
            </w:tcBorders>
          </w:tcPr>
          <w:p>
            <w:pPr>
              <w:jc w:val="right"/>
              <w:ind w:right="78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464"/>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1,719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Right-of-use assets obtained in exchange for new operating lease liability</w:t>
            </w:r>
          </w:p>
        </w:tc>
        <w:tc>
          <w:tcPr>
            <w:tcW w:w="960" w:type="dxa"/>
            <w:vAlign w:val="bottom"/>
            <w:tcBorders>
              <w:bottom w:val="single" w:sz="8" w:color="auto"/>
            </w:tcBorders>
            <w:shd w:val="clear" w:color="auto" w:fill="CFF0FC"/>
          </w:tcPr>
          <w:p>
            <w:pPr>
              <w:jc w:val="right"/>
              <w:ind w:right="78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86</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64"/>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4,690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-2579370</wp:posOffset>
            </wp:positionV>
            <wp:extent cx="10287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-1842770</wp:posOffset>
            </wp:positionV>
            <wp:extent cx="10287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-1366520</wp:posOffset>
            </wp:positionV>
            <wp:extent cx="118745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87450" cy="16256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-856615</wp:posOffset>
            </wp:positionV>
            <wp:extent cx="10287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10287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U.S. dollars, except per share data, unless otherwise specified)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on September 6, 2016. On June 23, 2020, immediately prior to the completion of its initial public offering (the “IPO”), the Company was continued as a corporation under the </w:t>
      </w:r>
      <w:r>
        <w:rPr>
          <w:rFonts w:ascii="Arial" w:cs="Arial" w:eastAsia="Arial" w:hAnsi="Arial"/>
          <w:sz w:val="18"/>
          <w:szCs w:val="18"/>
          <w:i w:val="1"/>
          <w:iCs w:val="1"/>
          <w:color w:val="auto"/>
        </w:rPr>
        <w:t>Business Corporations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Act (Québec)</w:t>
      </w:r>
      <w:r>
        <w:rPr>
          <w:rFonts w:ascii="Arial" w:cs="Arial" w:eastAsia="Arial" w:hAnsi="Arial"/>
          <w:sz w:val="18"/>
          <w:szCs w:val="18"/>
          <w:color w:val="auto"/>
        </w:rPr>
        <w: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12, 2020, the Company effected a 1-for-6.062 reverse stock split of the Company’s share capital. Accordingly, all common shares, Series A and B convertible preferred shares, stock options and per share amounts in these consolidated financial statements have been retroactively adjusted to reflect the reverse stock split on a retroactive basis for all periods presented.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23, 2020, the Company completed its IPO of 12,650,000 of its common shares, including the exercise in full by the underwriters of their option to purchase up to 1,650,000 additional common shares, for aggregate gross proceeds of $253.0 million. The Company’s shares began trading on the Nasdaq Global Select Market under the ticker symbol “RPTX” on June 19, 2020. The Company received $232.0 million in net proceeds after deducting underwriting discounts and commissions and other offering expenses payable by the Company. Upon closing of the IPO, all outstanding convertible preferred shares converted into 21,558,393 common shares and the outstanding warrant was automatically exercised into 750,000 common shares.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 completed a follow-on offering of 4,600,000 of its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 payable by the Company.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the Company has incurred operating losses. As of December 31, 2022, the Company had an accumulated deficit of $239.3 million. The Company does not have any products approved for sale and has financed its operations primarily through equity financings and funding from its collaboration and license agreements. Based on its current operating plan, the Company expects that its existing cash and cash equivalents and marketable securities on hand will be sufficient to fund its operating and capital expenditures into 2026.</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that the Company will be able to obtain additional debt or equity financing, or generate product revenue or revenue from collaboration agreements, on a timely basis or at all. The failure of the Company to obtain sufficient funds on acceptable terms when needed could have a material adverse effect on the Company’s business, results of operations and financial condition.</w:t>
      </w:r>
    </w:p>
    <w:p>
      <w:pPr>
        <w:spacing w:after="0" w:line="288" w:lineRule="exact"/>
        <w:rPr>
          <w:sz w:val="20"/>
          <w:szCs w:val="20"/>
          <w:color w:val="auto"/>
        </w:rPr>
      </w:pPr>
    </w:p>
    <w:p>
      <w:pPr>
        <w:ind w:right="7680" w:firstLine="8"/>
        <w:spacing w:after="0" w:line="378" w:lineRule="auto"/>
        <w:tabs>
          <w:tab w:leader="none" w:pos="1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jc w:val="both"/>
        <w:spacing w:after="0" w:line="277" w:lineRule="auto"/>
        <w:rPr>
          <w:sz w:val="20"/>
          <w:szCs w:val="20"/>
          <w:color w:val="auto"/>
        </w:rPr>
      </w:pPr>
      <w:r>
        <w:rPr>
          <w:rFonts w:ascii="Arial" w:cs="Arial" w:eastAsia="Arial" w:hAnsi="Arial"/>
          <w:sz w:val="18"/>
          <w:szCs w:val="18"/>
          <w:color w:val="auto"/>
        </w:rPr>
        <w:t>parent company, using consistent accounting policies. All intra-group transactions, balances, income, and expenses are eliminated in full upon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qualifies as a “smaller reporting company” under the Exchange Act as of December 31, 2022 because the market value of its common shares held by non-affiliates was less than $560 million as of June 30, 2022 and its revenue for the year ended December 31, 2021 was less than $100 million. As a smaller reporting company, the Company may rely on exemptions from certain disclosure requirements that are available to smaller reporting companies. For so long as the Company remains a smaller reporting company, it is permitted and the Company intends to rely on such exemptions from certain disclosure and other requirements that are applicable to other public companies that are not smaller reporting companies.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estimates related to revenue recognition, accrued research and development expenses, share-based compensation, right-of-use assets and lease liabilities and income taxes. The Company bases its estimates on historical experience and other market specific or other relevant assumptions that it believes to be reasonable under the circumstances. Actual results could differ from those estimates. Estimates are periodically reviewed in light of changes in circumstances, facts and experience. Changes in estimates are recorded in the period in which they become known.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marketable debt securities with a remaining maturity of greater than three months when purchased as available-for-sale. Marketable debt securities with a remaining maturity date greater than one year are classified as non-current where the Company has the intent and ability to hold these securities for at least the next 12 months.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marketable securities consist of U.S. treasury bills and U.S. treasury notes with original maturities greater than 90 days. All of the Company’s marketable securities have a contractual maturity of one year or less.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6" w:name="page137"/>
    <w:bookmarkEnd w:id="136"/>
    <w:p>
      <w:pPr>
        <w:jc w:val="both"/>
        <w:spacing w:after="0" w:line="259" w:lineRule="auto"/>
        <w:rPr>
          <w:sz w:val="20"/>
          <w:szCs w:val="20"/>
          <w:color w:val="auto"/>
        </w:rPr>
      </w:pPr>
      <w:r>
        <w:rPr>
          <w:rFonts w:ascii="Arial" w:cs="Arial" w:eastAsia="Arial" w:hAnsi="Arial"/>
          <w:sz w:val="18"/>
          <w:szCs w:val="18"/>
          <w:color w:val="auto"/>
        </w:rPr>
        <w:t>Company considers its investment portfolio of U.S. treasury bills and U.S. treasury notes to be available-for-sale. Accordingly, these investments are recorded at fair value, which is based on observable inputs, other than quoted market prices. Unrealized gains and losses are reported in accumulated other comprehensive items in shareholders’ equity. Amortization and accretion of premiums and discounts are recorded in interest income (expense). Realized gains or losses on debt securities are included in other income (expense).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on the consolidated balance sheet, limited by the amount that the fair value is less than the amortized cost basis. Any impairment that is not related to credit is recognized in other comprehensive loss. Changes in the allowance for credit losses are recorded as a provision for (or reversal of) credit loss expense in other (expense) income, net within the consolidated statement of operations. Losses are charged against the allowance when the Company believes the uncollectibility of an available-for-sale security is confirmed or when either of the criteria regarding intent or requirement to sell is met.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and marketable securities. Our investment portfolio comprises money market funds, U.S. treasury bills and U.S. treasury notes. Our investment policy limits investment instruments to investment-grade securities with the objective to preserve capital and to maintain liquidity until the funds can be used in business operations.</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deposits in accredited financial institutions which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exposure to foreign exchange risk is primarily related to fluctuations between the Canadian dollar and the U.S. dollar. There are balances in Canadian dollars which are subject to foreign currency fluctuations relating to the impact of translating to U.S. dollars for financial statement presentation.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Company had no significant off-balance sheet risk, such as foreign exchange contracts, option contracts or other foreign hedging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includes net loss as well as other changes in shareholders’ equity that result from transactions and economic events other than those with shareholders. Other comprehensive loss consists of unrealized losses on available-for-sale marketable securities. Total comprehensive loss for all periods presented has been disclosed in the consolidated statements of operations and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spacing w:after="0" w:line="277" w:lineRule="auto"/>
        <w:rPr>
          <w:sz w:val="20"/>
          <w:szCs w:val="20"/>
          <w:color w:val="auto"/>
        </w:rPr>
      </w:pPr>
      <w:r>
        <w:rPr>
          <w:rFonts w:ascii="Arial" w:cs="Arial" w:eastAsia="Arial" w:hAnsi="Arial"/>
          <w:sz w:val="18"/>
          <w:szCs w:val="18"/>
          <w:color w:val="auto"/>
        </w:rPr>
        <w:t>disclosed in one of the following three levels of the fair value hierarchy, of which the first two are considered observable and the last is considered unobservable:</w:t>
      </w:r>
    </w:p>
    <w:p>
      <w:pPr>
        <w:spacing w:after="0" w:line="62" w:lineRule="exact"/>
        <w:rPr>
          <w:sz w:val="20"/>
          <w:szCs w:val="20"/>
          <w:color w:val="auto"/>
        </w:rPr>
      </w:pPr>
    </w:p>
    <w:p>
      <w:pPr>
        <w:ind w:left="1000" w:hanging="35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160" w:hanging="517"/>
        <w:spacing w:after="0" w:line="263" w:lineRule="auto"/>
        <w:tabs>
          <w:tab w:leader="none" w:pos="10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1160" w:right="20" w:hanging="517"/>
        <w:spacing w:after="0" w:line="277" w:lineRule="auto"/>
        <w:tabs>
          <w:tab w:leader="none" w:pos="10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the Company’s cash and cash equivalents, collaboration revenue receivable, other receivables, other assets and accounts payable and accrued expenses approximate their carrying values.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marketable securities are carried at fair value, determined according to Level 2 inputs in the fair value hierarchy described above.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6"/>
                <w:szCs w:val="16"/>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Estimated Useful Lives</w:t>
            </w:r>
          </w:p>
        </w:tc>
      </w:tr>
      <w:tr>
        <w:trPr>
          <w:trHeight w:val="23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5 years</w:t>
            </w:r>
          </w:p>
        </w:tc>
      </w:tr>
      <w:tr>
        <w:trPr>
          <w:trHeight w:val="24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shd w:val="clear" w:color="auto" w:fill="CCEEFF"/>
          </w:tcPr>
          <w:p>
            <w:pPr>
              <w:spacing w:after="0"/>
              <w:rPr>
                <w:sz w:val="21"/>
                <w:szCs w:val="21"/>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the shorter of the lease term and the useful life</w:t>
            </w:r>
          </w:p>
        </w:tc>
      </w:tr>
    </w:tbl>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typically only includes an initial lease term in its assessment of a lease arrangement. Options to renew a lease are not included in the Company’s assessment unless there is reasonable certainty that the Company will renew.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9" w:name="page140"/>
    <w:bookmarkEnd w:id="139"/>
    <w:p>
      <w:pPr>
        <w:jc w:val="both"/>
        <w:ind w:right="20"/>
        <w:spacing w:after="0" w:line="277" w:lineRule="auto"/>
        <w:rPr>
          <w:sz w:val="20"/>
          <w:szCs w:val="20"/>
          <w:color w:val="auto"/>
        </w:rPr>
      </w:pPr>
      <w:r>
        <w:rPr>
          <w:rFonts w:ascii="Arial" w:cs="Arial" w:eastAsia="Arial" w:hAnsi="Arial"/>
          <w:sz w:val="18"/>
          <w:szCs w:val="18"/>
          <w:color w:val="auto"/>
        </w:rPr>
        <w:t>license fees, customer option exercise fees, payments for research activities, reimbursement of certain costs, payments based upon the achievement of certain milestones and royalties on any resulting net product sales.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collaborations primarily represent revenue arrangements. For the arrangements or arrangement components that are subject to revenue accounting guidance, 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the Company’s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7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and license agreements generally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the Company to benefit the collaboration partner. For performance obligations that include research and development services, the Company generally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jc w:val="both"/>
        <w:spacing w:after="0" w:line="273" w:lineRule="auto"/>
        <w:rPr>
          <w:sz w:val="20"/>
          <w:szCs w:val="20"/>
          <w:color w:val="auto"/>
        </w:rPr>
      </w:pPr>
      <w:r>
        <w:rPr>
          <w:rFonts w:ascii="Arial" w:cs="Arial" w:eastAsia="Arial" w:hAnsi="Arial"/>
          <w:sz w:val="17"/>
          <w:szCs w:val="17"/>
          <w:color w:val="auto"/>
        </w:rPr>
        <w:t>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a complete discussion of accounting for collaboration revenues, see Note 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 refundable research and development tax credits. 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Accrued and Prepaid Research and Development Expenses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various research and development contracts. The payments to these agreements are recorded as research and development expenses as incurred. The Company records accrued liabilities and prepaid expenses for estimated ongoing research costs. When evaluating the adequacy of the accrued liabilities and prepaid expenses, the Company analyzes progress of the studies, including the phase or completion of events, invoices received and contracted costs. Significant judgements and estimates are made in determining the accrued and prepaid balances at the end of any reporting period.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all share-based awards granted to employees and non-employees as share-based compensation expense at fair value.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measurement date for employee and non-employee awards is the date of grant, and share-based compensation costs are recognized over the employees’ requisite service period, which is the vesting period, on a straight-line basis. Forfeitures are accounted for as they occur.</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fair value of each restricted share unit is estimated on the date of grant based on the fair value of our common share on that same date. The fair value of each stock option grant or purchases under our 2020 Employee Share Purchase Plan (“ESPP”)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was no public market for its common shares prior to its IPO in June 2020, the Company determined the volatility for stock option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blended with the historical volatility of the Company's common shares. The Company expects to continue to do so until such time as it has adequate historical data regarding the volatility of its own traded share price. For purchases under our ESPP, only the historical volatility of the Company's common shares is used when developing an estimate of expected volatility.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For purchases under our ESPP, the expected term is based on the length of the offering period.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Share-based compensation is classified in the accompanying consolidated statements of operations and comprehensive loss based on the function to which the related services are provided. Any consideration paid by employees on exercising stock options or the purchases under our ESPP and the corresponding portion previously credited to additional paid-in capital are credited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2" w:name="page143"/>
    <w:bookmarkEnd w:id="142"/>
    <w:p>
      <w:pPr>
        <w:jc w:val="both"/>
        <w:spacing w:after="0" w:line="259" w:lineRule="auto"/>
        <w:rPr>
          <w:sz w:val="20"/>
          <w:szCs w:val="20"/>
          <w:color w:val="auto"/>
        </w:rPr>
      </w:pPr>
      <w:r>
        <w:rPr>
          <w:rFonts w:ascii="Arial" w:cs="Arial" w:eastAsia="Arial" w:hAnsi="Arial"/>
          <w:sz w:val="18"/>
          <w:szCs w:val="18"/>
          <w:color w:val="auto"/>
        </w:rPr>
        <w:t>securities outstanding during the period determined using the treasury-stock and if-converted methods. For purposes of the diluted net loss per share calculation, shares issuable under the ESPP and options to purchase common shares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Certain amendments thereto were also issued by the FASB. ASU 2016-13 and the related amendments implement an impairment model, known as the current expected credit loss model, that is based on expected losses rather than incurred losses. The Company adopted ASU 2016-13 and the related amendments thereto on January 1, 2022. The adoption of ASU 2016-13 and the related amendments thereto did not have a material impact on the Company’s consolidated financial statements or disclosures as of and for the year ended December 31,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new accounting pronouncements issued which could have a significant effect on the Company's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5"/>
              </w:rPr>
              <w:t>Financial Assets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at December 31, 2022</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237"/>
        </w:trPr>
        <w:tc>
          <w:tcPr>
            <w:tcW w:w="5740" w:type="dxa"/>
            <w:vAlign w:val="bottom"/>
          </w:tcPr>
          <w:p>
            <w:pPr>
              <w:ind w:left="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1"/>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Money market funds included in cash and cash</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44"/>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equivalents</w:t>
            </w:r>
          </w:p>
        </w:tc>
        <w:tc>
          <w:tcPr>
            <w:tcW w:w="4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42,995</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42,995</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9"/>
        </w:trPr>
        <w:tc>
          <w:tcPr>
            <w:tcW w:w="5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58,362</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58,362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U.S. Treasury bills</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126,058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126,058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184,420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184,420</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60"/>
              <w:spacing w:after="0"/>
              <w:rPr>
                <w:sz w:val="20"/>
                <w:szCs w:val="20"/>
                <w:color w:val="auto"/>
              </w:rPr>
            </w:pPr>
            <w:r>
              <w:rPr>
                <w:rFonts w:ascii="Arial" w:cs="Arial" w:eastAsia="Arial" w:hAnsi="Arial"/>
                <w:sz w:val="18"/>
                <w:szCs w:val="18"/>
                <w:color w:val="auto"/>
              </w:rPr>
              <w:t>Total financial assets</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227,415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42,995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184,420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at December 31, 2021</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237"/>
        </w:trPr>
        <w:tc>
          <w:tcPr>
            <w:tcW w:w="5740" w:type="dxa"/>
            <w:vAlign w:val="bottom"/>
          </w:tcPr>
          <w:p>
            <w:pPr>
              <w:ind w:left="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1"/>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Money market funds included in cash and cash</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44"/>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equivalents</w:t>
            </w:r>
          </w:p>
        </w:tc>
        <w:tc>
          <w:tcPr>
            <w:tcW w:w="4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2,535</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2,535</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9"/>
        </w:trPr>
        <w:tc>
          <w:tcPr>
            <w:tcW w:w="57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U.S. Treasury notes</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7,439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7,439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60"/>
              <w:spacing w:after="0"/>
              <w:rPr>
                <w:sz w:val="20"/>
                <w:szCs w:val="20"/>
                <w:color w:val="auto"/>
              </w:rPr>
            </w:pPr>
            <w:r>
              <w:rPr>
                <w:rFonts w:ascii="Arial" w:cs="Arial" w:eastAsia="Arial" w:hAnsi="Arial"/>
                <w:sz w:val="18"/>
                <w:szCs w:val="18"/>
                <w:color w:val="auto"/>
              </w:rPr>
              <w:t>Total financial assets</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9,974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-1353820</wp:posOffset>
            </wp:positionV>
            <wp:extent cx="68580"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-1353820</wp:posOffset>
            </wp:positionV>
            <wp:extent cx="6858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-1353820</wp:posOffset>
            </wp:positionV>
            <wp:extent cx="68580"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When developing fair value estimates, the Company maximizes the use of observable inputs and minimizes the use of unobservable inputs. When available, the Company uses quoted market prices to measure the fair value. In determining the fair values at each date presented above, the Company relied on quoted prices for similar securities in active markets or using other inputs that are observable or can be corroborated by observable market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2022 and 2021, there were no transfers between fair value measure levels.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4. Cash and Cash Equivalents and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cash and cash equivalents and marketable securities were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160" w:type="dxa"/>
            <w:vAlign w:val="bottom"/>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Unrealized Losses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80"/>
        </w:trPr>
        <w:tc>
          <w:tcPr>
            <w:tcW w:w="6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As at December 31, 2022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300" w:type="dxa"/>
            <w:vAlign w:val="bottom"/>
          </w:tcPr>
          <w:p>
            <w:pPr>
              <w:ind w:left="16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116,526</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116,526</w:t>
            </w:r>
          </w:p>
        </w:tc>
        <w:tc>
          <w:tcPr>
            <w:tcW w:w="100" w:type="dxa"/>
            <w:vAlign w:val="bottom"/>
          </w:tcPr>
          <w:p>
            <w:pPr>
              <w:spacing w:after="0"/>
              <w:rPr>
                <w:sz w:val="20"/>
                <w:szCs w:val="20"/>
                <w:color w:val="auto"/>
              </w:rPr>
            </w:pPr>
          </w:p>
        </w:tc>
      </w:tr>
      <w:tr>
        <w:trPr>
          <w:trHeight w:val="249"/>
        </w:trPr>
        <w:tc>
          <w:tcPr>
            <w:tcW w:w="6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42,995</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30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159,521</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159,521</w:t>
            </w:r>
          </w:p>
        </w:tc>
        <w:tc>
          <w:tcPr>
            <w:tcW w:w="10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6300" w:type="dxa"/>
            <w:vAlign w:val="bottom"/>
          </w:tcPr>
          <w:p>
            <w:pPr>
              <w:ind w:left="160"/>
              <w:spacing w:after="0"/>
              <w:rPr>
                <w:sz w:val="20"/>
                <w:szCs w:val="20"/>
                <w:color w:val="auto"/>
              </w:rPr>
            </w:pPr>
            <w:r>
              <w:rPr>
                <w:rFonts w:ascii="Arial" w:cs="Arial" w:eastAsia="Arial" w:hAnsi="Arial"/>
                <w:sz w:val="18"/>
                <w:szCs w:val="18"/>
                <w:color w:val="auto"/>
              </w:rPr>
              <w:t>U.S. Treasury notes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58,641</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(280 ) $</w:t>
            </w:r>
          </w:p>
        </w:tc>
        <w:tc>
          <w:tcPr>
            <w:tcW w:w="900" w:type="dxa"/>
            <w:vAlign w:val="bottom"/>
          </w:tcPr>
          <w:p>
            <w:pPr>
              <w:jc w:val="right"/>
              <w:spacing w:after="0"/>
              <w:rPr>
                <w:sz w:val="20"/>
                <w:szCs w:val="20"/>
                <w:color w:val="auto"/>
              </w:rPr>
            </w:pPr>
            <w:r>
              <w:rPr>
                <w:rFonts w:ascii="Arial" w:cs="Arial" w:eastAsia="Arial" w:hAnsi="Arial"/>
                <w:sz w:val="18"/>
                <w:szCs w:val="18"/>
                <w:color w:val="auto"/>
              </w:rPr>
              <w:t>58,362</w:t>
            </w:r>
          </w:p>
        </w:tc>
        <w:tc>
          <w:tcPr>
            <w:tcW w:w="100" w:type="dxa"/>
            <w:vAlign w:val="bottom"/>
          </w:tcPr>
          <w:p>
            <w:pPr>
              <w:spacing w:after="0"/>
              <w:rPr>
                <w:sz w:val="20"/>
                <w:szCs w:val="20"/>
                <w:color w:val="auto"/>
              </w:rPr>
            </w:pPr>
          </w:p>
        </w:tc>
      </w:tr>
      <w:tr>
        <w:trPr>
          <w:trHeight w:val="249"/>
        </w:trPr>
        <w:tc>
          <w:tcPr>
            <w:tcW w:w="6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U.S. Treasury bills</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126,207</w:t>
            </w: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126,058</w:t>
            </w:r>
          </w:p>
        </w:tc>
        <w:tc>
          <w:tcPr>
            <w:tcW w:w="100" w:type="dxa"/>
            <w:vAlign w:val="bottom"/>
            <w:shd w:val="clear" w:color="auto" w:fill="CFF0FC"/>
          </w:tcPr>
          <w:p>
            <w:pPr>
              <w:spacing w:after="0"/>
              <w:rPr>
                <w:sz w:val="21"/>
                <w:szCs w:val="21"/>
                <w:color w:val="auto"/>
              </w:rPr>
            </w:pPr>
          </w:p>
        </w:tc>
      </w:tr>
      <w:tr>
        <w:trPr>
          <w:trHeight w:val="236"/>
        </w:trPr>
        <w:tc>
          <w:tcPr>
            <w:tcW w:w="6300" w:type="dxa"/>
            <w:vAlign w:val="bottom"/>
          </w:tcPr>
          <w:p>
            <w:pPr>
              <w:ind w:left="6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184,848</w:t>
            </w:r>
          </w:p>
        </w:tc>
        <w:tc>
          <w:tcPr>
            <w:tcW w:w="16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184,420</w:t>
            </w:r>
          </w:p>
        </w:tc>
        <w:tc>
          <w:tcPr>
            <w:tcW w:w="10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at December 31, 2021</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30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331,892</w:t>
            </w:r>
          </w:p>
        </w:tc>
        <w:tc>
          <w:tcPr>
            <w:tcW w:w="5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331,892</w:t>
            </w:r>
          </w:p>
        </w:tc>
        <w:tc>
          <w:tcPr>
            <w:tcW w:w="100" w:type="dxa"/>
            <w:vAlign w:val="bottom"/>
            <w:shd w:val="clear" w:color="auto" w:fill="CFF0FC"/>
          </w:tcPr>
          <w:p>
            <w:pPr>
              <w:spacing w:after="0"/>
              <w:rPr>
                <w:sz w:val="21"/>
                <w:szCs w:val="2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2,535</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r>
      <w:tr>
        <w:trPr>
          <w:trHeight w:val="277"/>
        </w:trPr>
        <w:tc>
          <w:tcPr>
            <w:tcW w:w="63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cash and cash equivalents</w:t>
            </w:r>
          </w:p>
        </w:tc>
        <w:tc>
          <w:tcPr>
            <w:tcW w:w="320" w:type="dxa"/>
            <w:vAlign w:val="bottom"/>
            <w:tcBorders>
              <w:top w:val="single" w:sz="8" w:color="auto"/>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334,427</w:t>
            </w:r>
          </w:p>
        </w:tc>
        <w:tc>
          <w:tcPr>
            <w:tcW w:w="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6300" w:type="dxa"/>
            <w:vAlign w:val="bottom"/>
          </w:tcPr>
          <w:p>
            <w:pPr>
              <w:ind w:left="6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U.S. Treasury notes</w:t>
            </w:r>
          </w:p>
        </w:tc>
        <w:tc>
          <w:tcPr>
            <w:tcW w:w="32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300" w:type="dxa"/>
            <w:vAlign w:val="bottom"/>
          </w:tcPr>
          <w:p>
            <w:pPr>
              <w:ind w:left="60"/>
              <w:spacing w:after="0"/>
              <w:rPr>
                <w:sz w:val="20"/>
                <w:szCs w:val="20"/>
                <w:color w:val="auto"/>
              </w:rPr>
            </w:pPr>
            <w:r>
              <w:rPr>
                <w:rFonts w:ascii="Arial" w:cs="Arial" w:eastAsia="Arial" w:hAnsi="Arial"/>
                <w:sz w:val="18"/>
                <w:szCs w:val="18"/>
                <w:color w:val="auto"/>
              </w:rPr>
              <w:t>Total marketable securities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7,439</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-2254250</wp:posOffset>
            </wp:positionV>
            <wp:extent cx="7747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-2254250</wp:posOffset>
            </wp:positionV>
            <wp:extent cx="685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-2254250</wp:posOffset>
            </wp:positionV>
            <wp:extent cx="685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-2254250</wp:posOffset>
            </wp:positionV>
            <wp:extent cx="6858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-521970</wp:posOffset>
            </wp:positionV>
            <wp:extent cx="2425700"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25700" cy="1797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wp:posOffset>
            </wp:positionV>
            <wp:extent cx="7747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Interest receivable was $0.4 million and nil as of December 31, 2022 and 2021, respectively, and is included in other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held 28 and nil available-for-sale marketable securities with an aggregate fair value of $157.9 million and nil that were in an unrealized loss position as of December 31, 2022 and 2021, respectively. These marketable securities have been in an unrealized loss position for less than twelve months. The unrealized losses as of December 31, 2022 were not attributed to credit risk but were primarily associated with changes in interest rates and market liquidity. The Company does not intend to sell these securities and it is more likely than not that it will hold these investments for a period of time sufficient to recover the amortized cost. As a result, the Company did not record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an allowance for credit losses or other impairment charges for its marketable securities for the year ended December 31,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$0.4 million and nil in net unrealized losses in other comprehensive loss for the years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the Company’s marketable securities as of December 31, 2022 and 2021 are less than one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2022 and 2021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379"/>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gridSpan w:val="4"/>
          </w:tcPr>
          <w:p>
            <w:pPr>
              <w:jc w:val="center"/>
              <w:ind w:right="399"/>
              <w:spacing w:after="0"/>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04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auto"/>
            </w:tcBorders>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6"/>
              </w:rPr>
              <w:t>(5,353 )</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6"/>
              </w:rPr>
              <w:t>(3,375 )</w:t>
            </w:r>
          </w:p>
        </w:tc>
      </w:tr>
      <w:tr>
        <w:trPr>
          <w:trHeight w:val="27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auto"/>
            </w:tcBorders>
            <w:gridSpan w:val="2"/>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auto"/>
            </w:tcBorders>
            <w:shd w:val="clear" w:color="auto" w:fill="CFF0FC"/>
          </w:tcPr>
          <w:p>
            <w:pPr>
              <w:spacing w:after="0"/>
              <w:rPr>
                <w:sz w:val="24"/>
                <w:szCs w:val="24"/>
                <w:color w:val="auto"/>
              </w:rPr>
            </w:pPr>
          </w:p>
        </w:tc>
      </w:tr>
      <w:tr>
        <w:trPr>
          <w:trHeight w:val="419"/>
        </w:trPr>
        <w:tc>
          <w:tcPr>
            <w:tcW w:w="7680" w:type="dxa"/>
            <w:vAlign w:val="bottom"/>
          </w:tcPr>
          <w:p>
            <w:pPr>
              <w:spacing w:after="0"/>
              <w:rPr>
                <w:sz w:val="20"/>
                <w:szCs w:val="20"/>
                <w:color w:val="auto"/>
              </w:rPr>
            </w:pPr>
            <w:r>
              <w:rPr>
                <w:rFonts w:ascii="Arial" w:cs="Arial" w:eastAsia="Arial" w:hAnsi="Arial"/>
                <w:sz w:val="18"/>
                <w:szCs w:val="18"/>
                <w:color w:val="auto"/>
              </w:rPr>
              <w:t>Depreciation expense recognized was allocated as follows: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bottom w:val="single" w:sz="8" w:color="auto"/>
            </w:tcBorders>
            <w:gridSpan w:val="5"/>
          </w:tcPr>
          <w:p>
            <w:pPr>
              <w:jc w:val="center"/>
              <w:ind w:left="482"/>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60" w:type="dxa"/>
            <w:vAlign w:val="bottom"/>
            <w:gridSpan w:val="4"/>
          </w:tcPr>
          <w:p>
            <w:pPr>
              <w:jc w:val="center"/>
              <w:ind w:right="379"/>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-1422400</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-1405255</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December 31, 2022 and 2021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169"/>
        </w:trPr>
        <w:tc>
          <w:tcPr>
            <w:tcW w:w="7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benefits</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5,616</w:t>
            </w:r>
          </w:p>
        </w:tc>
        <w:tc>
          <w:tcPr>
            <w:tcW w:w="6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4,867</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w:t>
            </w:r>
          </w:p>
        </w:tc>
        <w:tc>
          <w:tcPr>
            <w:tcW w:w="100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w w:val="98"/>
              </w:rPr>
              <w:t>15,078</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11,272</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387</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Accrued property and equipment purchases</w:t>
            </w:r>
          </w:p>
        </w:tc>
        <w:tc>
          <w:tcPr>
            <w:tcW w:w="100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1,719</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271</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377</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Total accrued expenses and other current liabilities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5"/>
              <w:spacing w:after="0"/>
              <w:rPr>
                <w:sz w:val="20"/>
                <w:szCs w:val="20"/>
                <w:color w:val="auto"/>
              </w:rPr>
            </w:pPr>
            <w:r>
              <w:rPr>
                <w:rFonts w:ascii="Arial" w:cs="Arial" w:eastAsia="Arial" w:hAnsi="Arial"/>
                <w:sz w:val="18"/>
                <w:szCs w:val="18"/>
                <w:color w:val="auto"/>
                <w:w w:val="98"/>
              </w:rPr>
              <w:t>21,645</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18,622</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-187960</wp:posOffset>
            </wp:positionV>
            <wp:extent cx="111125"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 million in the aggregate upon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6" w:name="page147"/>
    <w:bookmarkEnd w:id="146"/>
    <w:p>
      <w:pPr>
        <w:jc w:val="both"/>
        <w:spacing w:after="0" w:line="263" w:lineRule="auto"/>
        <w:rPr>
          <w:sz w:val="20"/>
          <w:szCs w:val="20"/>
          <w:color w:val="auto"/>
        </w:rPr>
      </w:pPr>
      <w:r>
        <w:rPr>
          <w:rFonts w:ascii="Arial" w:cs="Arial" w:eastAsia="Arial" w:hAnsi="Arial"/>
          <w:sz w:val="18"/>
          <w:szCs w:val="18"/>
          <w:color w:val="auto"/>
        </w:rPr>
        <w:t>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potential future milestone or royalty payment amounts have not been accrued at December 31, 2022 and 2021 due to the uncertainty related to the successful achievement of these milestones.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historically entered into lease arrangements for its facilities and certain equipment. As of December 31, 2022, the Company had four operating leases with required future minimum payments. The Company’s leases generally do not include termination or purchase options.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2017, and as further amended in 2021, the Company entered into a lease agreement for office and laboratory space in Montréal, Québec, for a four-year term, ending in July 2021. In August 2021, the lease was extended through July 2025.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2017, and as further amended throughout 2018, 2019, 2020, 2021 and 2022, the Company entered into a lease agreement for office and laboratory space located in Montréal, Québec, for a three-year term ending in October 2020, which was extended through December 2022. The Company entered into a new lease agreement, effective January 2023, which will result in $0.2 million of minimum lease payments over the thirty-two month lease term.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2021, the Company entered into a lease agreement for office space in Cambridge, Massachusetts, for a three-year term ending in December 2024, which commenced in December 2021. The Company has an option for a three year renewal, which has not been recognized in the Company’s right-of-use asset or lease liability.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2019, and as further amended in July 2021, the Company entered into a lease agreement for office and laboratory space for a five-year term located in Montréal, Québec which commenced in September 2020. The Company has an option for a five year renewal, which has not been recognized in the Company’s right-of-use asset or lease liability. As required under the terms of the lease agreement, the Company incurred prepaid rent of $1.0 million prior to commencement of the lease term, with the current portion previously accounted for within prepaid expenses and other current assets and the long-term portion accounted for within other assets. As well, as required under the terms of the amended lease agreement, the Company incurred prepaid rent of $0.4 million prior to commencement of the lease term which was accounted for within prepaid expenses. As of the commencement of the lease term, this prepaid rent has been reclassified to the right-of-use asset.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contains a summary of the lease costs recognized under ASC 842 and other information pertaining to the Company’s operating leases for the years ended December 31,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4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Lease Cost</w:t>
            </w:r>
          </w:p>
        </w:tc>
        <w:tc>
          <w:tcPr>
            <w:tcW w:w="4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cost</w:t>
            </w:r>
          </w:p>
        </w:tc>
        <w:tc>
          <w:tcPr>
            <w:tcW w:w="514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0"/>
              <w:spacing w:after="0"/>
              <w:rPr>
                <w:sz w:val="20"/>
                <w:szCs w:val="20"/>
                <w:color w:val="auto"/>
              </w:rPr>
            </w:pPr>
            <w:r>
              <w:rPr>
                <w:rFonts w:ascii="Arial" w:cs="Arial" w:eastAsia="Arial" w:hAnsi="Arial"/>
                <w:sz w:val="18"/>
                <w:szCs w:val="18"/>
                <w:color w:val="auto"/>
              </w:rPr>
              <w:t>Short-term lease cost</w:t>
            </w:r>
          </w:p>
        </w:tc>
        <w:tc>
          <w:tcPr>
            <w:tcW w:w="4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Variable lease cost</w:t>
            </w:r>
          </w:p>
        </w:tc>
        <w:tc>
          <w:tcPr>
            <w:tcW w:w="4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0" w:type="dxa"/>
            <w:vAlign w:val="bottom"/>
          </w:tcPr>
          <w:p>
            <w:pPr>
              <w:ind w:left="200"/>
              <w:spacing w:after="0"/>
              <w:rPr>
                <w:sz w:val="20"/>
                <w:szCs w:val="20"/>
                <w:color w:val="auto"/>
              </w:rPr>
            </w:pPr>
            <w:r>
              <w:rPr>
                <w:rFonts w:ascii="Arial" w:cs="Arial" w:eastAsia="Arial" w:hAnsi="Arial"/>
                <w:sz w:val="18"/>
                <w:szCs w:val="18"/>
                <w:color w:val="auto"/>
              </w:rPr>
              <w:t>Total lease cost</w:t>
            </w:r>
          </w:p>
        </w:tc>
        <w:tc>
          <w:tcPr>
            <w:tcW w:w="514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2,767</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100" w:type="dxa"/>
            <w:vAlign w:val="bottom"/>
            <w:vMerge w:val="restart"/>
          </w:tcPr>
          <w:p>
            <w:pPr>
              <w:jc w:val="right"/>
              <w:ind w:right="1850"/>
              <w:spacing w:after="0"/>
              <w:rPr>
                <w:sz w:val="20"/>
                <w:szCs w:val="20"/>
                <w:color w:val="auto"/>
              </w:rPr>
            </w:pPr>
            <w:r>
              <w:rPr>
                <w:rFonts w:ascii="Arial" w:cs="Arial" w:eastAsia="Arial" w:hAnsi="Arial"/>
                <w:sz w:val="18"/>
                <w:szCs w:val="18"/>
                <w:color w:val="auto"/>
              </w:rPr>
              <w:t>145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-676275</wp:posOffset>
            </wp:positionV>
            <wp:extent cx="685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 except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as</w:t>
            </w:r>
          </w:p>
        </w:tc>
        <w:tc>
          <w:tcPr>
            <w:tcW w:w="1200" w:type="dxa"/>
            <w:vAlign w:val="bottom"/>
          </w:tcPr>
          <w:p>
            <w:pPr>
              <w:spacing w:after="0"/>
              <w:rPr>
                <w:sz w:val="20"/>
                <w:szCs w:val="20"/>
                <w:color w:val="auto"/>
              </w:rPr>
            </w:pPr>
            <w:r>
              <w:rPr>
                <w:rFonts w:ascii="Arial" w:cs="Arial" w:eastAsia="Arial" w:hAnsi="Arial"/>
                <w:sz w:val="14"/>
                <w:szCs w:val="14"/>
                <w:b w:val="1"/>
                <w:bCs w:val="1"/>
                <w:color w:val="auto"/>
                <w:w w:val="87"/>
              </w:rPr>
              <w:t>specified otherwise)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Operating Lease Information</w:t>
            </w:r>
          </w:p>
        </w:tc>
        <w:tc>
          <w:tcPr>
            <w:tcW w:w="10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1,948</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1,240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4,690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4.0 %</w:t>
            </w:r>
          </w:p>
        </w:tc>
        <w:tc>
          <w:tcPr>
            <w:tcW w:w="120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Variable lease costs for the years ended December 31, 2022 and 2021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leases as of December 31, 2022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9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r>
      <w:tr>
        <w:trPr>
          <w:trHeight w:val="169"/>
        </w:trPr>
        <w:tc>
          <w:tcPr>
            <w:tcW w:w="9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Maturity of Lease Liabilities</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FF0FC"/>
            </w:tcBorders>
          </w:tcPr>
          <w:p>
            <w:pPr>
              <w:spacing w:after="0"/>
              <w:rPr>
                <w:sz w:val="20"/>
                <w:szCs w:val="20"/>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(266 )</w:t>
            </w: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9480" w:firstLine="8"/>
        <w:spacing w:after="0" w:line="425" w:lineRule="auto"/>
        <w:tabs>
          <w:tab w:leader="none" w:pos="18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Equity Preferred Shares</w:t>
      </w:r>
    </w:p>
    <w:p>
      <w:pPr>
        <w:jc w:val="both"/>
        <w:ind w:right="60"/>
        <w:spacing w:after="0" w:line="259" w:lineRule="auto"/>
        <w:rPr>
          <w:sz w:val="20"/>
          <w:szCs w:val="20"/>
          <w:color w:val="auto"/>
        </w:rPr>
      </w:pPr>
      <w:r>
        <w:rPr>
          <w:rFonts w:ascii="Arial" w:cs="Arial" w:eastAsia="Arial" w:hAnsi="Arial"/>
          <w:sz w:val="18"/>
          <w:szCs w:val="18"/>
          <w:color w:val="auto"/>
        </w:rPr>
        <w:t>Effective upon the closing of the IPO, the Company authorized for issue an unlimited number of preferred shares, issuable in series, having such designations, rights, privileges, restrictions and conditions, including dividend and voting rights as the board of directors of the Company may determine, and such rights and privileges, including dividend and voting rights, may be superior to those of the common shares. No preferred shares were issued and outstanding as of December 31, 2022 and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continuance of the Company authorize an unlimited number of common shares, voting and participating, without par value.</w:t>
      </w:r>
    </w:p>
    <w:p>
      <w:pPr>
        <w:spacing w:after="0" w:line="2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Each common share entitles the holder to one vote on all matters submitted to the shareholders for a vote. The holders of common shares are entitled to receive dividends, as may be declared by the board of directors, if any. Through December 31, 2022, no cash dividends have been declared or paid.</w:t>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November 1, 2021, the Company completed a follow-on offering of 4,600,000 of its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 payable by the Company.</w:t>
      </w:r>
    </w:p>
    <w:p>
      <w:pPr>
        <w:spacing w:after="0" w:line="18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August 2022, the Company entered into a common shares sale agreement (“the Sales Agreement”), with Cowen and Company, LLC (“Cowen”) as sales agent, pursuant to which we may issue and sell common shares from time to</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62" w:right="279" w:bottom="1440" w:gutter="0" w:footer="0" w:header="0"/>
        </w:sectPr>
      </w:pPr>
    </w:p>
    <w:bookmarkStart w:id="148" w:name="page149"/>
    <w:bookmarkEnd w:id="148"/>
    <w:p>
      <w:pPr>
        <w:jc w:val="both"/>
        <w:ind w:right="60"/>
        <w:spacing w:after="0" w:line="263" w:lineRule="auto"/>
        <w:rPr>
          <w:sz w:val="20"/>
          <w:szCs w:val="20"/>
          <w:color w:val="auto"/>
        </w:rPr>
      </w:pPr>
      <w:r>
        <w:rPr>
          <w:rFonts w:ascii="Arial" w:cs="Arial" w:eastAsia="Arial" w:hAnsi="Arial"/>
          <w:sz w:val="18"/>
          <w:szCs w:val="18"/>
          <w:color w:val="auto"/>
        </w:rPr>
        <w:t>time, or the ATM Shares. The ATM Shares to be sold under the Sales Agreement, if any, will be issued and sold pursuant to our shelf registration statement on Form S-3 (File No. 333-257668), up to a maximum aggregate amount of $125.0 million. No shares have been issued under the Sales Agreement as of December 31, 2022.</w:t>
      </w:r>
    </w:p>
    <w:p>
      <w:pPr>
        <w:spacing w:after="0" w:line="288" w:lineRule="exact"/>
        <w:rPr>
          <w:sz w:val="20"/>
          <w:szCs w:val="20"/>
          <w:color w:val="auto"/>
        </w:rPr>
      </w:pPr>
    </w:p>
    <w:p>
      <w:pPr>
        <w:ind w:right="8480" w:firstLine="8"/>
        <w:spacing w:after="0" w:line="425" w:lineRule="auto"/>
        <w:tabs>
          <w:tab w:leader="none" w:pos="27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2020 Employee Share Purchase Plan</w:t>
      </w:r>
    </w:p>
    <w:p>
      <w:pPr>
        <w:jc w:val="both"/>
        <w:ind w:right="60"/>
        <w:spacing w:after="0" w:line="273" w:lineRule="auto"/>
        <w:rPr>
          <w:sz w:val="20"/>
          <w:szCs w:val="20"/>
          <w:color w:val="auto"/>
        </w:rPr>
      </w:pPr>
      <w:r>
        <w:rPr>
          <w:rFonts w:ascii="Arial" w:cs="Arial" w:eastAsia="Arial" w:hAnsi="Arial"/>
          <w:sz w:val="17"/>
          <w:szCs w:val="17"/>
          <w:color w:val="auto"/>
        </w:rPr>
        <w:t>In June 2020, the Company’s board of directors adopted, and the Company’s shareholders approved the 2020 Employee Share Purchase Plan (“ESPP”). The maximum number of common shares that may be issued under the ESPP was initially 327,000. Additionally, the number of shares reserved and available for issuance under the ESPP will automatically increase each January 1, beginning on January 1, 2021 and each January 1 thereafter through January 31, 2030, by the lesser of (1) 1.0% of the total number of common shares outstanding on December 31 of the preceding calendar year, (2) 3,300,000 common shares, or (3) such smaller number of common shares as the Company’s board of directors may designate. As of January 1, 2023, the number of common shares that may be issued under the ESPP is 1,487,035.</w:t>
      </w:r>
    </w:p>
    <w:p>
      <w:pPr>
        <w:spacing w:after="0" w:line="178"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The ESPP enables eligible employees to purchase common shares of the Company at the end of each offering period at a price equal to 85% of the fair market value of the shares on the first business day or the last business day of the offering period, whichever is lower. Participation in the ESPP is voluntary. Eligible employees become participants in the ESPP by enrolling in the plan and authorizing payroll deductions. At the end of each offering period, accumulated payroll deductions are used to purchase the Company’s shares at the discounted price. The Company makes no contributions to the ESPP. A participant may withdraw from the ESPP or suspend contributions to the ESPP. If the participant elects to withdraw during an offering, all contributions are refunded as soon as administratively practicable. If a participant elects to withdraw or suspend contributions, they will not be able to re-enroll in the current offering but may elect to participate in future offerings. The ESPP purchases only whole shares of the Company’s shares. The Company’s first ESPP offering period began February 16, 2021 and ended on August 15, 2021, with a second offering period commencing on August 16, 2021. Subsequent offering periods will be on a rolling six-month basis.</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the years ended December 31, 2022 and 2021 the Company issued 37,915 and 9,943 common shares under the ESPP, respectively, at an average price per share of $11.43 and $28.46, respectively. Cash received from purchases under the ESPP for the years ended December 31, 2022 and 2021 was $0.4 million and $0.3 million, respectively. In February 2023, the Company issued 41,703 common shares under the ESPP at an average price per share of $9.80.</w:t>
      </w:r>
    </w:p>
    <w:p>
      <w:pPr>
        <w:spacing w:after="0" w:line="18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under the ESPP offering were as follows:</w:t>
      </w:r>
    </w:p>
    <w:p>
      <w:pPr>
        <w:spacing w:after="0" w:line="175"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54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1"/>
                <w:szCs w:val="21"/>
                <w:color w:val="auto"/>
              </w:rPr>
            </w:pPr>
          </w:p>
        </w:tc>
      </w:tr>
      <w:tr>
        <w:trPr>
          <w:trHeight w:val="24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85.37 %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61.91 %</w:t>
            </w:r>
          </w:p>
        </w:tc>
      </w:tr>
      <w:tr>
        <w:trPr>
          <w:trHeight w:val="24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weighted average grant date fair value under the ESPP offering during the years ended December 31, 2022 and 2021 was $4.91 and $10.94,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Plan and 2020 Plan</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4,074,135 shares of the Company’s common shares to be issued.</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149" w:name="page150"/>
    <w:bookmarkEnd w:id="149"/>
    <w:p>
      <w:pPr>
        <w:jc w:val="both"/>
        <w:ind w:right="60"/>
        <w:spacing w:after="0" w:line="287" w:lineRule="auto"/>
        <w:rPr>
          <w:sz w:val="20"/>
          <w:szCs w:val="20"/>
          <w:color w:val="auto"/>
        </w:rPr>
      </w:pPr>
      <w:r>
        <w:rPr>
          <w:rFonts w:ascii="Arial" w:cs="Arial" w:eastAsia="Arial" w:hAnsi="Arial"/>
          <w:sz w:val="16"/>
          <w:szCs w:val="16"/>
          <w:color w:val="auto"/>
        </w:rPr>
        <w:t>In June 2020, the Company’s board of directors adopted, and the Company’s shareholders approved the 2020 Equity Incentive Plan (the “2020 Plan”). The 2020 Plan became effective on the effective date of the IPO, at which time the Company ceased making awards under the Option Plan. The 2020 Plan allows the Company’s compensation committee to make equity-based and cash-based incentive awards to the Company’s officers, employees, directors and consultants including but not limited to stock options and restricted share units. A total of 3,600,000 common shares were initially reserved for issuance under the 2020 Plan, plus the number of shares (not to exceed 3,807,448 shares) consisting of (i) 298,605 common shares that were available for issuance of awards under the Option Plan at the time the 2020 Plan became effective, which ceased to be available for future issuance under the Option Plan at such time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In addition, the number of shares reserved and available for issuance under the 2020 Plan will automatically increase each January 1, beginning on January 1, 2021 and each January 1 thereafter through January 1, 2030, by 5% of the outstanding number of common shares on the immediately preceding December 31, or such lesser number of shares as determined by the Company’s board of directors. As of January 1, 2023, the number of common shares reserved for issuance under the 2020 Plan is 10,025,525.</w:t>
      </w:r>
    </w:p>
    <w:p>
      <w:pPr>
        <w:spacing w:after="0" w:line="16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2020 Plan is administered by the board of directors. The exercise prices, vesting and other restrictions are determined by the board of directors, except that the exercise price per share of stock option may not be less than 100% of the fair value of the common share on the date of grant, determined based on the average of the daily volume-weighted average trading price of shares on each of the five trading days immediately preceding the date of grant.</w:t>
      </w:r>
    </w:p>
    <w:p>
      <w:pPr>
        <w:spacing w:after="0" w:line="149"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Stock options awarded under the 2020 Plan expire 10 years after the grant and generally have vesting conditions of 25% on the first anniversary of the date of grant and 75% on a monthly basis at a rate of 1/36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unless otherwise decided by the Company’s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Activity</w:t>
      </w:r>
    </w:p>
    <w:p>
      <w:pPr>
        <w:spacing w:after="0" w:line="12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75"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2.17 %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0.80 %</w:t>
            </w:r>
          </w:p>
        </w:tc>
      </w:tr>
      <w:tr>
        <w:trPr>
          <w:trHeight w:val="242"/>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1"/>
                <w:szCs w:val="21"/>
                <w:color w:val="auto"/>
              </w:rPr>
            </w:pPr>
          </w:p>
        </w:tc>
      </w:tr>
      <w:tr>
        <w:trPr>
          <w:trHeight w:val="24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78.95 %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75.99 %</w:t>
            </w:r>
          </w:p>
        </w:tc>
      </w:tr>
      <w:tr>
        <w:trPr>
          <w:trHeight w:val="24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grant date fair value of stock options granted during the years ended December 31, 2022, 2021 and 2020 was $9.54 and $22.49,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share option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6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8"/>
              </w:rPr>
              <w:t>Intrinsic value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9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8"/>
              </w:rPr>
              <w:t>term</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Outstanding, January 1, 2022</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5,322,591</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14.76</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7"/>
              </w:rPr>
              <w:t>8.15</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spacing w:after="0"/>
              <w:rPr>
                <w:sz w:val="20"/>
                <w:szCs w:val="20"/>
                <w:color w:val="auto"/>
              </w:rPr>
            </w:pPr>
            <w:r>
              <w:rPr>
                <w:rFonts w:ascii="Arial" w:cs="Arial" w:eastAsia="Arial" w:hAnsi="Arial"/>
                <w:sz w:val="14"/>
                <w:szCs w:val="14"/>
                <w:color w:val="auto"/>
              </w:rPr>
              <w:t>3,346,567</w:t>
            </w:r>
          </w:p>
        </w:tc>
        <w:tc>
          <w:tcPr>
            <w:tcW w:w="140" w:type="dxa"/>
            <w:vAlign w:val="bottom"/>
          </w:tcPr>
          <w:p>
            <w:pPr>
              <w:spacing w:after="0"/>
              <w:rPr>
                <w:sz w:val="15"/>
                <w:szCs w:val="15"/>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14.41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Exercised</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(148,116 )</w:t>
            </w: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680" w:type="dxa"/>
            <w:vAlign w:val="bottom"/>
            <w:gridSpan w:val="2"/>
          </w:tcPr>
          <w:p>
            <w:pPr>
              <w:jc w:val="right"/>
              <w:ind w:right="80"/>
              <w:spacing w:after="0"/>
              <w:rPr>
                <w:sz w:val="20"/>
                <w:szCs w:val="20"/>
                <w:color w:val="auto"/>
              </w:rPr>
            </w:pPr>
            <w:r>
              <w:rPr>
                <w:rFonts w:ascii="Arial" w:cs="Arial" w:eastAsia="Arial" w:hAnsi="Arial"/>
                <w:sz w:val="14"/>
                <w:szCs w:val="14"/>
                <w:color w:val="auto"/>
              </w:rPr>
              <w:t>(488,140 )</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85"/>
              </w:rPr>
              <w:t>22.15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Outstanding, December 31, 2022</w:t>
            </w: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8,032,902</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jc w:val="right"/>
              <w:ind w:right="78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14.38</w:t>
            </w: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7"/>
              </w:rPr>
              <w:t>7.90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360" w:type="dxa"/>
            <w:vAlign w:val="bottom"/>
          </w:tcPr>
          <w:p>
            <w:pPr>
              <w:ind w:left="20"/>
              <w:spacing w:after="0"/>
              <w:rPr>
                <w:sz w:val="20"/>
                <w:szCs w:val="20"/>
                <w:color w:val="auto"/>
              </w:rPr>
            </w:pPr>
            <w:r>
              <w:rPr>
                <w:rFonts w:ascii="Arial" w:cs="Arial" w:eastAsia="Arial" w:hAnsi="Arial"/>
                <w:sz w:val="14"/>
                <w:szCs w:val="14"/>
                <w:color w:val="auto"/>
              </w:rPr>
              <w:t>Options exercisable, December 31, 2022</w:t>
            </w:r>
          </w:p>
        </w:tc>
        <w:tc>
          <w:tcPr>
            <w:tcW w:w="1540" w:type="dxa"/>
            <w:vAlign w:val="bottom"/>
          </w:tcPr>
          <w:p>
            <w:pPr>
              <w:jc w:val="right"/>
              <w:spacing w:after="0"/>
              <w:rPr>
                <w:sz w:val="20"/>
                <w:szCs w:val="20"/>
                <w:color w:val="auto"/>
              </w:rPr>
            </w:pPr>
            <w:r>
              <w:rPr>
                <w:rFonts w:ascii="Arial" w:cs="Arial" w:eastAsia="Arial" w:hAnsi="Arial"/>
                <w:sz w:val="14"/>
                <w:szCs w:val="14"/>
                <w:color w:val="auto"/>
              </w:rPr>
              <w:t>3,592,087</w:t>
            </w:r>
          </w:p>
        </w:tc>
        <w:tc>
          <w:tcPr>
            <w:tcW w:w="140" w:type="dxa"/>
            <w:vAlign w:val="bottom"/>
          </w:tcPr>
          <w:p>
            <w:pPr>
              <w:spacing w:after="0"/>
              <w:rPr>
                <w:sz w:val="24"/>
                <w:szCs w:val="24"/>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11.41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7"/>
              </w:rPr>
              <w:t>6.94</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28,538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Options unvested, December 31, 2022</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4,440,815</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16.79</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7"/>
              </w:rPr>
              <w:t>8.65</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-359410</wp:posOffset>
            </wp:positionV>
            <wp:extent cx="76835" cy="2482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248285"/>
                    </a:xfrm>
                    <a:prstGeom prst="rect">
                      <a:avLst/>
                    </a:prstGeom>
                    <a:noFill/>
                  </pic:spPr>
                </pic:pic>
              </a:graphicData>
            </a:graphic>
          </wp:anchor>
        </w:drawing>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150" w:name="page151"/>
    <w:bookmarkEnd w:id="150"/>
    <w:p>
      <w:pPr>
        <w:jc w:val="both"/>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shares for those stock options that had an exercise price lower than the fair value of the Company’s common shares.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options exercised during the years ended December 31, 2022 and 2021 was $1.7 million and $8.5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2022 and 2021 was $20.1 million and $7.4 million,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an aggregate of 148,116 options were exercised at a weighted-average exercise price of $3.02 per share, for aggregate proceeds of $0.4 million. As a result, an amount of $0.3 million previously included in additional paid-in-capital related to the exercised options has been credited to common shares and deducted from additional paid-in-capital.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and February 2023, the Company granted an aggregate of 1,495,240 stock options at a weighted average exercise price of $12.42 per share and an aggregate of 626,260 restricted share units to employees under the 2020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for all awards was allocated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6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10,020</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100" w:type="dxa"/>
            <w:vAlign w:val="bottom"/>
            <w:tcBorders>
              <w:bottom w:val="single" w:sz="8" w:color="auto"/>
            </w:tcBorders>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19,691</w:t>
            </w:r>
          </w:p>
        </w:tc>
        <w:tc>
          <w:tcPr>
            <w:tcW w:w="12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12,829</w:t>
            </w:r>
          </w:p>
        </w:tc>
        <w:tc>
          <w:tcPr>
            <w:tcW w:w="100" w:type="dxa"/>
            <w:vAlign w:val="bottom"/>
            <w:tcBorders>
              <w:bottom w:val="single" w:sz="8" w:color="auto"/>
            </w:tcBorders>
            <w:shd w:val="clear" w:color="auto" w:fill="CFF0FC"/>
          </w:tcPr>
          <w:p>
            <w:pPr>
              <w:spacing w:after="0"/>
              <w:rPr>
                <w:sz w:val="24"/>
                <w:szCs w:val="24"/>
                <w:color w:val="auto"/>
              </w:rPr>
            </w:pPr>
          </w:p>
        </w:tc>
      </w:tr>
      <w:tr>
        <w:trPr>
          <w:trHeight w:val="419"/>
        </w:trPr>
        <w:tc>
          <w:tcPr>
            <w:tcW w:w="7700" w:type="dxa"/>
            <w:vAlign w:val="bottom"/>
          </w:tcPr>
          <w:p>
            <w:pPr>
              <w:spacing w:after="0"/>
              <w:rPr>
                <w:sz w:val="20"/>
                <w:szCs w:val="20"/>
                <w:color w:val="auto"/>
              </w:rPr>
            </w:pPr>
            <w:r>
              <w:rPr>
                <w:rFonts w:ascii="Arial" w:cs="Arial" w:eastAsia="Arial" w:hAnsi="Arial"/>
                <w:sz w:val="18"/>
                <w:szCs w:val="18"/>
                <w:color w:val="auto"/>
              </w:rPr>
              <w:t>Share-based compensation expense by type of award was as follows: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70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w w:val="76"/>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19,400</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12,632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ESPP</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19,691</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12,829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-1285240</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-1268095</wp:posOffset>
            </wp:positionV>
            <wp:extent cx="1111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2022, there was $42.9 million of unrecognized share-based compensation expense related to unvested stock options. The unrecognized share-based compensation expense is expected to be recognized over a weighted-average remaining vesting period of 1.8 years as of December 31,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Savings Plan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offered its employees in the United States the ability to participate in a 401(k). The Company has also offered its employees in Canada the ability to participate in a registered retirement savings plan. As of January 1, 2021, the Company started making non-matching employer contributions into both of these plans on behalf of participants equal to 3% of their base salary. The Company has recorded an expense of $0.8 million and $0.5 million in matching contributions for the years ended December 31, 2022 and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Collaboration and License Agreement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2022, the Company entered into a collaboration and license agreement (the “Roche Agreement”) with Hoffmann-La Roche Inc. and F. Hoffmann-La Roche Ltd (collectively, “Roche”) regarding the development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1" w:name="page152"/>
    <w:bookmarkEnd w:id="151"/>
    <w:p>
      <w:pPr>
        <w:jc w:val="both"/>
        <w:spacing w:after="0" w:line="287" w:lineRule="auto"/>
        <w:rPr>
          <w:sz w:val="20"/>
          <w:szCs w:val="20"/>
          <w:color w:val="auto"/>
        </w:rPr>
      </w:pPr>
      <w:r>
        <w:rPr>
          <w:rFonts w:ascii="Arial" w:cs="Arial" w:eastAsia="Arial" w:hAnsi="Arial"/>
          <w:sz w:val="16"/>
          <w:szCs w:val="16"/>
          <w:color w:val="auto"/>
        </w:rPr>
        <w:t>commercialization of the Company’s product candidate camonsertib (also known as RP-3500 or RG6526) and specified other Ataxia-Telangiectasia and Rad3-related protein kinase (“ATR”) inhibitors (the “Licensed Products”). The transaction was subject to clearance under the Hart-Scott-Rodino Antitrust Improvements Act of 1976 and other customary closing conditions, which were met on July 13, 2022 (“Effective Date”). Pursuant to the Roche Agreement, the Company granted Roche a worldwide, perpetual, exclusive, sublicensable license to develop, manufacture, and commercialize the Licensed Products, as well as a non-exclusive, sublicensable license to certain related companion diagnostics. The Company has agreed to complete specified ongoing clinical trials in accordance with the development plan in the Roche Agreement, as well as ongoing investigator sponsored trials (together, the “Continuing Trials”) at the Company’s expense. Roche assumes all subsequent development of camonsertib with the potential to expand development into additional tumors and multiple combination studies. The Company retained the right to conduct specified clinical trials (the “Repare Trials”) of camonsertib in combination with the Company’s PKMYT1 compound (also known as RP-6306). The Roche Agreement also provides the Company, at its sole discretion, with the ability to opt-in to a 50/50 U.S. co-development and profit share arrangement, including participation in U.S. co-promotion if U.S. regulatory approval is received. If the Company chooses to exercise its co-development and profit share option, it will continue to be eligible to receive certain clinical, regulatory, commercial and sales milestone payments, in addition to full ex-U.S. royalties.</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are subject to milestones.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Roche Agreement, the Company received an upfront, nonrefundable payment of $125.0 million in July 2022. The Company also received an additional payment of $4.0 million negotiated with Roche for revisions to the clinical development plan under the Roche Agreement as agreed to by the parties at the time of the Effective Date. The Company further received $5.6 million for the transfer of clinical trial material on hand to Roche, as agreed to pursuant to the Roche Agreement. The Company is eligible to receive up to $1.172 billion in potential clinical, regulatory, commercial and sales milestones, as well as royalties on global net sales ranging from high-single-digits to high-teens, subject to certain specified reductions. Royalties are payable by Roche on a product by product and country by country basis until the later of 12 years following the first commercial sale of a licensed product in such country or the expiration of certain exclusivity rights.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Roche Agreement will expire upon the last to expire royalty term or, as applicable, the end of the U.S. co-development and profit share arrangement. Additionally, Roche may terminate the agreement for convenience in its entirety or on a product by product or country by country basis subject to certain notice periods. Either party may terminate earlier upon the other party’s uncured material breach of the agreement or insolvency. Subject to the terms of the Roche Agreement, effective upon termination of the Roche Agreement, the Company is entitled to retain specified licenses to be able to continue to exploit the Licensed Products.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assessed the Roche Agreement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concluded that Roche is a customer within the context of the agreement. At inception, the Company identified several performance obligations under the agreement, being (i) the combination of the exclusive perpetual license to the Licensed Products and the non-exclusive license to certain companion diagnostics, (ii) the research and development activities related to the completion of the Continuing Trials, as well as (iii) the transfer of clinical trial materials on hand. The Company determined that the exclusive license to the Licensed Products and the non-exclusive license to certain companion diagnostics should be combined into one distinct performance obligation as they were not capable of being distinct from each other within the context of the agreement given both are highly interdependent of each other. The Company determined that the combined licenses, the completion of the Continuing Trials and the transfer of clinical trial materials were all capable of being distinct and were distinct within the context of the Roche Agreement given such activities are independent of each other and Roche could benefit from either separately.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that the transaction price at the onset of the agreement is $134.6 million, being the total non-refundable upfront payment received of $125.0 million, the additional $4.0 million payment received and the $5.6 million received for the transfer of clinical trial materials. Additional consideration is to be paid to the Company upon the achievement of multiple clinical, regulatory and sales milestones. The Company utilized the most likely method approach and concluded that these amounts were constrained based on the probability of achievement. As such, the Company excluded this additional consideration from the transaction price.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2" w:name="page153"/>
    <w:bookmarkEnd w:id="152"/>
    <w:p>
      <w:pPr>
        <w:jc w:val="both"/>
        <w:spacing w:after="0" w:line="287" w:lineRule="auto"/>
        <w:rPr>
          <w:sz w:val="20"/>
          <w:szCs w:val="20"/>
          <w:color w:val="auto"/>
        </w:rPr>
      </w:pPr>
      <w:r>
        <w:rPr>
          <w:rFonts w:ascii="Arial" w:cs="Arial" w:eastAsia="Arial" w:hAnsi="Arial"/>
          <w:sz w:val="16"/>
          <w:szCs w:val="16"/>
          <w:color w:val="auto"/>
        </w:rPr>
        <w:t>The Company has allocated the transaction price of $134.6 million to each performance obligation based on the relative stand-alone selling price of each performance obligation at inception. The Company has determined the estimated stand-alone selling price at contract inception of the combined licenses by applying a probability adjusted discounted cashflow model which forecasts future cash flows related to the licenses. The Company considered applicable market conditions and relevant entity-specific factors, including those factors contemplated in negotiating the agreement, probability of success, discount rate and the time needed to commercialize a product pursuant to the license. The Company has determined the estimated stand-alone selling price at contract inception of the research and development activities required to complete the Continuing Trials based on internal estimates of the costs to perform the services, inclusive of a reasonable profit margin. Significant inputs used to determine the total costs to complete the Continuing Trials included the length of time required, the internal hours as well as external costs expected to be incurred, the number of patients and the number of clinical and investigator sponsored trials. The Company has determined the stand-alone selling price of the clinical trial materials transferred based on the purchase price from external vendors, without applying a markup as the materials have a built-in margin from the external vendors. Based on the relative stand-alone selling price, the allocation of the transaction price to the separate performance obligations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Transaction price</w:t>
            </w:r>
          </w:p>
        </w:tc>
        <w:tc>
          <w:tcPr>
            <w:tcW w:w="100" w:type="dxa"/>
            <w:vAlign w:val="bottom"/>
          </w:tcPr>
          <w:p>
            <w:pPr>
              <w:spacing w:after="0"/>
              <w:rPr>
                <w:sz w:val="16"/>
                <w:szCs w:val="16"/>
                <w:color w:val="auto"/>
              </w:rPr>
            </w:pPr>
          </w:p>
        </w:tc>
      </w:tr>
      <w:tr>
        <w:trPr>
          <w:trHeight w:val="169"/>
        </w:trPr>
        <w:tc>
          <w:tcPr>
            <w:tcW w:w="9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Combined licenses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105,327</w:t>
            </w:r>
          </w:p>
        </w:tc>
        <w:tc>
          <w:tcPr>
            <w:tcW w:w="100" w:type="dxa"/>
            <w:vAlign w:val="bottom"/>
            <w:shd w:val="clear" w:color="auto" w:fill="CFF0FC"/>
          </w:tcPr>
          <w:p>
            <w:pPr>
              <w:spacing w:after="0"/>
              <w:rPr>
                <w:sz w:val="21"/>
                <w:szCs w:val="21"/>
                <w:color w:val="auto"/>
              </w:rPr>
            </w:pP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Completion of Continuing Trials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26,585</w:t>
            </w:r>
          </w:p>
        </w:tc>
        <w:tc>
          <w:tcPr>
            <w:tcW w:w="100" w:type="dxa"/>
            <w:vAlign w:val="bottom"/>
          </w:tcPr>
          <w:p>
            <w:pPr>
              <w:spacing w:after="0"/>
              <w:rPr>
                <w:sz w:val="20"/>
                <w:szCs w:val="20"/>
                <w:color w:val="auto"/>
              </w:rPr>
            </w:pPr>
          </w:p>
        </w:tc>
      </w:tr>
      <w:tr>
        <w:trPr>
          <w:trHeight w:val="249"/>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Transfer of clinical trial materials</w:t>
            </w:r>
          </w:p>
        </w:tc>
        <w:tc>
          <w:tcPr>
            <w:tcW w:w="2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140" w:type="dxa"/>
            <w:vAlign w:val="bottom"/>
          </w:tcPr>
          <w:p>
            <w:pPr>
              <w:ind w:left="380"/>
              <w:spacing w:after="0"/>
              <w:rPr>
                <w:sz w:val="20"/>
                <w:szCs w:val="20"/>
                <w:color w:val="auto"/>
              </w:rPr>
            </w:pPr>
            <w:r>
              <w:rPr>
                <w:rFonts w:ascii="Arial" w:cs="Arial" w:eastAsia="Arial" w:hAnsi="Arial"/>
                <w:sz w:val="18"/>
                <w:szCs w:val="18"/>
                <w:color w:val="auto"/>
              </w:rPr>
              <w:t>Total transaction price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134,626</w:t>
            </w:r>
          </w:p>
        </w:tc>
        <w:tc>
          <w:tcPr>
            <w:tcW w:w="100" w:type="dxa"/>
            <w:vAlign w:val="bottom"/>
          </w:tcPr>
          <w:p>
            <w:pPr>
              <w:spacing w:after="0"/>
              <w:rPr>
                <w:sz w:val="20"/>
                <w:szCs w:val="20"/>
                <w:color w:val="auto"/>
              </w:rPr>
            </w:pPr>
          </w:p>
        </w:tc>
      </w:tr>
      <w:tr>
        <w:trPr>
          <w:trHeight w:val="20"/>
        </w:trPr>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associated with the combined licenses was recognized at a point in time upon the transfer of the licenses to Roche on the effective date of the Roche Agreement as the Company concluded that the combined licenses were a functional intellectual property license that Roche could benefit from as of the time of grant. Revenue associated with the completion of the Continuing Trials has been deferred and will be recognized on a proportional performance basis over the period of time to complete the Continuing Trials, being estimated at within 24 months of the effective date, using input-based measurements of total costs of research and development incurred to estimate the proportion performed. Progress towards completion is remeasured at the end of each reporting period. Revenue associated with the transfer of clinical trial materials was recognized at a point in time upon delivery of the clinical trial materials to Roche in the year ended December 31, 2022.</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$116.6 million for the year ended December 31, 2022 as revenue associated with the Roche Agreement, of which $105.3 million related to the grant of the combined licenses, $2.7 million related to the clinical trial materials transferred, and $8.6 million related to the partial recognition of deferred revenue for research and development services performed towards the completion of the Continuing Trials during the period.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there was $18.0 million (December 31, 2021 - nil) of deferred revenue related to the Roche Agreement, of which $15.3 million (December 31, 2021 - nil) was classified as current and $2.7 million (December 31, 2021 - nil) was classified as non-current in the consolidated balance sheet based on the period the services to complete the Continuing Trials are expected to be performed.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 Myers Squibb</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2020, the Company entered into a collaboration and license agreement (the "BMS Agreement") with Bristol-Myers Squibb Company (“Bristol-Myers Squibb”), pursuant to which the Company and Bristol Myers Squibb have agreed to collaborate in the research and development of potential new product candidates for the treatment of cancer. The Company is providing Bristol Myers Squibb access to a selected number of its existing screening campaigns and novel campaigns. The Company is responsible for carrying out early-stage research activities directed to identifying potential targets for potential licensing by Bristol Myers Squibb, in accordance with a mutually agreed upon research plan and will be solely responsible for such costs. The collaboration consists of programs directed to both druggable targets and to targets commonly considered undruggable to traditional small molecule approaches. Upon Bristol Myers Squibb’s election to exercise its option to obtain exclusive worldwide licenses for the subsequent development, manufacturing and commercialization of a program, Bristol Myers Squibb will then be solely responsible for all such worldwide activities and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3" w:name="page154"/>
    <w:bookmarkEnd w:id="153"/>
    <w:p>
      <w:pPr>
        <w:jc w:val="both"/>
        <w:spacing w:after="0" w:line="263" w:lineRule="auto"/>
        <w:rPr>
          <w:sz w:val="20"/>
          <w:szCs w:val="20"/>
          <w:color w:val="auto"/>
        </w:rPr>
      </w:pPr>
      <w:r>
        <w:rPr>
          <w:rFonts w:ascii="Arial" w:cs="Arial" w:eastAsia="Arial" w:hAnsi="Arial"/>
          <w:sz w:val="18"/>
          <w:szCs w:val="18"/>
          <w:color w:val="auto"/>
        </w:rPr>
        <w:t>The BMS Agreement was subsequently amended in July, September and November 2020 to include additional campaigns to the list of existing campaigns from which Bristol Myers Squibb may select campaigns under the agreement and to enable unblinding of a Bristol Myers Squibb alliance manager in order to streamline the collaboration and selection process.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terms of the BMS Agreement, Bristol Myers Squibb paid the Company an initial nonrefundable upfront fee payment of $50.0 million in June 2020. The Company is entitled to receive, on a program-by-program basis, option exercise fees ranging in the low six figures depending on the nature of the applicable program. Bristol Myers Squibb also has the right to retain rights to certain back-up programs in exchange for a one-time payment in the low eight figures per program. The Company is also entitled to receive up to $301.0 million in total milestones on a program-by-program basis, consisting of $176.0 million in the aggregate for certain specified research, development and regulatory milestones and $125.0 million in the aggregate for certain specified commercial milestones. The Company is further entitled to a tiered percentage royalty on annual net sales ranging from high-single digits to low-double digits, subject to certain specified reductions. Royalties are payable by Bristol 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 program-by-program basis, prior to the earlier of such program ceasing to be included under the BMS Agreement and expiration of the last to expire royalty term for such program, the Company, alone and with third parties, is prohibited from researching, developing, manufacturing and commercializing products that are directed to the applicable target for such program.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provided Bristol Myers Squibb with certain, limited rights to first negotiation if the Company determines to divest, license or collaborate with others regarding certain existing programs, including in the event that the Company receives an unsolicited offer to do so. The right of first negotiation expressly excludes any potential change of control transaction, as defined in the agreement.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collaboration term will expire 42 months after the effective date of the agreement. The BMS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earlier upon an uncured material breach of the BMS agreement by the other party, or the insolvency of the other party. Additionally, Bristol Myers Squibb may terminate the BMS Agreement for any or no reason on a program-by-program basis upon specified written notice.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assessed the BMS Agreement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concluded that Bristol Myers Squibb is a customer based on the agreement structure. At inception, the Company identified several performance obligations under the BMS Agreement, being (i) research activities for each campaign over the collaboration term, as well as (ii) a selected number of material rights associated with options to obtain exclusive development, manufacturing, and commercial licenses to targets identified. The Company determined that the options to obtain the exclusive development, manufacturing and commercialization licenses were material rights under ASC 606 because there are minimal amounts to be paid to the Company upon exercise of such options.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determined that the transaction price at the onset of the BMS Agreement is the total non-refundable upfront payment received of $50.0 million. Additional consideration is to be paid to the Company upon the exercise of options to license targets and future milestone payments. The Company utilized the most likely method approach and concluded that these amounts were constrained as they represent option fees and milestone payments that can only be achieved subsequent to option exercises. As such, the Company excluded this additional consideration from the transaction price.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allocated the transaction price of $50.0 million to each performance obligation based on the relative stand-alone selling price of each performance obligation at inception, which was determined based on each performance obligation’s estimated stand-alone selling price. The Company has determined the estimated stand-alone selling price at contract inception of the research activities based on internal estimates of the costs to perform the services, inclusive of a reasonable profit margin. Significant inputs used to determine the total costs to perform the research activities included the length of time required, the internal hours expected to be incurred on the services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4" w:name="page155"/>
    <w:bookmarkEnd w:id="154"/>
    <w:p>
      <w:pPr>
        <w:jc w:val="both"/>
        <w:spacing w:after="0" w:line="272" w:lineRule="auto"/>
        <w:rPr>
          <w:sz w:val="20"/>
          <w:szCs w:val="20"/>
          <w:color w:val="auto"/>
        </w:rPr>
      </w:pPr>
      <w:r>
        <w:rPr>
          <w:rFonts w:ascii="Arial" w:cs="Arial" w:eastAsia="Arial" w:hAnsi="Arial"/>
          <w:sz w:val="17"/>
          <w:szCs w:val="17"/>
          <w:color w:val="auto"/>
        </w:rPr>
        <w:t>the number and costs of various studies that will be performed to complete the research plan. The Company determined the estimated stand-alone selling price at contract inception of the material rights associated with options to obtain exclusive licenses to druggable targets and undruggable targets based on the fees Bristol Myers Squibb would pay to exercise these options, the probability-weighted value of expected future cash flows associated with each license related to each target and the probability that these options would be exercised by Bristol Myers Squibb.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 Based on the relative stand-alone selling price, the allocation of the transaction price to the separate performance obligations was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Transaction price</w:t>
            </w:r>
          </w:p>
        </w:tc>
        <w:tc>
          <w:tcPr>
            <w:tcW w:w="100" w:type="dxa"/>
            <w:vAlign w:val="bottom"/>
          </w:tcPr>
          <w:p>
            <w:pPr>
              <w:spacing w:after="0"/>
              <w:rPr>
                <w:sz w:val="16"/>
                <w:szCs w:val="16"/>
                <w:color w:val="auto"/>
              </w:rPr>
            </w:pPr>
          </w:p>
        </w:tc>
      </w:tr>
      <w:tr>
        <w:trPr>
          <w:trHeight w:val="169"/>
        </w:trPr>
        <w:tc>
          <w:tcPr>
            <w:tcW w:w="9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140" w:type="dxa"/>
            <w:vAlign w:val="bottom"/>
            <w:shd w:val="clear" w:color="auto" w:fill="CFF0FC"/>
          </w:tcPr>
          <w:p>
            <w:pPr>
              <w:ind w:left="60"/>
              <w:spacing w:after="0"/>
              <w:rPr>
                <w:sz w:val="20"/>
                <w:szCs w:val="20"/>
                <w:color w:val="auto"/>
              </w:rPr>
            </w:pPr>
            <w:r>
              <w:rPr>
                <w:rFonts w:ascii="Arial" w:cs="Arial" w:eastAsia="Arial" w:hAnsi="Arial"/>
                <w:sz w:val="18"/>
                <w:szCs w:val="18"/>
                <w:color w:val="auto"/>
              </w:rPr>
              <w:t>Research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100" w:type="dxa"/>
            <w:vAlign w:val="bottom"/>
            <w:shd w:val="clear" w:color="auto" w:fill="CFF0FC"/>
          </w:tcPr>
          <w:p>
            <w:pPr>
              <w:spacing w:after="0"/>
              <w:rPr>
                <w:sz w:val="21"/>
                <w:szCs w:val="21"/>
                <w:color w:val="auto"/>
              </w:rPr>
            </w:pPr>
          </w:p>
        </w:tc>
      </w:tr>
      <w:tr>
        <w:trPr>
          <w:trHeight w:val="237"/>
        </w:trPr>
        <w:tc>
          <w:tcPr>
            <w:tcW w:w="9140" w:type="dxa"/>
            <w:vAlign w:val="bottom"/>
          </w:tcPr>
          <w:p>
            <w:pPr>
              <w:ind w:left="60"/>
              <w:spacing w:after="0"/>
              <w:rPr>
                <w:sz w:val="20"/>
                <w:szCs w:val="20"/>
                <w:color w:val="auto"/>
              </w:rPr>
            </w:pPr>
            <w:r>
              <w:rPr>
                <w:rFonts w:ascii="Arial" w:cs="Arial" w:eastAsia="Arial" w:hAnsi="Arial"/>
                <w:sz w:val="18"/>
                <w:szCs w:val="18"/>
                <w:color w:val="auto"/>
              </w:rPr>
              <w:t>Options to license druggable targets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tcPr>
          <w:p>
            <w:pPr>
              <w:spacing w:after="0"/>
              <w:rPr>
                <w:sz w:val="20"/>
                <w:szCs w:val="20"/>
                <w:color w:val="auto"/>
              </w:rPr>
            </w:pPr>
          </w:p>
        </w:tc>
      </w:tr>
      <w:tr>
        <w:trPr>
          <w:trHeight w:val="249"/>
        </w:trPr>
        <w:tc>
          <w:tcPr>
            <w:tcW w:w="91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Options to license undruggable targets</w:t>
            </w:r>
          </w:p>
        </w:tc>
        <w:tc>
          <w:tcPr>
            <w:tcW w:w="2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Total transaction price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r>
      <w:tr>
        <w:trPr>
          <w:trHeight w:val="20"/>
        </w:trPr>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associated with the options has been deferred and will be recognized at the point in time when options to license are exercised by Bristol Myers Squibb or upon expiry of such options. Revenue associated with the research activities has been deferred and will be recognized on a proportional performance basis over the period of service for research activities, being the collaboration term, using input-based measurements of total costs of research incurred to estimated proportion performed. Progress towards completion is remeasured at the end of each reporting period.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2022 and 2021, the Company recognized from deferred revenue $2.7 million and $1.1 million, respectively, as revenue associated with the BMS Agreement in relation to research activities performed during the period.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fiscal 2022, Bristol Myers Squibb waived its rights to exercise options for druggable targets directed at two separate lesions. As a result, the Company recognized from deferred revenue $12.5 million as revenue for the year ended December 31, 2022 with regards to the amount allocated to the performance obligation from Bristol Meyers Squibb. In October 2021, the Company received notification from Bristol Myers Squibb of their option exercise for two druggable targets directed at a single synthetic lethal lesion, pursuant to the terms of the BMS Agreement. As a result, the Company recognized from deferred revenue $6.5 million as revenue for the year ended December 31, 2021 with regards to the achievement of the performance obligation from Bristol Meyers Squibb and the option fees received.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there was $27.4 million (December 31, 2021 - $42.5 million) of deferred revenue related to the BMS Agreement, of which $27.4 million (December 31, 2021 - $2.9 million) was classified as current and nil (December 31, 2021 - $39.6 million) as non-current in the consolidated balance sheet based on the period the services are expected to be performed and the expected timing of potential option exercises.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Ono</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2019, the Company entered into a research services, license and collaboration agreement (the “Ono Agreement”) with Ono Pharmaceutical Co., Ltd. (“Ono”), a Japanese pharmaceutical company, pursuant to which the Company and Ono have agreed to collaborate in the research of potential product candidates targeting Polθ and the development of the Company’s small molecule Polθ inhibitor program. The Company is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elects to collaborate on the subsequent development and commercialization of the proposed product candidate, Ono will be then responsible for such activities in Japan, South Korea, Taiwan, Hong-Kong, Macau and the Association of Southeast Asian Nations (collectively, the “Ono territory”), and the Company will be responsible for all such activities in the rest of the world outside the Ono territory, including the United States, Canada and European Union.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18"/>
          <w:szCs w:val="18"/>
          <w:color w:val="auto"/>
        </w:rPr>
        <w:t>In October 2021, the Company and Ono entered into an amendment to the Ono Agreement whereby the research term, as defined in the Ono Agreement, was extended by one year. In January 2023, the Company and Ono entered into a second amendment to the Ono Agreement whereby the Research Term, as defined in the Ono Agreement, was extended until July 31, 2023.</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terms of the Ono Agreement, the Company received non-refundable upfront payments of ¥900 million ($8.1 million), consisting of an initial upfront fee payment of ¥110 million ($1.0 million) and an initial upfront research service payment of ¥790 million ($7.1 million). Additionally, in connection with the research activities to be conducted pursuant to the Ono Agreement, the Company is eligible to receive additional research service payments of up to an aggregate of ¥750 million ($6.5 million) upon the occurrence of certain specified research triggers. The Company is also entitled to receive clinical, regulatory and commercial milestone payments of up to ¥17.21 billion ($149.5 million) in the aggregate, plus a tiered percentage royalty on annual net sales in Ono’s Territory ranging from high-single digits to low teens, subject to certain specified reductions. All future milestone payments and royalties are payable in U.S. dollars after conversion from Japanese yen at the then applicable rate. Additionally, upon election by Ono to collaborate on the proposed product candidate, Ono shall be responsible for a specified percentage of research and development costs for the IND-enabling studies of the selected product candidate.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Polθ and associated research services.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determined that the transaction price at the onset of the arrangement is the total upfront payments received in the aggregate amount of $8.1 million which is recorded as deferred revenue. The future milestone payments represent variable consideration that is fully constrained at inception of the arrangement as the achievement of the milestone events are highly uncertain. The Company will reevaluate the likelihood of achievement of the milestones at the end of each reporting period and as uncertain events are resolved or other changes in circumstances occur, and, if necessary, adjust its estimate of the transaction price. In October 2021 and December 2022, the Company achieved specified research triggers amounting to ¥100 million ($0.9 million) and ¥200 million ($1.5 million), respectively, as research service payments provided for in the Ono Agreement. The ¥200 million ($1.5 million) is included in the collaboration revenue receivable at December 31, 2022 and was subsequently received in January 2023. These amounts have been added to the transaction price as the consideration was no longer constrained. Should a product candidate be presented for selection in 2023 and Ono exercises its selection option, the Company would be entitled to receive ¥450 million (approximately $3.4 million) as well as ¥110 million (approximately $0.9 million) upon corresponding grant of license, for a total of approximately $4.3 million.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classified $10.5 million (December 31, 2021 - $9.0 million) as current deferred revenue related to the Ono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the provision for income taxes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4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39"/>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4"/>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3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(17,550 )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(110,433 )</w:t>
            </w: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Foreign</w:t>
            </w:r>
          </w:p>
        </w:tc>
        <w:tc>
          <w:tcPr>
            <w:tcW w:w="3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0"/>
                <w:szCs w:val="20"/>
                <w:color w:val="auto"/>
              </w:rPr>
            </w:pP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5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(13,900</w:t>
            </w:r>
          </w:p>
        </w:tc>
        <w:tc>
          <w:tcPr>
            <w:tcW w:w="30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35"/>
        </w:trPr>
        <w:tc>
          <w:tcPr>
            <w:tcW w:w="4160" w:type="dxa"/>
            <w:vAlign w:val="bottom"/>
          </w:tcPr>
          <w:p>
            <w:pPr>
              <w:spacing w:after="0"/>
              <w:rPr>
                <w:sz w:val="24"/>
                <w:szCs w:val="24"/>
                <w:color w:val="auto"/>
              </w:rPr>
            </w:pPr>
          </w:p>
        </w:tc>
        <w:tc>
          <w:tcPr>
            <w:tcW w:w="3520" w:type="dxa"/>
            <w:vAlign w:val="bottom"/>
          </w:tcPr>
          <w:p>
            <w:pPr>
              <w:jc w:val="right"/>
              <w:ind w:right="183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-513715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jc w:val="right"/>
              <w:ind w:right="639"/>
              <w:spacing w:after="0"/>
              <w:rPr>
                <w:sz w:val="20"/>
                <w:szCs w:val="20"/>
                <w:color w:val="auto"/>
              </w:rPr>
            </w:pPr>
            <w:r>
              <w:rPr>
                <w:rFonts w:ascii="Arial" w:cs="Arial" w:eastAsia="Arial" w:hAnsi="Arial"/>
                <w:sz w:val="14"/>
                <w:szCs w:val="14"/>
                <w:b w:val="1"/>
                <w:bCs w:val="1"/>
                <w:color w:val="auto"/>
                <w:w w:val="76"/>
              </w:rPr>
              <w:t>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income tax provision - foreign</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11,527</w:t>
            </w:r>
          </w:p>
        </w:tc>
        <w:tc>
          <w:tcPr>
            <w:tcW w:w="132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Deferred income tax benefit - foreign</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3,620</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(2,208 )</w:t>
            </w: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provision for income taxes</w:t>
            </w: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15,147</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tax expense and the product of accounting income multiplied by the statutory income tax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74"/>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w w:val="99"/>
              </w:rPr>
              <w:t>(13,900 )</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(108,586 )</w:t>
            </w:r>
          </w:p>
        </w:tc>
        <w:tc>
          <w:tcPr>
            <w:tcW w:w="60" w:type="dxa"/>
            <w:vAlign w:val="bottom"/>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Income tax at statutory rate</w:t>
            </w:r>
          </w:p>
        </w:tc>
        <w:tc>
          <w:tcPr>
            <w:tcW w:w="96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8"/>
                <w:szCs w:val="18"/>
                <w:color w:val="auto"/>
              </w:rPr>
              <w:t>26.5 %</w:t>
            </w:r>
          </w:p>
        </w:tc>
        <w:tc>
          <w:tcPr>
            <w:tcW w:w="6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26.5 %</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Computed income tax recovery</w:t>
            </w:r>
          </w:p>
        </w:tc>
        <w:tc>
          <w:tcPr>
            <w:tcW w:w="9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3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Effect on income tax resulting from:</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Federal investment tax credit</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(4,899 )</w:t>
            </w:r>
          </w:p>
        </w:tc>
        <w:tc>
          <w:tcPr>
            <w:tcW w:w="6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(4,093 )</w:t>
            </w:r>
          </w:p>
        </w:tc>
        <w:tc>
          <w:tcPr>
            <w:tcW w:w="60" w:type="dxa"/>
            <w:vAlign w:val="bottom"/>
          </w:tcPr>
          <w:p>
            <w:pPr>
              <w:spacing w:after="0"/>
              <w:rPr>
                <w:sz w:val="21"/>
                <w:szCs w:val="2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Accounting charges not deductible for tax purposes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679</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Capital gain income</w:t>
            </w:r>
          </w:p>
        </w:tc>
        <w:tc>
          <w:tcPr>
            <w:tcW w:w="9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w w:val="99"/>
              </w:rPr>
              <w:t>(13,956 )</w:t>
            </w:r>
          </w:p>
        </w:tc>
        <w:tc>
          <w:tcPr>
            <w:tcW w:w="6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Equity compensation</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3,492</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State taxes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(777 )</w:t>
            </w:r>
          </w:p>
        </w:tc>
        <w:tc>
          <w:tcPr>
            <w:tcW w:w="6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0"/>
                <w:szCs w:val="20"/>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8"/>
                <w:szCs w:val="18"/>
                <w:color w:val="auto"/>
              </w:rPr>
              <w:t>(142 )</w:t>
            </w: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Change in valuation allowance</w:t>
            </w:r>
          </w:p>
        </w:tc>
        <w:tc>
          <w:tcPr>
            <w:tcW w:w="9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34,434</w:t>
            </w:r>
          </w:p>
        </w:tc>
        <w:tc>
          <w:tcPr>
            <w:tcW w:w="3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15,147</w:t>
            </w:r>
          </w:p>
        </w:tc>
        <w:tc>
          <w:tcPr>
            <w:tcW w:w="3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(1,678 )</w:t>
            </w:r>
          </w:p>
        </w:tc>
        <w:tc>
          <w:tcPr>
            <w:tcW w:w="6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applicable statutory tax rate is the Canadian combined rate applicable in the jurisdictions in which the Company operates.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As of December 31, 2022, the Company had tax losses of approximately $158.5 million, which are available to offset future taxable income in Canada. The Company has not recognized the tax benefit of these losses. These losses expire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9220" w:type="dxa"/>
            <w:vAlign w:val="bottom"/>
            <w:shd w:val="clear" w:color="auto" w:fill="CFF0FC"/>
          </w:tcPr>
          <w:p>
            <w:pPr>
              <w:jc w:val="right"/>
              <w:ind w:right="8750"/>
              <w:spacing w:after="0"/>
              <w:rPr>
                <w:sz w:val="20"/>
                <w:szCs w:val="20"/>
                <w:color w:val="auto"/>
              </w:rPr>
            </w:pPr>
            <w:r>
              <w:rPr>
                <w:rFonts w:ascii="Arial" w:cs="Arial" w:eastAsia="Arial" w:hAnsi="Arial"/>
                <w:sz w:val="18"/>
                <w:szCs w:val="18"/>
                <w:color w:val="auto"/>
                <w:w w:val="89"/>
              </w:rPr>
              <w:t>2042</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45,279</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jc w:val="right"/>
              <w:ind w:right="8750"/>
              <w:spacing w:after="0"/>
              <w:rPr>
                <w:sz w:val="20"/>
                <w:szCs w:val="20"/>
                <w:color w:val="auto"/>
              </w:rPr>
            </w:pPr>
            <w:r>
              <w:rPr>
                <w:rFonts w:ascii="Arial" w:cs="Arial" w:eastAsia="Arial" w:hAnsi="Arial"/>
                <w:sz w:val="18"/>
                <w:szCs w:val="18"/>
                <w:color w:val="auto"/>
                <w:w w:val="89"/>
              </w:rPr>
              <w:t>2041</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93,834</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jc w:val="right"/>
              <w:ind w:right="8750"/>
              <w:spacing w:after="0"/>
              <w:rPr>
                <w:sz w:val="20"/>
                <w:szCs w:val="20"/>
                <w:color w:val="auto"/>
              </w:rPr>
            </w:pPr>
            <w:r>
              <w:rPr>
                <w:rFonts w:ascii="Arial" w:cs="Arial" w:eastAsia="Arial" w:hAnsi="Arial"/>
                <w:sz w:val="18"/>
                <w:szCs w:val="18"/>
                <w:color w:val="auto"/>
                <w:w w:val="89"/>
              </w:rPr>
              <w:t>2040</w:t>
            </w:r>
          </w:p>
        </w:tc>
        <w:tc>
          <w:tcPr>
            <w:tcW w:w="3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9220" w:type="dxa"/>
            <w:vAlign w:val="bottom"/>
          </w:tcPr>
          <w:p>
            <w:pPr>
              <w:jc w:val="right"/>
              <w:ind w:right="8750"/>
              <w:spacing w:after="0"/>
              <w:rPr>
                <w:sz w:val="20"/>
                <w:szCs w:val="20"/>
                <w:color w:val="auto"/>
              </w:rPr>
            </w:pPr>
            <w:r>
              <w:rPr>
                <w:rFonts w:ascii="Arial" w:cs="Arial" w:eastAsia="Arial" w:hAnsi="Arial"/>
                <w:sz w:val="18"/>
                <w:szCs w:val="18"/>
                <w:color w:val="auto"/>
                <w:w w:val="89"/>
              </w:rPr>
              <w:t>2039</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jc w:val="right"/>
              <w:ind w:right="8750"/>
              <w:spacing w:after="0"/>
              <w:rPr>
                <w:sz w:val="20"/>
                <w:szCs w:val="20"/>
                <w:color w:val="auto"/>
              </w:rPr>
            </w:pPr>
            <w:r>
              <w:rPr>
                <w:rFonts w:ascii="Arial" w:cs="Arial" w:eastAsia="Arial" w:hAnsi="Arial"/>
                <w:sz w:val="18"/>
                <w:szCs w:val="18"/>
                <w:color w:val="auto"/>
                <w:w w:val="89"/>
              </w:rPr>
              <w:t>2038</w:t>
            </w: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jc w:val="right"/>
              <w:ind w:right="8750"/>
              <w:spacing w:after="0"/>
              <w:rPr>
                <w:sz w:val="20"/>
                <w:szCs w:val="20"/>
                <w:color w:val="auto"/>
              </w:rPr>
            </w:pPr>
            <w:r>
              <w:rPr>
                <w:rFonts w:ascii="Arial" w:cs="Arial" w:eastAsia="Arial" w:hAnsi="Arial"/>
                <w:sz w:val="18"/>
                <w:szCs w:val="18"/>
                <w:color w:val="auto"/>
                <w:w w:val="89"/>
              </w:rPr>
              <w:t>2037</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r>
      <w:tr>
        <w:trPr>
          <w:trHeight w:val="277"/>
        </w:trPr>
        <w:tc>
          <w:tcPr>
            <w:tcW w:w="9220" w:type="dxa"/>
            <w:vAlign w:val="bottom"/>
            <w:tcBorders>
              <w:bottom w:val="single" w:sz="8" w:color="CFF0FC"/>
            </w:tcBorders>
            <w:shd w:val="clear" w:color="auto" w:fill="CFF0FC"/>
          </w:tcPr>
          <w:p>
            <w:pPr>
              <w:jc w:val="right"/>
              <w:ind w:right="857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As of December 31, 2022, the Company had Scientific Research and Experimental Development (“SR&amp;ED”) expenditures of approximately $54.6 million for Canadian federal and Québec purposes, which have not been deducted. These expenditures are available to reduce future taxable income and have an unlimited carryforward period. SR&amp;ED expenditures are subject to verification by the tax authorities and, accordingly, the amounts may vary.</w:t>
      </w:r>
    </w:p>
    <w:p>
      <w:pPr>
        <w:spacing w:after="0" w:line="14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As of December 31, 2022, the Company had non-refundable Canadian federal investment tax credits of approximately $9.0 million, which may be utilized to reduce Canadian federal income taxes payable. The Company has not</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recognized the tax benefits related to the non-refundable investment tax credits. The investment tax credits expire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2042</w:t>
            </w:r>
          </w:p>
        </w:tc>
        <w:tc>
          <w:tcPr>
            <w:tcW w:w="9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2041</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2040</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2039</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2038</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2037</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2036</w:t>
            </w:r>
          </w:p>
        </w:tc>
        <w:tc>
          <w:tcPr>
            <w:tcW w:w="9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0"/>
                <w:szCs w:val="20"/>
                <w:color w:val="auto"/>
              </w:rPr>
            </w:pPr>
          </w:p>
        </w:tc>
        <w:tc>
          <w:tcPr>
            <w:tcW w:w="90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w w:val="97"/>
              </w:rPr>
              <w:t>The Company’s deferred tax assets as of December 31, 2022 and 2021 consisted of the following:</w:t>
            </w: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3"/>
          </w:tcPr>
          <w:p>
            <w:pPr>
              <w:jc w:val="right"/>
              <w:ind w:right="1211"/>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42,003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research and development expenditures</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14,468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 issuance costs</w:t>
            </w:r>
          </w:p>
        </w:tc>
        <w:tc>
          <w:tcPr>
            <w:tcW w:w="9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federal investment tax credits</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6,589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research and development tax credits</w:t>
            </w:r>
          </w:p>
        </w:tc>
        <w:tc>
          <w:tcPr>
            <w:tcW w:w="9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Tax basis of property and equipment in excess of carrying values</w:t>
            </w:r>
          </w:p>
        </w:tc>
        <w:tc>
          <w:tcPr>
            <w:tcW w:w="980" w:type="dxa"/>
            <w:vAlign w:val="bottom"/>
          </w:tcPr>
          <w:p>
            <w:pPr>
              <w:spacing w:after="0"/>
              <w:rPr>
                <w:sz w:val="20"/>
                <w:szCs w:val="20"/>
                <w:color w:val="auto"/>
              </w:rPr>
            </w:pPr>
          </w:p>
        </w:tc>
        <w:tc>
          <w:tcPr>
            <w:tcW w:w="900" w:type="dxa"/>
            <w:vAlign w:val="bottom"/>
            <w:gridSpan w:val="3"/>
          </w:tcPr>
          <w:p>
            <w:pPr>
              <w:jc w:val="right"/>
              <w:ind w:right="148"/>
              <w:spacing w:after="0"/>
              <w:rPr>
                <w:sz w:val="20"/>
                <w:szCs w:val="20"/>
                <w:color w:val="auto"/>
              </w:rPr>
            </w:pPr>
            <w:r>
              <w:rPr>
                <w:rFonts w:ascii="Arial" w:cs="Arial" w:eastAsia="Arial" w:hAnsi="Arial"/>
                <w:sz w:val="18"/>
                <w:szCs w:val="18"/>
                <w:color w:val="auto"/>
              </w:rPr>
              <w:t>(376 )</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9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148"/>
              <w:spacing w:after="0"/>
              <w:rPr>
                <w:sz w:val="20"/>
                <w:szCs w:val="20"/>
                <w:color w:val="auto"/>
              </w:rPr>
            </w:pPr>
            <w:r>
              <w:rPr>
                <w:rFonts w:ascii="Arial" w:cs="Arial" w:eastAsia="Arial" w:hAnsi="Arial"/>
                <w:sz w:val="18"/>
                <w:szCs w:val="18"/>
                <w:color w:val="auto"/>
              </w:rPr>
              <w:t>(1,429 )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(1,995 )</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 and other liabilities</w:t>
            </w:r>
          </w:p>
        </w:tc>
        <w:tc>
          <w:tcPr>
            <w:tcW w:w="9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14,783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9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R&amp;D costs capitalized</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97,040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980" w:type="dxa"/>
            <w:vAlign w:val="bottom"/>
          </w:tcPr>
          <w:p>
            <w:pPr>
              <w:spacing w:after="0"/>
              <w:rPr>
                <w:sz w:val="20"/>
                <w:szCs w:val="20"/>
                <w:color w:val="auto"/>
              </w:rPr>
            </w:pPr>
          </w:p>
        </w:tc>
        <w:tc>
          <w:tcPr>
            <w:tcW w:w="900" w:type="dxa"/>
            <w:vAlign w:val="bottom"/>
            <w:gridSpan w:val="3"/>
          </w:tcPr>
          <w:p>
            <w:pPr>
              <w:jc w:val="right"/>
              <w:ind w:right="148"/>
              <w:spacing w:after="0"/>
              <w:rPr>
                <w:sz w:val="20"/>
                <w:szCs w:val="20"/>
                <w:color w:val="auto"/>
              </w:rPr>
            </w:pPr>
            <w:r>
              <w:rPr>
                <w:rFonts w:ascii="Arial" w:cs="Arial" w:eastAsia="Arial" w:hAnsi="Arial"/>
                <w:sz w:val="18"/>
                <w:szCs w:val="18"/>
                <w:color w:val="auto"/>
                <w:w w:val="91"/>
              </w:rPr>
              <w:t>(97,040 )</w:t>
            </w:r>
          </w:p>
        </w:tc>
        <w:tc>
          <w:tcPr>
            <w:tcW w:w="1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(62,606 )</w:t>
            </w: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deferred tax assets</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6858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evaluated the positive and negative evidence bearing upon the realizability of its deferred tax assets and has determined that it is more likely than not that the Company will not recognize the benefit of its net deferred tax assets, and as a result, a valuation allowance of $97.0 million and $62.6 million has been established at December 31, 2022 and December 31, 2021,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incurred net operating losses in Canada since inception and the Company's U.S. subsidiary operated profitably in the United States since its inception. As of December 31, 2021, the Company had U.S. federal and state research and development tax credit carry forwards of $1.8 million which were utilized in the year ended December 31,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fiscal years 2017 to 2022 due to unexpired statute of limitation periods.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8" w:name="page159"/>
    <w:bookmarkEnd w:id="158"/>
    <w:p>
      <w:pPr>
        <w:jc w:val="both"/>
        <w:spacing w:after="0" w:line="257"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As of December 31, 2022 and 2021, no uncertain tax positions have been recorded in the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and comprehensive loss. As of December 31, 2022 and 2021, no accrued interest or penalties are included on the related tax liability line in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3"/>
              </w:rPr>
              <w:t>(in thousands, except share and per share data)</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(29,047 )</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(106,908 )</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shd w:val="clear" w:color="auto" w:fill="CFF0FC"/>
          </w:tcPr>
          <w:p>
            <w:pPr>
              <w:spacing w:after="0"/>
              <w:rPr>
                <w:sz w:val="21"/>
                <w:szCs w:val="21"/>
                <w:color w:val="auto"/>
              </w:rPr>
            </w:pPr>
          </w:p>
        </w:tc>
        <w:tc>
          <w:tcPr>
            <w:tcW w:w="15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120"/>
              <w:spacing w:after="0"/>
              <w:rPr>
                <w:sz w:val="20"/>
                <w:szCs w:val="20"/>
                <w:color w:val="auto"/>
              </w:rPr>
            </w:pPr>
            <w:r>
              <w:rPr>
                <w:rFonts w:ascii="Arial" w:cs="Arial" w:eastAsia="Arial" w:hAnsi="Arial"/>
                <w:sz w:val="18"/>
                <w:szCs w:val="18"/>
                <w:color w:val="auto"/>
              </w:rPr>
              <w:t>Weighted-average number of common shares outstanding—basic and</w:t>
            </w:r>
          </w:p>
        </w:tc>
        <w:tc>
          <w:tcPr>
            <w:tcW w:w="200" w:type="dxa"/>
            <w:vAlign w:val="bottom"/>
          </w:tcPr>
          <w:p>
            <w:pPr>
              <w:spacing w:after="0"/>
              <w:rPr>
                <w:sz w:val="18"/>
                <w:szCs w:val="18"/>
                <w:color w:val="auto"/>
              </w:rPr>
            </w:pPr>
          </w:p>
        </w:tc>
        <w:tc>
          <w:tcPr>
            <w:tcW w:w="1500" w:type="dxa"/>
            <w:vAlign w:val="bottom"/>
            <w:vMerge w:val="restart"/>
          </w:tcPr>
          <w:p>
            <w:pPr>
              <w:jc w:val="right"/>
              <w:ind w:right="39"/>
              <w:spacing w:after="0"/>
              <w:rPr>
                <w:sz w:val="20"/>
                <w:szCs w:val="20"/>
                <w:color w:val="auto"/>
              </w:rPr>
            </w:pPr>
            <w:r>
              <w:rPr>
                <w:rFonts w:ascii="Arial" w:cs="Arial" w:eastAsia="Arial" w:hAnsi="Arial"/>
                <w:sz w:val="18"/>
                <w:szCs w:val="18"/>
                <w:color w:val="auto"/>
              </w:rPr>
              <w:t>41,922,042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37,818,115</w:t>
            </w:r>
          </w:p>
        </w:tc>
        <w:tc>
          <w:tcPr>
            <w:tcW w:w="0" w:type="dxa"/>
            <w:vAlign w:val="bottom"/>
          </w:tcPr>
          <w:p>
            <w:pPr>
              <w:spacing w:after="0"/>
              <w:rPr>
                <w:sz w:val="1"/>
                <w:szCs w:val="1"/>
                <w:color w:val="auto"/>
              </w:rPr>
            </w:pPr>
          </w:p>
        </w:tc>
      </w:tr>
      <w:tr>
        <w:trPr>
          <w:trHeight w:val="203"/>
        </w:trPr>
        <w:tc>
          <w:tcPr>
            <w:tcW w:w="768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(0.69 )</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1111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potentially dilutive securities, which include stock options and shares issued under the ESPP,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2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15240</wp:posOffset>
            </wp:positionV>
            <wp:extent cx="22199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8" w:lineRule="exact"/>
        <w:rPr>
          <w:sz w:val="20"/>
          <w:szCs w:val="20"/>
          <w:color w:val="auto"/>
        </w:rPr>
      </w:pPr>
    </w:p>
    <w:p>
      <w:pPr>
        <w:ind w:left="8380"/>
        <w:spacing w:after="0"/>
        <w:tabs>
          <w:tab w:leader="none" w:pos="10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shares</w:t>
            </w:r>
          </w:p>
        </w:tc>
        <w:tc>
          <w:tcPr>
            <w:tcW w:w="1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8,032,902</w:t>
            </w:r>
          </w:p>
        </w:tc>
        <w:tc>
          <w:tcPr>
            <w:tcW w:w="12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5,322,591</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Estimated shares issuable under the ESPP</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47,216</w:t>
            </w: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9,654</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Government Assistance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research and development expenditures which are eligible for refundable investment tax credits. The refundable investment tax credits recorded are based on management’s estimates of amounts expected to be recovered and are subject to audit by the taxation authorities. These amounts have been recorded as a reduction of research and development expenditures in the amounts of $1.4 million, and $1.1 million for the years ended December 31, 2022 and 2021,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commitments to settle contractual obligations at December 31, 2022, other than leases which are recognized as operating lease liabilities in the consolidated balance sheet.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Ending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FF0FC"/>
          </w:tcPr>
          <w:p>
            <w:pPr>
              <w:spacing w:after="0"/>
              <w:rPr>
                <w:sz w:val="21"/>
                <w:szCs w:val="21"/>
                <w:color w:val="auto"/>
              </w:rPr>
            </w:pPr>
          </w:p>
        </w:tc>
      </w:tr>
      <w:tr>
        <w:trPr>
          <w:trHeight w:val="237"/>
        </w:trPr>
        <w:tc>
          <w:tcPr>
            <w:tcW w:w="920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0"/>
                <w:szCs w:val="20"/>
                <w:color w:val="auto"/>
              </w:rPr>
            </w:pPr>
          </w:p>
        </w:tc>
      </w:tr>
      <w:tr>
        <w:trPr>
          <w:trHeight w:val="24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1"/>
                <w:szCs w:val="21"/>
                <w:color w:val="auto"/>
              </w:rPr>
            </w:pPr>
          </w:p>
        </w:tc>
      </w:tr>
      <w:tr>
        <w:trPr>
          <w:trHeight w:val="237"/>
        </w:trPr>
        <w:tc>
          <w:tcPr>
            <w:tcW w:w="920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r>
      <w:tr>
        <w:trPr>
          <w:trHeight w:val="24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1"/>
                <w:szCs w:val="21"/>
                <w:color w:val="auto"/>
              </w:rPr>
            </w:pPr>
          </w:p>
        </w:tc>
      </w:tr>
      <w:tr>
        <w:trPr>
          <w:trHeight w:val="237"/>
        </w:trPr>
        <w:tc>
          <w:tcPr>
            <w:tcW w:w="9200" w:type="dxa"/>
            <w:vAlign w:val="bottom"/>
          </w:tcPr>
          <w:p>
            <w:pPr>
              <w:ind w:left="20"/>
              <w:spacing w:after="0"/>
              <w:rPr>
                <w:sz w:val="20"/>
                <w:szCs w:val="20"/>
                <w:color w:val="auto"/>
              </w:rPr>
            </w:pPr>
            <w:r>
              <w:rPr>
                <w:rFonts w:ascii="Arial" w:cs="Arial" w:eastAsia="Arial" w:hAnsi="Arial"/>
                <w:sz w:val="18"/>
                <w:szCs w:val="18"/>
                <w:color w:val="auto"/>
              </w:rPr>
              <w:t>Following years</w:t>
            </w: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r>
      <w:tr>
        <w:trPr>
          <w:trHeight w:val="276"/>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and research agreement obligations primarily relate to a strategic collaboration agreement that was entered into with the University of Texas M. D. Anderson Cancer Center (“MDACC”) in March 2020. The collaboration consists of preclinical studies and clinical trials designed by the Company and MDACC with the research to be completed by MDACC. The Company has agreed to commit $10.0 million in funding for various studies over a period of five years, of which $5.4 million was paid as of December 31, 2022.</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entered into an agreement with the Broad Institute, Inc. (“Broad”), in July 2022, under which Broad will perform specialty screening services at the Company’s request over the course of a three-year term in exchange for payments of $0.8 million per year, beginning in July 2022, totaling $2.3 million in the aggregate.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normal course of business, the Company enters into contracts with Contract Research Organizations (“CROs”) and other third parties for preclinical studies and clinical trials, research and development supplies and other testing and manufacturing services. These contracts generally do not contain minimum purchase commitments and provide for termination on 30 to 90 days’ prior written notice, and therefore are cancellable contracts. These payments are not included in the table above as the amount and timing of such payments are not known as of December 31, 2022.</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further entered into license agreements under which it is obligated to make milestone and royalty payments and incur annual maintenance fees. The future milestone or royalty payments under these agreements have not been included in the table above since the payment obligations are contingent upon future events, such as achieving certain clinical and commercial milestones or generating product sales. As of December 31, 2022, the Company is unable to estimate the timing or likelihood of achieving these clinical and commercial milestones or generating future product sales (see Note 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0" w:name="page161"/>
    <w:bookmarkEnd w:id="160"/>
    <w:p>
      <w:pPr>
        <w:jc w:val="both"/>
        <w:spacing w:after="0" w:line="263" w:lineRule="auto"/>
        <w:rPr>
          <w:sz w:val="20"/>
          <w:szCs w:val="20"/>
          <w:color w:val="auto"/>
        </w:rPr>
      </w:pPr>
      <w:r>
        <w:rPr>
          <w:rFonts w:ascii="Arial" w:cs="Arial" w:eastAsia="Arial" w:hAnsi="Arial"/>
          <w:sz w:val="18"/>
          <w:szCs w:val="18"/>
          <w:color w:val="auto"/>
        </w:rPr>
        <w:t>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these consolidated financial statements as at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Currency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 dollars.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a portion of its expenses in Canadian dollars, as well as other currencies to a lesser extent. A change in the currency exchange rates between the U.S. dollars relative to the Canadian dollar could have a significant effect on the Company’s consolidated results of operations, financial position, or cash flows. The Company does not enter into arrangements to hedge its currency risk exposure, although it maintains expected Canadian dollar cash requirements in Canadian dollars to form a natural hedge.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exposed to currency risk through its cash, other receivables, accounts payable, accrued expenses and other current liabilities, as well as right-of-use lease liabilities denominated in Canadian dollars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r>
      <w:tr>
        <w:trPr>
          <w:trHeight w:val="169"/>
        </w:trPr>
        <w:tc>
          <w:tcPr>
            <w:tcW w:w="7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02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1,904</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3,583</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Research and development tax credits receivable</w:t>
            </w:r>
          </w:p>
        </w:tc>
        <w:tc>
          <w:tcPr>
            <w:tcW w:w="102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3,261</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receivables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745</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(665 )</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(2,289 )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(2,116 )</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(4,392 )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financial position exposure</w:t>
            </w: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(4,250 )</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1111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above net exposure at December 31, 2022, and assuming that all other variables remain constant, a 10% depreciation of the U.S. dollar against the Canadian dollar would result in an increase of $0.3 million in the Company’s net loss for the year ended December 31, 2022.</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also exposed to currency risk through the Ono Agreement as the Company has a collaboration revenue receivable balance as of December 31, 2022, and any future payments receivable under the Ono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net by location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r>
      <w:tr>
        <w:trPr>
          <w:trHeight w:val="169"/>
        </w:trPr>
        <w:tc>
          <w:tcPr>
            <w:tcW w:w="4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468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2,888</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3,675</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1,929</w:t>
            </w:r>
          </w:p>
        </w:tc>
      </w:tr>
      <w:tr>
        <w:trPr>
          <w:trHeight w:val="276"/>
        </w:trPr>
        <w:tc>
          <w:tcPr>
            <w:tcW w:w="4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property and equipment, net</w:t>
            </w:r>
          </w:p>
        </w:tc>
        <w:tc>
          <w:tcPr>
            <w:tcW w:w="36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4,228</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5,604</w:t>
            </w:r>
          </w:p>
        </w:tc>
      </w:tr>
      <w:tr>
        <w:trPr>
          <w:trHeight w:val="635"/>
        </w:trPr>
        <w:tc>
          <w:tcPr>
            <w:tcW w:w="4060" w:type="dxa"/>
            <w:vAlign w:val="bottom"/>
          </w:tcPr>
          <w:p>
            <w:pPr>
              <w:spacing w:after="0"/>
              <w:rPr>
                <w:sz w:val="24"/>
                <w:szCs w:val="24"/>
                <w:color w:val="auto"/>
              </w:rPr>
            </w:pPr>
          </w:p>
        </w:tc>
        <w:tc>
          <w:tcPr>
            <w:tcW w:w="3640" w:type="dxa"/>
            <w:vAlign w:val="bottom"/>
          </w:tcPr>
          <w:p>
            <w:pPr>
              <w:jc w:val="right"/>
              <w:ind w:right="1850"/>
              <w:spacing w:after="0"/>
              <w:rPr>
                <w:sz w:val="20"/>
                <w:szCs w:val="20"/>
                <w:color w:val="auto"/>
              </w:rPr>
            </w:pPr>
            <w:r>
              <w:rPr>
                <w:rFonts w:ascii="Arial" w:cs="Arial" w:eastAsia="Arial" w:hAnsi="Arial"/>
                <w:sz w:val="18"/>
                <w:szCs w:val="18"/>
                <w:color w:val="auto"/>
              </w:rPr>
              <w:t>159</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-513715</wp:posOffset>
            </wp:positionV>
            <wp:extent cx="1111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-496570</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The Company’s right-of-use assets by location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r>
      <w:tr>
        <w:trPr>
          <w:trHeight w:val="169"/>
        </w:trPr>
        <w:tc>
          <w:tcPr>
            <w:tcW w:w="7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3,578</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4,939</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1,793</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2,552</w:t>
            </w:r>
          </w:p>
        </w:tc>
      </w:tr>
      <w:tr>
        <w:trPr>
          <w:trHeight w:val="277"/>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right-of-use assets, net</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5,371</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1111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the Canadian parent company recognized revenue under its collaboration agreements of $15.2 million (2021 - $7.6 million) with Bristol Myers Squibb, whose headquarters are located in the United States, and $116.6 million (2021 - nil) with Roche, whose headquarters are located in Switzerland.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no evaluation of controls and procedures can provide absolute assurance that all control issues and misstatements due to error or fraud may occur and not be, if any, have been detected.</w:t>
      </w:r>
    </w:p>
    <w:p>
      <w:pPr>
        <w:spacing w:after="0" w:line="17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2022.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assessment of the effectiveness of our internal control over financial reporting as of December 31, 2022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the results of its assessment, our management concluded that our internal control over financial reporting was effective as of December 31, 2022.</w:t>
      </w:r>
    </w:p>
    <w:p>
      <w:pPr>
        <w:spacing w:after="0" w:line="1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the effectiveness of our internal control over financial reporting due to our exemption as a smaller reporting company. Management’s report was not subject to audit by the Company’s registered public accounting firm pursuant to rules of the Securities and Exchange Commission that permit the Company to provide only management’s report in this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last fiscal quarter of 2022 that has materially affected, or is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Information required by this item is incorporated by reference to the information set forth in the sections titled “Information about Our Board of Directors” and “Information about Our Executive Officers”, “Corporate Governance, “Delinquent Section 16(a) Reports”, and “Corporate Governance – Committees of the Board of Directors” in our definitive proxy statement to be filed with the SEC on Schedule 14A in connection with our 2023 Annual Meeting of Shareholders, or the Proxy Statement, which is expected to be filed no later than 120 days after December 31, 2022.</w:t>
      </w:r>
    </w:p>
    <w:p>
      <w:pPr>
        <w:spacing w:after="0" w:line="6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board of directors has adopted the Repare Therapeutics Inc. Code of Business Conduct and Ethics that applies to all officers, directors and employees. This includes our principal executive officer, principal financial officer and principal accounting officer or controller or persons performing similar functions. The nominating and corporate governance committee is responsible for overseeing the Code of Business Conduct and Ethics and must approve any waivers of the Code of Ethics for our employees, executive officers and directors. The Code of Business Conduct and Ethics is available on our website at ir.reparerx.com. If we make any substantive amendments to the Code of Business Conduct and Ethics or grant any waiver from a provision of the Code of Business Conduct and Ethics to the principal executive officer, principal financial officer and principal accounting officer or controller or persons performing similar functions, we will promptly disclose the nature of the amendment or waiver on our website. Information contained on, or that can be accessed through, our website is not incorporated by reference into this Annual Report on Form 10-K, and you should not consider information on our website to be part of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Information required by the items is incorporated by reference to the information set forth in the sections titled “Executive Compensation” and “Director Compensation” in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Information required by this item is incorporated by reference to the information set forth in the sections titled “Securities Authorized for Issuance Under Equity Compensation Plans” and “Security Ownership of Certain Beneficial Owners and Management” in the Proxy Statement.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Information required by this item is incorporated by reference to the information set forth in the sections titled “Information Regarding the Board of Directors and Corporate Governance – Independence of the Board of Directors” and “Transactions with Related Persons” in the Proxy Statement.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Information required by this item is incorporated by reference to the information set forth in the section titled “Independent Registered Public Accounting Firm Fees and Services” in the Proxy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because the information required to be set forth therein is not applicable or is shown in the financial statements or notes herein.</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The documents listed in the following Exhibit Index of this Annual Report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30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00" w:type="dxa"/>
            <w:vAlign w:val="bottom"/>
            <w:gridSpan w:val="23"/>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1"/>
                <w:szCs w:val="11"/>
                <w:color w:val="auto"/>
              </w:rPr>
            </w:pPr>
          </w:p>
        </w:tc>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Number</w:t>
            </w:r>
          </w:p>
        </w:tc>
        <w:tc>
          <w:tcPr>
            <w:tcW w:w="120" w:type="dxa"/>
            <w:vAlign w:val="bottom"/>
          </w:tcPr>
          <w:p>
            <w:pPr>
              <w:spacing w:after="0"/>
              <w:rPr>
                <w:sz w:val="11"/>
                <w:szCs w:val="11"/>
                <w:color w:val="auto"/>
              </w:rPr>
            </w:pP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85"/>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2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40" w:type="dxa"/>
            <w:vAlign w:val="bottom"/>
          </w:tcPr>
          <w:p>
            <w:pPr>
              <w:ind w:lef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Borders>
              <w:bottom w:val="single" w:sz="8" w:color="0563C1"/>
            </w:tcBorders>
            <w:gridSpan w:val="13"/>
          </w:tcPr>
          <w:p>
            <w:pPr>
              <w:spacing w:after="0"/>
              <w:rPr>
                <w:rFonts w:ascii="Arial" w:cs="Arial" w:eastAsia="Arial" w:hAnsi="Arial"/>
                <w:sz w:val="18"/>
                <w:szCs w:val="18"/>
                <w:color w:val="0563C1"/>
                <w:w w:val="90"/>
              </w:rPr>
            </w:pPr>
            <w:hyperlink r:id="rId330">
              <w:r>
                <w:rPr>
                  <w:rFonts w:ascii="Arial" w:cs="Arial" w:eastAsia="Arial" w:hAnsi="Arial"/>
                  <w:sz w:val="18"/>
                  <w:szCs w:val="18"/>
                  <w:color w:val="0563C1"/>
                  <w:w w:val="90"/>
                </w:rPr>
                <w:t>Articles of Continuance of Repare Therapeutics Inc.</w:t>
              </w:r>
            </w:hyperlink>
          </w:p>
        </w:tc>
        <w:tc>
          <w:tcPr>
            <w:tcW w:w="840" w:type="dxa"/>
            <w:vAlign w:val="bottom"/>
            <w:gridSpan w:val="14"/>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001-39335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23, 2020</w:t>
            </w:r>
          </w:p>
        </w:tc>
        <w:tc>
          <w:tcPr>
            <w:tcW w:w="0" w:type="dxa"/>
            <w:vAlign w:val="bottom"/>
          </w:tcPr>
          <w:p>
            <w:pPr>
              <w:spacing w:after="0"/>
              <w:rPr>
                <w:sz w:val="1"/>
                <w:szCs w:val="1"/>
                <w:color w:val="auto"/>
              </w:rPr>
            </w:pPr>
          </w:p>
        </w:tc>
      </w:tr>
      <w:tr>
        <w:trPr>
          <w:trHeight w:val="372"/>
        </w:trPr>
        <w:tc>
          <w:tcPr>
            <w:tcW w:w="1040" w:type="dxa"/>
            <w:vAlign w:val="bottom"/>
          </w:tcPr>
          <w:p>
            <w:pPr>
              <w:ind w:lef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563C1"/>
            </w:tcBorders>
            <w:gridSpan w:val="21"/>
          </w:tcPr>
          <w:p>
            <w:pPr>
              <w:spacing w:after="0"/>
              <w:rPr>
                <w:rFonts w:ascii="Arial" w:cs="Arial" w:eastAsia="Arial" w:hAnsi="Arial"/>
                <w:sz w:val="18"/>
                <w:szCs w:val="18"/>
                <w:color w:val="0563C1"/>
                <w:w w:val="89"/>
              </w:rPr>
            </w:pPr>
            <w:hyperlink r:id="rId331">
              <w:r>
                <w:rPr>
                  <w:rFonts w:ascii="Arial" w:cs="Arial" w:eastAsia="Arial" w:hAnsi="Arial"/>
                  <w:sz w:val="18"/>
                  <w:szCs w:val="18"/>
                  <w:color w:val="0563C1"/>
                  <w:w w:val="89"/>
                </w:rPr>
                <w:t>Amended and Restated Bylaws of Repare Therapeutics Inc.</w:t>
              </w:r>
            </w:hyperlink>
          </w:p>
        </w:tc>
        <w:tc>
          <w:tcPr>
            <w:tcW w:w="300" w:type="dxa"/>
            <w:vAlign w:val="bottom"/>
            <w:gridSpan w:val="6"/>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001-39335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23, 2020</w:t>
            </w:r>
          </w:p>
        </w:tc>
        <w:tc>
          <w:tcPr>
            <w:tcW w:w="0" w:type="dxa"/>
            <w:vAlign w:val="bottom"/>
          </w:tcPr>
          <w:p>
            <w:pPr>
              <w:spacing w:after="0"/>
              <w:rPr>
                <w:sz w:val="1"/>
                <w:szCs w:val="1"/>
                <w:color w:val="auto"/>
              </w:rPr>
            </w:pPr>
          </w:p>
        </w:tc>
      </w:tr>
      <w:tr>
        <w:trPr>
          <w:trHeight w:val="372"/>
        </w:trPr>
        <w:tc>
          <w:tcPr>
            <w:tcW w:w="1040" w:type="dxa"/>
            <w:vAlign w:val="bottom"/>
          </w:tcPr>
          <w:p>
            <w:pPr>
              <w:ind w:lef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563C1"/>
            </w:tcBorders>
            <w:gridSpan w:val="14"/>
          </w:tcPr>
          <w:p>
            <w:pPr>
              <w:spacing w:after="0"/>
              <w:rPr>
                <w:rFonts w:ascii="Arial" w:cs="Arial" w:eastAsia="Arial" w:hAnsi="Arial"/>
                <w:sz w:val="18"/>
                <w:szCs w:val="18"/>
                <w:color w:val="0563C1"/>
                <w:w w:val="90"/>
              </w:rPr>
            </w:pPr>
            <w:hyperlink r:id="rId332">
              <w:r>
                <w:rPr>
                  <w:rFonts w:ascii="Arial" w:cs="Arial" w:eastAsia="Arial" w:hAnsi="Arial"/>
                  <w:sz w:val="18"/>
                  <w:szCs w:val="18"/>
                  <w:color w:val="0563C1"/>
                  <w:w w:val="90"/>
                </w:rPr>
                <w:t>Form of Common Share Certificate of the registrant.</w:t>
              </w:r>
            </w:hyperlink>
          </w:p>
        </w:tc>
        <w:tc>
          <w:tcPr>
            <w:tcW w:w="820" w:type="dxa"/>
            <w:vAlign w:val="bottom"/>
            <w:gridSpan w:val="1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371"/>
        </w:trPr>
        <w:tc>
          <w:tcPr>
            <w:tcW w:w="1040" w:type="dxa"/>
            <w:vAlign w:val="bottom"/>
          </w:tcPr>
          <w:p>
            <w:pPr>
              <w:ind w:lef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563C1"/>
            </w:tcBorders>
            <w:gridSpan w:val="20"/>
          </w:tcPr>
          <w:p>
            <w:pPr>
              <w:spacing w:after="0"/>
              <w:rPr>
                <w:rFonts w:ascii="Arial" w:cs="Arial" w:eastAsia="Arial" w:hAnsi="Arial"/>
                <w:sz w:val="18"/>
                <w:szCs w:val="18"/>
                <w:color w:val="0563C1"/>
                <w:w w:val="90"/>
              </w:rPr>
            </w:pPr>
            <w:hyperlink r:id="rId333">
              <w:r>
                <w:rPr>
                  <w:rFonts w:ascii="Arial" w:cs="Arial" w:eastAsia="Arial" w:hAnsi="Arial"/>
                  <w:sz w:val="18"/>
                  <w:szCs w:val="18"/>
                  <w:color w:val="0563C1"/>
                  <w:w w:val="90"/>
                </w:rPr>
                <w:t>Amended and Restated Registration Rights Agreement, by</w:t>
              </w:r>
            </w:hyperlink>
          </w:p>
        </w:tc>
        <w:tc>
          <w:tcPr>
            <w:tcW w:w="32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563C1"/>
            </w:tcBorders>
            <w:gridSpan w:val="25"/>
          </w:tcPr>
          <w:p>
            <w:pPr>
              <w:spacing w:after="0" w:line="196" w:lineRule="exact"/>
              <w:rPr>
                <w:rFonts w:ascii="Arial" w:cs="Arial" w:eastAsia="Arial" w:hAnsi="Arial"/>
                <w:sz w:val="18"/>
                <w:szCs w:val="18"/>
                <w:color w:val="0563C1"/>
                <w:w w:val="88"/>
              </w:rPr>
            </w:pPr>
            <w:hyperlink r:id="rId333">
              <w:r>
                <w:rPr>
                  <w:rFonts w:ascii="Arial" w:cs="Arial" w:eastAsia="Arial" w:hAnsi="Arial"/>
                  <w:sz w:val="18"/>
                  <w:szCs w:val="18"/>
                  <w:color w:val="0563C1"/>
                  <w:w w:val="88"/>
                </w:rPr>
                <w:t>and among the registrant and certain of its shareholders, dated</w:t>
              </w:r>
            </w:hyperlink>
          </w:p>
        </w:tc>
        <w:tc>
          <w:tcPr>
            <w:tcW w:w="1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Arial" w:cs="Arial" w:eastAsia="Arial" w:hAnsi="Arial"/>
                <w:sz w:val="18"/>
                <w:szCs w:val="18"/>
                <w:color w:val="0563C1"/>
              </w:rPr>
            </w:pPr>
            <w:hyperlink r:id="rId333">
              <w:r>
                <w:rPr>
                  <w:rFonts w:ascii="Arial" w:cs="Arial" w:eastAsia="Arial" w:hAnsi="Arial"/>
                  <w:sz w:val="18"/>
                  <w:szCs w:val="18"/>
                  <w:color w:val="0563C1"/>
                </w:rPr>
                <w:t>September 3, 2019.</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563C1"/>
            </w:tcBorders>
            <w:gridSpan w:val="22"/>
          </w:tcPr>
          <w:p>
            <w:pPr>
              <w:spacing w:after="0"/>
              <w:rPr>
                <w:rFonts w:ascii="Arial" w:cs="Arial" w:eastAsia="Arial" w:hAnsi="Arial"/>
                <w:sz w:val="18"/>
                <w:szCs w:val="18"/>
                <w:color w:val="0563C1"/>
                <w:w w:val="90"/>
              </w:rPr>
            </w:pPr>
            <w:hyperlink r:id="rId334">
              <w:r>
                <w:rPr>
                  <w:rFonts w:ascii="Arial" w:cs="Arial" w:eastAsia="Arial" w:hAnsi="Arial"/>
                  <w:sz w:val="18"/>
                  <w:szCs w:val="18"/>
                  <w:color w:val="0563C1"/>
                  <w:w w:val="90"/>
                </w:rPr>
                <w:t>Warrant Agreement by and between the registrant and BMS</w:t>
              </w:r>
            </w:hyperlink>
          </w:p>
        </w:tc>
        <w:tc>
          <w:tcPr>
            <w:tcW w:w="260" w:type="dxa"/>
            <w:vAlign w:val="bottom"/>
            <w:gridSpan w:val="5"/>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563C1"/>
            </w:tcBorders>
            <w:gridSpan w:val="25"/>
          </w:tcPr>
          <w:p>
            <w:pPr>
              <w:spacing w:after="0" w:line="196" w:lineRule="exact"/>
              <w:rPr>
                <w:rFonts w:ascii="Arial" w:cs="Arial" w:eastAsia="Arial" w:hAnsi="Arial"/>
                <w:sz w:val="18"/>
                <w:szCs w:val="18"/>
                <w:color w:val="0563C1"/>
                <w:w w:val="92"/>
              </w:rPr>
            </w:pPr>
            <w:hyperlink r:id="rId334">
              <w:r>
                <w:rPr>
                  <w:rFonts w:ascii="Arial" w:cs="Arial" w:eastAsia="Arial" w:hAnsi="Arial"/>
                  <w:sz w:val="18"/>
                  <w:szCs w:val="18"/>
                  <w:color w:val="0563C1"/>
                  <w:w w:val="92"/>
                </w:rPr>
                <w:t>Strategic Portfolio Investments Holdings, Inc., dated May 26,</w:t>
              </w:r>
            </w:hyperlink>
          </w:p>
        </w:tc>
        <w:tc>
          <w:tcPr>
            <w:tcW w:w="1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 w:type="dxa"/>
            <w:vAlign w:val="bottom"/>
            <w:gridSpan w:val="3"/>
          </w:tcPr>
          <w:p>
            <w:pPr>
              <w:ind w:left="120"/>
              <w:spacing w:after="0" w:line="196" w:lineRule="exact"/>
              <w:rPr>
                <w:rFonts w:ascii="Arial" w:cs="Arial" w:eastAsia="Arial" w:hAnsi="Arial"/>
                <w:sz w:val="18"/>
                <w:szCs w:val="18"/>
                <w:color w:val="0563C1"/>
                <w:w w:val="84"/>
              </w:rPr>
            </w:pPr>
            <w:hyperlink r:id="rId334">
              <w:r>
                <w:rPr>
                  <w:rFonts w:ascii="Arial" w:cs="Arial" w:eastAsia="Arial" w:hAnsi="Arial"/>
                  <w:sz w:val="18"/>
                  <w:szCs w:val="18"/>
                  <w:color w:val="0563C1"/>
                  <w:w w:val="84"/>
                </w:rPr>
                <w:t>2020.</w:t>
              </w:r>
            </w:hyperlink>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27"/>
          </w:tcPr>
          <w:p>
            <w:pPr>
              <w:spacing w:after="0"/>
              <w:rPr>
                <w:rFonts w:ascii="Arial" w:cs="Arial" w:eastAsia="Arial" w:hAnsi="Arial"/>
                <w:sz w:val="18"/>
                <w:szCs w:val="18"/>
                <w:color w:val="0563C1"/>
              </w:rPr>
            </w:pPr>
            <w:hyperlink r:id="rId335">
              <w:r>
                <w:rPr>
                  <w:rFonts w:ascii="Arial" w:cs="Arial" w:eastAsia="Arial" w:hAnsi="Arial"/>
                  <w:sz w:val="18"/>
                  <w:szCs w:val="18"/>
                  <w:color w:val="0563C1"/>
                </w:rPr>
                <w:t>Description of Registrant’s Securities.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001-39335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March 4,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563C1"/>
            </w:tcBorders>
            <w:gridSpan w:val="17"/>
          </w:tcPr>
          <w:p>
            <w:pPr>
              <w:spacing w:after="0"/>
              <w:rPr>
                <w:rFonts w:ascii="Arial" w:cs="Arial" w:eastAsia="Arial" w:hAnsi="Arial"/>
                <w:sz w:val="18"/>
                <w:szCs w:val="18"/>
                <w:color w:val="0563C1"/>
                <w:w w:val="89"/>
              </w:rPr>
            </w:pPr>
            <w:hyperlink r:id="rId336">
              <w:r>
                <w:rPr>
                  <w:rFonts w:ascii="Arial" w:cs="Arial" w:eastAsia="Arial" w:hAnsi="Arial"/>
                  <w:sz w:val="18"/>
                  <w:szCs w:val="18"/>
                  <w:color w:val="0563C1"/>
                  <w:w w:val="89"/>
                </w:rPr>
                <w:t>Repare Therapeutics Inc. Amended and Restated Option</w:t>
              </w:r>
            </w:hyperlink>
          </w:p>
        </w:tc>
        <w:tc>
          <w:tcPr>
            <w:tcW w:w="500" w:type="dxa"/>
            <w:vAlign w:val="bottom"/>
            <w:gridSpan w:val="10"/>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563C1"/>
            </w:tcBorders>
          </w:tcPr>
          <w:p>
            <w:pPr>
              <w:spacing w:after="0" w:line="196" w:lineRule="exact"/>
              <w:rPr>
                <w:rFonts w:ascii="Arial" w:cs="Arial" w:eastAsia="Arial" w:hAnsi="Arial"/>
                <w:sz w:val="18"/>
                <w:szCs w:val="18"/>
                <w:color w:val="0563C1"/>
                <w:w w:val="87"/>
              </w:rPr>
            </w:pPr>
            <w:hyperlink r:id="rId336">
              <w:r>
                <w:rPr>
                  <w:rFonts w:ascii="Arial" w:cs="Arial" w:eastAsia="Arial" w:hAnsi="Arial"/>
                  <w:sz w:val="18"/>
                  <w:szCs w:val="18"/>
                  <w:color w:val="0563C1"/>
                  <w:w w:val="87"/>
                </w:rPr>
                <w:t>Plan.</w:t>
              </w:r>
            </w:hyperlink>
          </w:p>
        </w:tc>
        <w:tc>
          <w:tcPr>
            <w:tcW w:w="4200" w:type="dxa"/>
            <w:vAlign w:val="bottom"/>
            <w:gridSpan w:val="26"/>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563C1"/>
            </w:tcBorders>
            <w:gridSpan w:val="19"/>
          </w:tcPr>
          <w:p>
            <w:pPr>
              <w:spacing w:after="0"/>
              <w:rPr>
                <w:rFonts w:ascii="Arial" w:cs="Arial" w:eastAsia="Arial" w:hAnsi="Arial"/>
                <w:sz w:val="18"/>
                <w:szCs w:val="18"/>
                <w:color w:val="0563C1"/>
                <w:w w:val="90"/>
              </w:rPr>
            </w:pPr>
            <w:hyperlink r:id="rId337">
              <w:r>
                <w:rPr>
                  <w:rFonts w:ascii="Arial" w:cs="Arial" w:eastAsia="Arial" w:hAnsi="Arial"/>
                  <w:sz w:val="18"/>
                  <w:szCs w:val="18"/>
                  <w:color w:val="0563C1"/>
                  <w:w w:val="90"/>
                </w:rPr>
                <w:t>Form of Option Agreement under the Repare Therapeutics</w:t>
              </w:r>
            </w:hyperlink>
          </w:p>
        </w:tc>
        <w:tc>
          <w:tcPr>
            <w:tcW w:w="340" w:type="dxa"/>
            <w:vAlign w:val="bottom"/>
            <w:gridSpan w:val="8"/>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563C1"/>
            </w:tcBorders>
            <w:gridSpan w:val="10"/>
          </w:tcPr>
          <w:p>
            <w:pPr>
              <w:spacing w:after="0" w:line="196" w:lineRule="exact"/>
              <w:rPr>
                <w:rFonts w:ascii="Arial" w:cs="Arial" w:eastAsia="Arial" w:hAnsi="Arial"/>
                <w:sz w:val="18"/>
                <w:szCs w:val="18"/>
                <w:color w:val="0563C1"/>
                <w:w w:val="89"/>
              </w:rPr>
            </w:pPr>
            <w:hyperlink r:id="rId337">
              <w:r>
                <w:rPr>
                  <w:rFonts w:ascii="Arial" w:cs="Arial" w:eastAsia="Arial" w:hAnsi="Arial"/>
                  <w:sz w:val="18"/>
                  <w:szCs w:val="18"/>
                  <w:color w:val="0563C1"/>
                  <w:w w:val="89"/>
                </w:rPr>
                <w:t>Inc. Amended and Restated Option Plan.</w:t>
              </w:r>
            </w:hyperlink>
          </w:p>
        </w:tc>
        <w:tc>
          <w:tcPr>
            <w:tcW w:w="1660" w:type="dxa"/>
            <w:vAlign w:val="bottom"/>
            <w:gridSpan w:val="17"/>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27"/>
          </w:tcPr>
          <w:p>
            <w:pPr>
              <w:spacing w:after="0"/>
              <w:rPr>
                <w:rFonts w:ascii="Arial" w:cs="Arial" w:eastAsia="Arial" w:hAnsi="Arial"/>
                <w:sz w:val="18"/>
                <w:szCs w:val="18"/>
                <w:color w:val="0563C1"/>
              </w:rPr>
            </w:pPr>
            <w:hyperlink r:id="rId338">
              <w:r>
                <w:rPr>
                  <w:rFonts w:ascii="Arial" w:cs="Arial" w:eastAsia="Arial" w:hAnsi="Arial"/>
                  <w:sz w:val="18"/>
                  <w:szCs w:val="18"/>
                  <w:color w:val="0563C1"/>
                </w:rPr>
                <w:t>Form of 2020 Equity Incentive Plan.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563C1"/>
            </w:tcBorders>
            <w:gridSpan w:val="16"/>
          </w:tcPr>
          <w:p>
            <w:pPr>
              <w:spacing w:after="0"/>
              <w:rPr>
                <w:rFonts w:ascii="Arial" w:cs="Arial" w:eastAsia="Arial" w:hAnsi="Arial"/>
                <w:sz w:val="18"/>
                <w:szCs w:val="18"/>
                <w:color w:val="0563C1"/>
                <w:w w:val="91"/>
              </w:rPr>
            </w:pPr>
            <w:hyperlink r:id="rId339">
              <w:r>
                <w:rPr>
                  <w:rFonts w:ascii="Arial" w:cs="Arial" w:eastAsia="Arial" w:hAnsi="Arial"/>
                  <w:sz w:val="18"/>
                  <w:szCs w:val="18"/>
                  <w:color w:val="0563C1"/>
                  <w:w w:val="91"/>
                </w:rPr>
                <w:t>Form of Share Option Grant Notice and Share Option</w:t>
              </w:r>
            </w:hyperlink>
          </w:p>
        </w:tc>
        <w:tc>
          <w:tcPr>
            <w:tcW w:w="700" w:type="dxa"/>
            <w:vAlign w:val="bottom"/>
            <w:gridSpan w:val="11"/>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Arial" w:cs="Arial" w:eastAsia="Arial" w:hAnsi="Arial"/>
                <w:sz w:val="18"/>
                <w:szCs w:val="18"/>
                <w:color w:val="0563C1"/>
              </w:rPr>
            </w:pPr>
            <w:hyperlink r:id="rId339">
              <w:r>
                <w:rPr>
                  <w:rFonts w:ascii="Arial" w:cs="Arial" w:eastAsia="Arial" w:hAnsi="Arial"/>
                  <w:sz w:val="18"/>
                  <w:szCs w:val="18"/>
                  <w:color w:val="0563C1"/>
                </w:rPr>
                <w:t>Agreement under the 2020 Equity Incentive Plan.</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563C1"/>
            </w:tcBorders>
            <w:gridSpan w:val="20"/>
          </w:tcPr>
          <w:p>
            <w:pPr>
              <w:spacing w:after="0"/>
              <w:rPr>
                <w:rFonts w:ascii="Arial" w:cs="Arial" w:eastAsia="Arial" w:hAnsi="Arial"/>
                <w:sz w:val="18"/>
                <w:szCs w:val="18"/>
                <w:color w:val="0563C1"/>
                <w:w w:val="91"/>
              </w:rPr>
            </w:pPr>
            <w:hyperlink r:id="rId340">
              <w:r>
                <w:rPr>
                  <w:rFonts w:ascii="Arial" w:cs="Arial" w:eastAsia="Arial" w:hAnsi="Arial"/>
                  <w:sz w:val="18"/>
                  <w:szCs w:val="18"/>
                  <w:color w:val="0563C1"/>
                  <w:w w:val="91"/>
                </w:rPr>
                <w:t>Form of Restricted Share Unit Grant Notice and Restricted</w:t>
              </w:r>
            </w:hyperlink>
          </w:p>
        </w:tc>
        <w:tc>
          <w:tcPr>
            <w:tcW w:w="32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563C1"/>
            </w:tcBorders>
            <w:gridSpan w:val="15"/>
          </w:tcPr>
          <w:p>
            <w:pPr>
              <w:spacing w:after="0" w:line="196" w:lineRule="exact"/>
              <w:rPr>
                <w:rFonts w:ascii="Arial" w:cs="Arial" w:eastAsia="Arial" w:hAnsi="Arial"/>
                <w:sz w:val="18"/>
                <w:szCs w:val="18"/>
                <w:color w:val="0563C1"/>
                <w:w w:val="91"/>
              </w:rPr>
            </w:pPr>
            <w:hyperlink r:id="rId340">
              <w:r>
                <w:rPr>
                  <w:rFonts w:ascii="Arial" w:cs="Arial" w:eastAsia="Arial" w:hAnsi="Arial"/>
                  <w:sz w:val="18"/>
                  <w:szCs w:val="18"/>
                  <w:color w:val="0563C1"/>
                  <w:w w:val="91"/>
                </w:rPr>
                <w:t>Share Unit Award Agreement under the 2020 Equity</w:t>
              </w:r>
            </w:hyperlink>
          </w:p>
        </w:tc>
        <w:tc>
          <w:tcPr>
            <w:tcW w:w="780" w:type="dxa"/>
            <w:vAlign w:val="bottom"/>
            <w:gridSpan w:val="1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Arial" w:cs="Arial" w:eastAsia="Arial" w:hAnsi="Arial"/>
                <w:sz w:val="18"/>
                <w:szCs w:val="18"/>
                <w:color w:val="0563C1"/>
              </w:rPr>
            </w:pPr>
            <w:hyperlink r:id="rId340">
              <w:r>
                <w:rPr>
                  <w:rFonts w:ascii="Arial" w:cs="Arial" w:eastAsia="Arial" w:hAnsi="Arial"/>
                  <w:sz w:val="18"/>
                  <w:szCs w:val="18"/>
                  <w:color w:val="0563C1"/>
                </w:rPr>
                <w:t>Incentive Plan.</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563C1"/>
            </w:tcBorders>
            <w:gridSpan w:val="11"/>
          </w:tcPr>
          <w:p>
            <w:pPr>
              <w:spacing w:after="0"/>
              <w:rPr>
                <w:rFonts w:ascii="Arial" w:cs="Arial" w:eastAsia="Arial" w:hAnsi="Arial"/>
                <w:sz w:val="18"/>
                <w:szCs w:val="18"/>
                <w:color w:val="0563C1"/>
                <w:w w:val="88"/>
              </w:rPr>
            </w:pPr>
            <w:hyperlink r:id="rId341">
              <w:r>
                <w:rPr>
                  <w:rFonts w:ascii="Arial" w:cs="Arial" w:eastAsia="Arial" w:hAnsi="Arial"/>
                  <w:sz w:val="18"/>
                  <w:szCs w:val="18"/>
                  <w:color w:val="0563C1"/>
                  <w:w w:val="88"/>
                </w:rPr>
                <w:t>Form of 2020 Employee Share Purchase Plan.</w:t>
              </w:r>
            </w:hyperlink>
          </w:p>
        </w:tc>
        <w:tc>
          <w:tcPr>
            <w:tcW w:w="1280" w:type="dxa"/>
            <w:vAlign w:val="bottom"/>
            <w:gridSpan w:val="16"/>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563C1"/>
            </w:tcBorders>
            <w:gridSpan w:val="24"/>
          </w:tcPr>
          <w:p>
            <w:pPr>
              <w:spacing w:after="0"/>
              <w:rPr>
                <w:rFonts w:ascii="Arial" w:cs="Arial" w:eastAsia="Arial" w:hAnsi="Arial"/>
                <w:sz w:val="18"/>
                <w:szCs w:val="18"/>
                <w:color w:val="0563C1"/>
                <w:w w:val="91"/>
              </w:rPr>
            </w:pPr>
            <w:hyperlink r:id="rId342">
              <w:r>
                <w:rPr>
                  <w:rFonts w:ascii="Arial" w:cs="Arial" w:eastAsia="Arial" w:hAnsi="Arial"/>
                  <w:sz w:val="18"/>
                  <w:szCs w:val="18"/>
                  <w:color w:val="0563C1"/>
                  <w:w w:val="91"/>
                </w:rPr>
                <w:t>Form of Indemnity Agreement by and between the registrant</w:t>
              </w:r>
            </w:hyperlink>
          </w:p>
        </w:tc>
        <w:tc>
          <w:tcPr>
            <w:tcW w:w="18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563C1"/>
            </w:tcBorders>
            <w:gridSpan w:val="6"/>
          </w:tcPr>
          <w:p>
            <w:pPr>
              <w:spacing w:after="0" w:line="196" w:lineRule="exact"/>
              <w:rPr>
                <w:rFonts w:ascii="Arial" w:cs="Arial" w:eastAsia="Arial" w:hAnsi="Arial"/>
                <w:sz w:val="18"/>
                <w:szCs w:val="18"/>
                <w:color w:val="0563C1"/>
                <w:w w:val="89"/>
              </w:rPr>
            </w:pPr>
            <w:hyperlink r:id="rId342">
              <w:r>
                <w:rPr>
                  <w:rFonts w:ascii="Arial" w:cs="Arial" w:eastAsia="Arial" w:hAnsi="Arial"/>
                  <w:sz w:val="18"/>
                  <w:szCs w:val="18"/>
                  <w:color w:val="0563C1"/>
                  <w:w w:val="89"/>
                </w:rPr>
                <w:t>and its directors and officers.</w:t>
              </w:r>
            </w:hyperlink>
          </w:p>
        </w:tc>
        <w:tc>
          <w:tcPr>
            <w:tcW w:w="2520" w:type="dxa"/>
            <w:vAlign w:val="bottom"/>
            <w:gridSpan w:val="21"/>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563C1"/>
            </w:tcBorders>
            <w:gridSpan w:val="25"/>
          </w:tcPr>
          <w:p>
            <w:pPr>
              <w:spacing w:after="0"/>
              <w:rPr>
                <w:rFonts w:ascii="Arial" w:cs="Arial" w:eastAsia="Arial" w:hAnsi="Arial"/>
                <w:sz w:val="18"/>
                <w:szCs w:val="18"/>
                <w:color w:val="0563C1"/>
                <w:w w:val="91"/>
              </w:rPr>
            </w:pPr>
            <w:hyperlink r:id="rId343">
              <w:r>
                <w:rPr>
                  <w:rFonts w:ascii="Arial" w:cs="Arial" w:eastAsia="Arial" w:hAnsi="Arial"/>
                  <w:sz w:val="18"/>
                  <w:szCs w:val="18"/>
                  <w:color w:val="0563C1"/>
                  <w:w w:val="91"/>
                </w:rPr>
                <w:t>Employment Agreement between the registrant and Lloyd M.</w:t>
              </w:r>
            </w:hyperlink>
          </w:p>
        </w:tc>
        <w:tc>
          <w:tcPr>
            <w:tcW w:w="14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Arial" w:cs="Arial" w:eastAsia="Arial" w:hAnsi="Arial"/>
                <w:sz w:val="18"/>
                <w:szCs w:val="18"/>
                <w:color w:val="0563C1"/>
              </w:rPr>
            </w:pPr>
            <w:hyperlink r:id="rId343">
              <w:r>
                <w:rPr>
                  <w:rFonts w:ascii="Arial" w:cs="Arial" w:eastAsia="Arial" w:hAnsi="Arial"/>
                  <w:sz w:val="18"/>
                  <w:szCs w:val="18"/>
                  <w:color w:val="0563C1"/>
                </w:rPr>
                <w:t>Segal, dated June 12, 2020.</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0563C1"/>
            </w:tcBorders>
            <w:gridSpan w:val="23"/>
          </w:tcPr>
          <w:p>
            <w:pPr>
              <w:spacing w:after="0"/>
              <w:rPr>
                <w:rFonts w:ascii="Arial" w:cs="Arial" w:eastAsia="Arial" w:hAnsi="Arial"/>
                <w:sz w:val="18"/>
                <w:szCs w:val="18"/>
                <w:color w:val="0563C1"/>
                <w:w w:val="91"/>
              </w:rPr>
            </w:pPr>
            <w:hyperlink r:id="rId344">
              <w:r>
                <w:rPr>
                  <w:rFonts w:ascii="Arial" w:cs="Arial" w:eastAsia="Arial" w:hAnsi="Arial"/>
                  <w:sz w:val="18"/>
                  <w:szCs w:val="18"/>
                  <w:color w:val="0563C1"/>
                  <w:w w:val="91"/>
                </w:rPr>
                <w:t>Employment Agreement between the registrant and Michael</w:t>
              </w:r>
            </w:hyperlink>
          </w:p>
        </w:tc>
        <w:tc>
          <w:tcPr>
            <w:tcW w:w="22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Arial" w:cs="Arial" w:eastAsia="Arial" w:hAnsi="Arial"/>
                <w:sz w:val="18"/>
                <w:szCs w:val="18"/>
                <w:color w:val="0563C1"/>
              </w:rPr>
            </w:pPr>
            <w:hyperlink r:id="rId344">
              <w:r>
                <w:rPr>
                  <w:rFonts w:ascii="Arial" w:cs="Arial" w:eastAsia="Arial" w:hAnsi="Arial"/>
                  <w:sz w:val="18"/>
                  <w:szCs w:val="18"/>
                  <w:color w:val="0563C1"/>
                </w:rPr>
                <w:t>Zinda, dated June 12, 2020.</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563C1"/>
            </w:tcBorders>
            <w:gridSpan w:val="18"/>
          </w:tcPr>
          <w:p>
            <w:pPr>
              <w:spacing w:after="0"/>
              <w:rPr>
                <w:rFonts w:ascii="Arial" w:cs="Arial" w:eastAsia="Arial" w:hAnsi="Arial"/>
                <w:sz w:val="18"/>
                <w:szCs w:val="18"/>
                <w:color w:val="0563C1"/>
                <w:w w:val="91"/>
              </w:rPr>
            </w:pPr>
            <w:hyperlink r:id="rId345">
              <w:r>
                <w:rPr>
                  <w:rFonts w:ascii="Arial" w:cs="Arial" w:eastAsia="Arial" w:hAnsi="Arial"/>
                  <w:sz w:val="18"/>
                  <w:szCs w:val="18"/>
                  <w:color w:val="0563C1"/>
                  <w:w w:val="91"/>
                </w:rPr>
                <w:t>Employment Agreement between the registrant and Maria</w:t>
              </w:r>
            </w:hyperlink>
          </w:p>
        </w:tc>
        <w:tc>
          <w:tcPr>
            <w:tcW w:w="380" w:type="dxa"/>
            <w:vAlign w:val="bottom"/>
            <w:gridSpan w:val="9"/>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333-238822</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563C1"/>
            </w:tcBorders>
            <w:gridSpan w:val="7"/>
          </w:tcPr>
          <w:p>
            <w:pPr>
              <w:spacing w:after="0" w:line="196" w:lineRule="exact"/>
              <w:rPr>
                <w:rFonts w:ascii="Arial" w:cs="Arial" w:eastAsia="Arial" w:hAnsi="Arial"/>
                <w:sz w:val="18"/>
                <w:szCs w:val="18"/>
                <w:color w:val="0563C1"/>
                <w:w w:val="87"/>
              </w:rPr>
            </w:pPr>
            <w:hyperlink r:id="rId345">
              <w:r>
                <w:rPr>
                  <w:rFonts w:ascii="Arial" w:cs="Arial" w:eastAsia="Arial" w:hAnsi="Arial"/>
                  <w:sz w:val="18"/>
                  <w:szCs w:val="18"/>
                  <w:color w:val="0563C1"/>
                  <w:w w:val="87"/>
                </w:rPr>
                <w:t>Koehler, dated June 12, 2020.</w:t>
              </w:r>
            </w:hyperlink>
          </w:p>
        </w:tc>
        <w:tc>
          <w:tcPr>
            <w:tcW w:w="2460" w:type="dxa"/>
            <w:vAlign w:val="bottom"/>
            <w:gridSpan w:val="20"/>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4740" w:type="dxa"/>
            <w:vAlign w:val="bottom"/>
            <w:gridSpan w:val="29"/>
          </w:tcPr>
          <w:p>
            <w:pPr>
              <w:jc w:val="right"/>
              <w:ind w:right="20"/>
              <w:spacing w:after="0"/>
              <w:rPr>
                <w:sz w:val="20"/>
                <w:szCs w:val="20"/>
                <w:color w:val="auto"/>
              </w:rPr>
            </w:pPr>
            <w:r>
              <w:rPr>
                <w:rFonts w:ascii="Arial" w:cs="Arial" w:eastAsia="Arial" w:hAnsi="Arial"/>
                <w:sz w:val="18"/>
                <w:szCs w:val="18"/>
                <w:color w:val="auto"/>
              </w:rPr>
              <w:t>165</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Arial" w:cs="Arial" w:eastAsia="Arial" w:hAnsi="Arial"/>
                <w:sz w:val="19"/>
                <w:szCs w:val="19"/>
                <w:color w:val="auto"/>
              </w:rPr>
              <w:t>10.11</w:t>
            </w:r>
          </w:p>
        </w:tc>
        <w:tc>
          <w:tcPr>
            <w:tcW w:w="4220" w:type="dxa"/>
            <w:vAlign w:val="bottom"/>
            <w:tcBorders>
              <w:bottom w:val="single" w:sz="8" w:color="0563C1"/>
            </w:tcBorders>
            <w:gridSpan w:val="10"/>
          </w:tcPr>
          <w:p>
            <w:pPr>
              <w:spacing w:after="0"/>
              <w:rPr>
                <w:rFonts w:ascii="Arial" w:cs="Arial" w:eastAsia="Arial" w:hAnsi="Arial"/>
                <w:sz w:val="18"/>
                <w:szCs w:val="18"/>
                <w:color w:val="0563C1"/>
                <w:w w:val="90"/>
              </w:rPr>
            </w:pPr>
            <w:hyperlink r:id="rId348">
              <w:r>
                <w:rPr>
                  <w:rFonts w:ascii="Arial" w:cs="Arial" w:eastAsia="Arial" w:hAnsi="Arial"/>
                  <w:sz w:val="18"/>
                  <w:szCs w:val="18"/>
                  <w:color w:val="0563C1"/>
                  <w:w w:val="90"/>
                </w:rPr>
                <w:t>Employment Agreement between the registrant and Steve</w:t>
              </w:r>
            </w:hyperlink>
          </w:p>
        </w:tc>
        <w:tc>
          <w:tcPr>
            <w:tcW w:w="26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rPr>
            </w:pPr>
            <w:hyperlink r:id="rId348">
              <w:r>
                <w:rPr>
                  <w:rFonts w:ascii="Arial" w:cs="Arial" w:eastAsia="Arial" w:hAnsi="Arial"/>
                  <w:sz w:val="18"/>
                  <w:szCs w:val="18"/>
                  <w:color w:val="0563C1"/>
                </w:rPr>
                <w:t>Forte, dated June 12,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3780" w:type="dxa"/>
            <w:vAlign w:val="bottom"/>
            <w:tcBorders>
              <w:bottom w:val="single" w:sz="8" w:color="0563C1"/>
            </w:tcBorders>
            <w:gridSpan w:val="8"/>
          </w:tcPr>
          <w:p>
            <w:pPr>
              <w:spacing w:after="0"/>
              <w:rPr>
                <w:rFonts w:ascii="Arial" w:cs="Arial" w:eastAsia="Arial" w:hAnsi="Arial"/>
                <w:sz w:val="18"/>
                <w:szCs w:val="18"/>
                <w:color w:val="0563C1"/>
                <w:w w:val="89"/>
              </w:rPr>
            </w:pPr>
            <w:hyperlink r:id="rId349">
              <w:r>
                <w:rPr>
                  <w:rFonts w:ascii="Arial" w:cs="Arial" w:eastAsia="Arial" w:hAnsi="Arial"/>
                  <w:sz w:val="18"/>
                  <w:szCs w:val="18"/>
                  <w:color w:val="0563C1"/>
                  <w:w w:val="89"/>
                </w:rPr>
                <w:t>Lease Agreement by and between the registrant and</w:t>
              </w:r>
            </w:hyperlink>
          </w:p>
        </w:tc>
        <w:tc>
          <w:tcPr>
            <w:tcW w:w="70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563C1"/>
            </w:tcBorders>
            <w:gridSpan w:val="15"/>
          </w:tcPr>
          <w:p>
            <w:pPr>
              <w:spacing w:after="0" w:line="196" w:lineRule="exact"/>
              <w:rPr>
                <w:rFonts w:ascii="Arial" w:cs="Arial" w:eastAsia="Arial" w:hAnsi="Arial"/>
                <w:sz w:val="18"/>
                <w:szCs w:val="18"/>
                <w:color w:val="0563C1"/>
                <w:w w:val="91"/>
              </w:rPr>
            </w:pPr>
            <w:hyperlink r:id="rId349">
              <w:r>
                <w:rPr>
                  <w:rFonts w:ascii="Arial" w:cs="Arial" w:eastAsia="Arial" w:hAnsi="Arial"/>
                  <w:sz w:val="18"/>
                  <w:szCs w:val="18"/>
                  <w:color w:val="0563C1"/>
                  <w:w w:val="91"/>
                </w:rPr>
                <w:t>NEOMED Institute, dated November 26, 2019, as amended</w:t>
              </w:r>
            </w:hyperlink>
          </w:p>
        </w:tc>
        <w:tc>
          <w:tcPr>
            <w:tcW w:w="1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rPr>
            </w:pPr>
            <w:hyperlink r:id="rId349">
              <w:r>
                <w:rPr>
                  <w:rFonts w:ascii="Arial" w:cs="Arial" w:eastAsia="Arial" w:hAnsi="Arial"/>
                  <w:sz w:val="18"/>
                  <w:szCs w:val="18"/>
                  <w:color w:val="0563C1"/>
                </w:rPr>
                <w:t>June 5,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4420" w:type="dxa"/>
            <w:vAlign w:val="bottom"/>
            <w:tcBorders>
              <w:bottom w:val="single" w:sz="8" w:color="0563C1"/>
            </w:tcBorders>
            <w:gridSpan w:val="18"/>
          </w:tcPr>
          <w:p>
            <w:pPr>
              <w:spacing w:after="0"/>
              <w:rPr>
                <w:rFonts w:ascii="Arial" w:cs="Arial" w:eastAsia="Arial" w:hAnsi="Arial"/>
                <w:sz w:val="18"/>
                <w:szCs w:val="18"/>
                <w:color w:val="0563C1"/>
                <w:w w:val="90"/>
              </w:rPr>
            </w:pPr>
            <w:hyperlink r:id="rId350">
              <w:r>
                <w:rPr>
                  <w:rFonts w:ascii="Arial" w:cs="Arial" w:eastAsia="Arial" w:hAnsi="Arial"/>
                  <w:sz w:val="18"/>
                  <w:szCs w:val="18"/>
                  <w:color w:val="0563C1"/>
                  <w:w w:val="90"/>
                </w:rPr>
                <w:t>Research Services, License and Collaboration Agreement by</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tcBorders>
              <w:bottom w:val="single" w:sz="8" w:color="0563C1"/>
            </w:tcBorders>
            <w:gridSpan w:val="20"/>
          </w:tcPr>
          <w:p>
            <w:pPr>
              <w:spacing w:after="0" w:line="196" w:lineRule="exact"/>
              <w:rPr>
                <w:rFonts w:ascii="Arial" w:cs="Arial" w:eastAsia="Arial" w:hAnsi="Arial"/>
                <w:sz w:val="18"/>
                <w:szCs w:val="18"/>
                <w:color w:val="0563C1"/>
                <w:w w:val="90"/>
              </w:rPr>
            </w:pPr>
            <w:hyperlink r:id="rId350">
              <w:r>
                <w:rPr>
                  <w:rFonts w:ascii="Arial" w:cs="Arial" w:eastAsia="Arial" w:hAnsi="Arial"/>
                  <w:sz w:val="18"/>
                  <w:szCs w:val="18"/>
                  <w:color w:val="0563C1"/>
                  <w:w w:val="90"/>
                </w:rPr>
                <w:t>and between the registrant and Ono Pharmaceutical Co., Ltd.,</w:t>
              </w:r>
            </w:hyperlink>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rPr>
            </w:pPr>
            <w:hyperlink r:id="rId350">
              <w:r>
                <w:rPr>
                  <w:rFonts w:ascii="Arial" w:cs="Arial" w:eastAsia="Arial" w:hAnsi="Arial"/>
                  <w:sz w:val="18"/>
                  <w:szCs w:val="18"/>
                  <w:color w:val="0563C1"/>
                </w:rPr>
                <w:t>dated January 31, 2019.</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4340" w:type="dxa"/>
            <w:vAlign w:val="bottom"/>
            <w:tcBorders>
              <w:bottom w:val="single" w:sz="8" w:color="0563C1"/>
            </w:tcBorders>
            <w:gridSpan w:val="14"/>
          </w:tcPr>
          <w:p>
            <w:pPr>
              <w:spacing w:after="0"/>
              <w:rPr>
                <w:rFonts w:ascii="Arial" w:cs="Arial" w:eastAsia="Arial" w:hAnsi="Arial"/>
                <w:sz w:val="18"/>
                <w:szCs w:val="18"/>
                <w:color w:val="0563C1"/>
                <w:w w:val="89"/>
              </w:rPr>
            </w:pPr>
            <w:hyperlink r:id="rId351">
              <w:r>
                <w:rPr>
                  <w:rFonts w:ascii="Arial" w:cs="Arial" w:eastAsia="Arial" w:hAnsi="Arial"/>
                  <w:sz w:val="18"/>
                  <w:szCs w:val="18"/>
                  <w:color w:val="0563C1"/>
                  <w:w w:val="89"/>
                </w:rPr>
                <w:t>Amended and Restated License Agreement by and between</w:t>
              </w:r>
            </w:hyperlink>
          </w:p>
        </w:tc>
        <w:tc>
          <w:tcPr>
            <w:tcW w:w="1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w w:val="95"/>
              </w:rPr>
            </w:pPr>
            <w:hyperlink r:id="rId351">
              <w:r>
                <w:rPr>
                  <w:rFonts w:ascii="Arial" w:cs="Arial" w:eastAsia="Arial" w:hAnsi="Arial"/>
                  <w:sz w:val="18"/>
                  <w:szCs w:val="18"/>
                  <w:color w:val="0563C1"/>
                  <w:w w:val="95"/>
                </w:rPr>
                <w:t>the registrant and New York University, dated July 9, 2018.</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4240" w:type="dxa"/>
            <w:vAlign w:val="bottom"/>
            <w:tcBorders>
              <w:top w:val="single" w:sz="8" w:color="0563C1"/>
              <w:bottom w:val="single" w:sz="8" w:color="0563C1"/>
            </w:tcBorders>
            <w:gridSpan w:val="11"/>
          </w:tcPr>
          <w:p>
            <w:pPr>
              <w:spacing w:after="0"/>
              <w:rPr>
                <w:rFonts w:ascii="Arial" w:cs="Arial" w:eastAsia="Arial" w:hAnsi="Arial"/>
                <w:sz w:val="18"/>
                <w:szCs w:val="18"/>
                <w:color w:val="0563C1"/>
                <w:w w:val="91"/>
              </w:rPr>
            </w:pPr>
            <w:hyperlink r:id="rId352">
              <w:r>
                <w:rPr>
                  <w:rFonts w:ascii="Arial" w:cs="Arial" w:eastAsia="Arial" w:hAnsi="Arial"/>
                  <w:sz w:val="18"/>
                  <w:szCs w:val="18"/>
                  <w:color w:val="0563C1"/>
                  <w:w w:val="91"/>
                </w:rPr>
                <w:t>Collaboration and License Agreement by and between the</w:t>
              </w:r>
            </w:hyperlink>
          </w:p>
        </w:tc>
        <w:tc>
          <w:tcPr>
            <w:tcW w:w="40" w:type="dxa"/>
            <w:vAlign w:val="bottom"/>
            <w:tcBorders>
              <w:top w:val="single" w:sz="8" w:color="0563C1"/>
            </w:tcBorders>
          </w:tcPr>
          <w:p>
            <w:pPr>
              <w:spacing w:after="0"/>
              <w:rPr>
                <w:sz w:val="24"/>
                <w:szCs w:val="24"/>
                <w:color w:val="auto"/>
              </w:rPr>
            </w:pPr>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00" w:type="dxa"/>
            <w:vAlign w:val="bottom"/>
            <w:tcBorders>
              <w:bottom w:val="single" w:sz="8" w:color="0563C1"/>
            </w:tcBorders>
            <w:gridSpan w:val="17"/>
          </w:tcPr>
          <w:p>
            <w:pPr>
              <w:spacing w:after="0" w:line="196" w:lineRule="exact"/>
              <w:rPr>
                <w:rFonts w:ascii="Arial" w:cs="Arial" w:eastAsia="Arial" w:hAnsi="Arial"/>
                <w:sz w:val="18"/>
                <w:szCs w:val="18"/>
                <w:color w:val="0563C1"/>
                <w:w w:val="92"/>
              </w:rPr>
            </w:pPr>
            <w:hyperlink r:id="rId352">
              <w:r>
                <w:rPr>
                  <w:rFonts w:ascii="Arial" w:cs="Arial" w:eastAsia="Arial" w:hAnsi="Arial"/>
                  <w:sz w:val="18"/>
                  <w:szCs w:val="18"/>
                  <w:color w:val="0563C1"/>
                  <w:w w:val="92"/>
                </w:rPr>
                <w:t>registrant, Repare Therapeutics USA Inc. and Bristol-Myers</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rPr>
            </w:pPr>
            <w:hyperlink r:id="rId352">
              <w:r>
                <w:rPr>
                  <w:rFonts w:ascii="Arial" w:cs="Arial" w:eastAsia="Arial" w:hAnsi="Arial"/>
                  <w:sz w:val="18"/>
                  <w:szCs w:val="18"/>
                  <w:color w:val="0563C1"/>
                </w:rPr>
                <w:t>Squibb Company, dated May 26,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420" w:type="dxa"/>
            <w:vAlign w:val="bottom"/>
            <w:gridSpan w:val="3"/>
            <w:shd w:val="clear" w:color="auto" w:fill="0563C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4480" w:type="dxa"/>
            <w:vAlign w:val="bottom"/>
            <w:tcBorders>
              <w:bottom w:val="single" w:sz="8" w:color="0563C1"/>
            </w:tcBorders>
            <w:gridSpan w:val="20"/>
          </w:tcPr>
          <w:p>
            <w:pPr>
              <w:spacing w:after="0"/>
              <w:rPr>
                <w:rFonts w:ascii="Arial" w:cs="Arial" w:eastAsia="Arial" w:hAnsi="Arial"/>
                <w:sz w:val="18"/>
                <w:szCs w:val="18"/>
                <w:color w:val="0563C1"/>
                <w:w w:val="91"/>
              </w:rPr>
            </w:pPr>
            <w:hyperlink r:id="rId353">
              <w:r>
                <w:rPr>
                  <w:rFonts w:ascii="Arial" w:cs="Arial" w:eastAsia="Arial" w:hAnsi="Arial"/>
                  <w:sz w:val="18"/>
                  <w:szCs w:val="18"/>
                  <w:color w:val="0563C1"/>
                  <w:w w:val="91"/>
                </w:rPr>
                <w:t>First Amendment to Collaboration and License Agreement by</w:t>
              </w:r>
            </w:hyperlink>
          </w:p>
        </w:tc>
      </w:tr>
      <w:tr>
        <w:trPr>
          <w:trHeight w:val="196"/>
        </w:trPr>
        <w:tc>
          <w:tcPr>
            <w:tcW w:w="1140" w:type="dxa"/>
            <w:vAlign w:val="bottom"/>
          </w:tcPr>
          <w:p>
            <w:pPr>
              <w:spacing w:after="0"/>
              <w:rPr>
                <w:sz w:val="17"/>
                <w:szCs w:val="17"/>
                <w:color w:val="auto"/>
              </w:rPr>
            </w:pPr>
          </w:p>
        </w:tc>
        <w:tc>
          <w:tcPr>
            <w:tcW w:w="4240" w:type="dxa"/>
            <w:vAlign w:val="bottom"/>
            <w:tcBorders>
              <w:bottom w:val="single" w:sz="8" w:color="0563C1"/>
            </w:tcBorders>
            <w:gridSpan w:val="11"/>
          </w:tcPr>
          <w:p>
            <w:pPr>
              <w:spacing w:after="0" w:line="196" w:lineRule="exact"/>
              <w:rPr>
                <w:rFonts w:ascii="Arial" w:cs="Arial" w:eastAsia="Arial" w:hAnsi="Arial"/>
                <w:sz w:val="18"/>
                <w:szCs w:val="18"/>
                <w:color w:val="0563C1"/>
                <w:w w:val="90"/>
              </w:rPr>
            </w:pPr>
            <w:hyperlink r:id="rId353">
              <w:r>
                <w:rPr>
                  <w:rFonts w:ascii="Arial" w:cs="Arial" w:eastAsia="Arial" w:hAnsi="Arial"/>
                  <w:sz w:val="18"/>
                  <w:szCs w:val="18"/>
                  <w:color w:val="0563C1"/>
                  <w:w w:val="90"/>
                </w:rPr>
                <w:t>and between the registrant, Repare Therapeutics USA Inc.</w:t>
              </w:r>
            </w:hyperlink>
          </w:p>
        </w:tc>
        <w:tc>
          <w:tcPr>
            <w:tcW w:w="24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563C1"/>
            </w:tcBorders>
            <w:gridSpan w:val="9"/>
          </w:tcPr>
          <w:p>
            <w:pPr>
              <w:spacing w:after="0" w:line="196" w:lineRule="exact"/>
              <w:rPr>
                <w:rFonts w:ascii="Arial" w:cs="Arial" w:eastAsia="Arial" w:hAnsi="Arial"/>
                <w:sz w:val="18"/>
                <w:szCs w:val="18"/>
                <w:color w:val="0563C1"/>
                <w:w w:val="90"/>
              </w:rPr>
            </w:pPr>
            <w:hyperlink r:id="rId353">
              <w:r>
                <w:rPr>
                  <w:rFonts w:ascii="Arial" w:cs="Arial" w:eastAsia="Arial" w:hAnsi="Arial"/>
                  <w:sz w:val="18"/>
                  <w:szCs w:val="18"/>
                  <w:color w:val="0563C1"/>
                  <w:w w:val="90"/>
                </w:rPr>
                <w:t>and Bristol-Myers Squibb Company, dated July 22, 2020.</w:t>
              </w:r>
            </w:hyperlink>
          </w:p>
        </w:tc>
        <w:tc>
          <w:tcPr>
            <w:tcW w:w="320" w:type="dxa"/>
            <w:vAlign w:val="bottom"/>
            <w:gridSpan w:val="11"/>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4480" w:type="dxa"/>
            <w:vAlign w:val="bottom"/>
            <w:tcBorders>
              <w:bottom w:val="single" w:sz="8" w:color="0563C1"/>
            </w:tcBorders>
            <w:gridSpan w:val="20"/>
          </w:tcPr>
          <w:p>
            <w:pPr>
              <w:spacing w:after="0"/>
              <w:rPr>
                <w:rFonts w:ascii="Arial" w:cs="Arial" w:eastAsia="Arial" w:hAnsi="Arial"/>
                <w:sz w:val="18"/>
                <w:szCs w:val="18"/>
                <w:color w:val="0563C1"/>
                <w:w w:val="91"/>
              </w:rPr>
            </w:pPr>
            <w:hyperlink r:id="rId354">
              <w:r>
                <w:rPr>
                  <w:rFonts w:ascii="Arial" w:cs="Arial" w:eastAsia="Arial" w:hAnsi="Arial"/>
                  <w:sz w:val="18"/>
                  <w:szCs w:val="18"/>
                  <w:color w:val="0563C1"/>
                  <w:w w:val="91"/>
                </w:rPr>
                <w:t>Second Amendment to Collaboration and License Agreement</w:t>
              </w:r>
            </w:hyperlink>
          </w:p>
        </w:tc>
      </w:tr>
      <w:tr>
        <w:trPr>
          <w:trHeight w:val="196"/>
        </w:trPr>
        <w:tc>
          <w:tcPr>
            <w:tcW w:w="1140" w:type="dxa"/>
            <w:vAlign w:val="bottom"/>
          </w:tcPr>
          <w:p>
            <w:pPr>
              <w:spacing w:after="0"/>
              <w:rPr>
                <w:sz w:val="17"/>
                <w:szCs w:val="17"/>
                <w:color w:val="auto"/>
              </w:rPr>
            </w:pPr>
          </w:p>
        </w:tc>
        <w:tc>
          <w:tcPr>
            <w:tcW w:w="4480" w:type="dxa"/>
            <w:vAlign w:val="bottom"/>
            <w:tcBorders>
              <w:bottom w:val="single" w:sz="8" w:color="0563C1"/>
            </w:tcBorders>
            <w:gridSpan w:val="20"/>
          </w:tcPr>
          <w:p>
            <w:pPr>
              <w:spacing w:after="0" w:line="196" w:lineRule="exact"/>
              <w:rPr>
                <w:rFonts w:ascii="Arial" w:cs="Arial" w:eastAsia="Arial" w:hAnsi="Arial"/>
                <w:sz w:val="18"/>
                <w:szCs w:val="18"/>
                <w:color w:val="0563C1"/>
                <w:w w:val="90"/>
              </w:rPr>
            </w:pPr>
            <w:hyperlink r:id="rId354">
              <w:r>
                <w:rPr>
                  <w:rFonts w:ascii="Arial" w:cs="Arial" w:eastAsia="Arial" w:hAnsi="Arial"/>
                  <w:sz w:val="18"/>
                  <w:szCs w:val="18"/>
                  <w:color w:val="0563C1"/>
                  <w:w w:val="90"/>
                </w:rPr>
                <w:t>by and between the registrant, Repare Therapeutics USA Inc.</w:t>
              </w:r>
            </w:hyperlink>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w w:val="96"/>
              </w:rPr>
            </w:pPr>
            <w:hyperlink r:id="rId354">
              <w:r>
                <w:rPr>
                  <w:rFonts w:ascii="Arial" w:cs="Arial" w:eastAsia="Arial" w:hAnsi="Arial"/>
                  <w:sz w:val="18"/>
                  <w:szCs w:val="18"/>
                  <w:color w:val="0563C1"/>
                  <w:w w:val="96"/>
                </w:rPr>
                <w:t>and Bristol-Myers Squibb Company, dated September 24,</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563C1"/>
              <w:bottom w:val="single" w:sz="8" w:color="0563C1"/>
            </w:tcBorders>
          </w:tcPr>
          <w:p>
            <w:pPr>
              <w:spacing w:after="0" w:line="196" w:lineRule="exact"/>
              <w:rPr>
                <w:rFonts w:ascii="Arial" w:cs="Arial" w:eastAsia="Arial" w:hAnsi="Arial"/>
                <w:sz w:val="18"/>
                <w:szCs w:val="18"/>
                <w:color w:val="0563C1"/>
                <w:w w:val="88"/>
              </w:rPr>
            </w:pPr>
            <w:hyperlink r:id="rId354">
              <w:r>
                <w:rPr>
                  <w:rFonts w:ascii="Arial" w:cs="Arial" w:eastAsia="Arial" w:hAnsi="Arial"/>
                  <w:sz w:val="18"/>
                  <w:szCs w:val="18"/>
                  <w:color w:val="0563C1"/>
                  <w:w w:val="88"/>
                </w:rPr>
                <w:t>2020.</w:t>
              </w:r>
            </w:hyperlink>
          </w:p>
        </w:tc>
        <w:tc>
          <w:tcPr>
            <w:tcW w:w="26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860" w:type="dxa"/>
            <w:vAlign w:val="bottom"/>
            <w:tcBorders>
              <w:top w:val="single" w:sz="8" w:color="0563C1"/>
            </w:tcBorders>
          </w:tcPr>
          <w:p>
            <w:pPr>
              <w:spacing w:after="0"/>
              <w:rPr>
                <w:sz w:val="17"/>
                <w:szCs w:val="17"/>
                <w:color w:val="auto"/>
              </w:rPr>
            </w:pPr>
          </w:p>
        </w:tc>
        <w:tc>
          <w:tcPr>
            <w:tcW w:w="960" w:type="dxa"/>
            <w:vAlign w:val="bottom"/>
            <w:tcBorders>
              <w:top w:val="single" w:sz="8" w:color="0563C1"/>
            </w:tcBorders>
          </w:tcPr>
          <w:p>
            <w:pPr>
              <w:spacing w:after="0"/>
              <w:rPr>
                <w:sz w:val="17"/>
                <w:szCs w:val="17"/>
                <w:color w:val="auto"/>
              </w:rPr>
            </w:pPr>
          </w:p>
        </w:tc>
        <w:tc>
          <w:tcPr>
            <w:tcW w:w="3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4460" w:type="dxa"/>
            <w:vAlign w:val="bottom"/>
            <w:tcBorders>
              <w:bottom w:val="single" w:sz="8" w:color="0563C1"/>
            </w:tcBorders>
            <w:gridSpan w:val="19"/>
          </w:tcPr>
          <w:p>
            <w:pPr>
              <w:spacing w:after="0"/>
              <w:rPr>
                <w:rFonts w:ascii="Arial" w:cs="Arial" w:eastAsia="Arial" w:hAnsi="Arial"/>
                <w:sz w:val="18"/>
                <w:szCs w:val="18"/>
                <w:color w:val="0563C1"/>
                <w:w w:val="90"/>
              </w:rPr>
            </w:pPr>
            <w:hyperlink r:id="rId355">
              <w:r>
                <w:rPr>
                  <w:rFonts w:ascii="Arial" w:cs="Arial" w:eastAsia="Arial" w:hAnsi="Arial"/>
                  <w:sz w:val="18"/>
                  <w:szCs w:val="18"/>
                  <w:color w:val="0563C1"/>
                  <w:w w:val="90"/>
                </w:rPr>
                <w:t>Second Amendment to Lease Agreement by and between the</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w w:val="93"/>
              </w:rPr>
            </w:pPr>
            <w:hyperlink r:id="rId355">
              <w:r>
                <w:rPr>
                  <w:rFonts w:ascii="Arial" w:cs="Arial" w:eastAsia="Arial" w:hAnsi="Arial"/>
                  <w:sz w:val="18"/>
                  <w:szCs w:val="18"/>
                  <w:color w:val="0563C1"/>
                  <w:w w:val="93"/>
                </w:rPr>
                <w:t>registrant, the registrant and NEOMED Institute, dated June</w:t>
              </w:r>
            </w:hyperlink>
          </w:p>
        </w:tc>
      </w:tr>
      <w:tr>
        <w:trPr>
          <w:trHeight w:val="196"/>
        </w:trPr>
        <w:tc>
          <w:tcPr>
            <w:tcW w:w="1140" w:type="dxa"/>
            <w:vAlign w:val="bottom"/>
          </w:tcPr>
          <w:p>
            <w:pPr>
              <w:spacing w:after="0"/>
              <w:rPr>
                <w:sz w:val="17"/>
                <w:szCs w:val="17"/>
                <w:color w:val="auto"/>
              </w:rPr>
            </w:pPr>
          </w:p>
        </w:tc>
        <w:tc>
          <w:tcPr>
            <w:tcW w:w="680" w:type="dxa"/>
            <w:vAlign w:val="bottom"/>
            <w:tcBorders>
              <w:top w:val="single" w:sz="8" w:color="0563C1"/>
              <w:bottom w:val="single" w:sz="8" w:color="0563C1"/>
            </w:tcBorders>
            <w:gridSpan w:val="2"/>
          </w:tcPr>
          <w:p>
            <w:pPr>
              <w:spacing w:after="0" w:line="196" w:lineRule="exact"/>
              <w:rPr>
                <w:rFonts w:ascii="Arial" w:cs="Arial" w:eastAsia="Arial" w:hAnsi="Arial"/>
                <w:sz w:val="18"/>
                <w:szCs w:val="18"/>
                <w:color w:val="0563C1"/>
                <w:w w:val="87"/>
              </w:rPr>
            </w:pPr>
            <w:hyperlink r:id="rId355">
              <w:r>
                <w:rPr>
                  <w:rFonts w:ascii="Arial" w:cs="Arial" w:eastAsia="Arial" w:hAnsi="Arial"/>
                  <w:sz w:val="18"/>
                  <w:szCs w:val="18"/>
                  <w:color w:val="0563C1"/>
                  <w:w w:val="87"/>
                </w:rPr>
                <w:t>11, 2020.</w:t>
              </w:r>
            </w:hyperlink>
          </w:p>
        </w:tc>
        <w:tc>
          <w:tcPr>
            <w:tcW w:w="28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860" w:type="dxa"/>
            <w:vAlign w:val="bottom"/>
            <w:tcBorders>
              <w:top w:val="single" w:sz="8" w:color="0563C1"/>
            </w:tcBorders>
          </w:tcPr>
          <w:p>
            <w:pPr>
              <w:spacing w:after="0"/>
              <w:rPr>
                <w:sz w:val="17"/>
                <w:szCs w:val="17"/>
                <w:color w:val="auto"/>
              </w:rPr>
            </w:pPr>
          </w:p>
        </w:tc>
        <w:tc>
          <w:tcPr>
            <w:tcW w:w="960" w:type="dxa"/>
            <w:vAlign w:val="bottom"/>
            <w:tcBorders>
              <w:top w:val="single" w:sz="8" w:color="0563C1"/>
            </w:tcBorders>
          </w:tcPr>
          <w:p>
            <w:pPr>
              <w:spacing w:after="0"/>
              <w:rPr>
                <w:sz w:val="17"/>
                <w:szCs w:val="17"/>
                <w:color w:val="auto"/>
              </w:rPr>
            </w:pPr>
          </w:p>
        </w:tc>
        <w:tc>
          <w:tcPr>
            <w:tcW w:w="3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4360" w:type="dxa"/>
            <w:vAlign w:val="bottom"/>
            <w:tcBorders>
              <w:bottom w:val="single" w:sz="8" w:color="0563C1"/>
            </w:tcBorders>
            <w:gridSpan w:val="15"/>
          </w:tcPr>
          <w:p>
            <w:pPr>
              <w:spacing w:after="0"/>
              <w:rPr>
                <w:rFonts w:ascii="Arial" w:cs="Arial" w:eastAsia="Arial" w:hAnsi="Arial"/>
                <w:sz w:val="18"/>
                <w:szCs w:val="18"/>
                <w:color w:val="0563C1"/>
                <w:w w:val="92"/>
              </w:rPr>
            </w:pPr>
            <w:hyperlink r:id="rId356">
              <w:r>
                <w:rPr>
                  <w:rFonts w:ascii="Arial" w:cs="Arial" w:eastAsia="Arial" w:hAnsi="Arial"/>
                  <w:sz w:val="18"/>
                  <w:szCs w:val="18"/>
                  <w:color w:val="0563C1"/>
                  <w:w w:val="92"/>
                </w:rPr>
                <w:t>Third Amendment to Collaboration and License Agreement</w:t>
              </w:r>
            </w:hyperlink>
          </w:p>
        </w:tc>
        <w:tc>
          <w:tcPr>
            <w:tcW w:w="12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tcBorders>
              <w:bottom w:val="single" w:sz="8" w:color="0563C1"/>
            </w:tcBorders>
            <w:gridSpan w:val="20"/>
          </w:tcPr>
          <w:p>
            <w:pPr>
              <w:spacing w:after="0" w:line="196" w:lineRule="exact"/>
              <w:rPr>
                <w:rFonts w:ascii="Arial" w:cs="Arial" w:eastAsia="Arial" w:hAnsi="Arial"/>
                <w:sz w:val="18"/>
                <w:szCs w:val="18"/>
                <w:color w:val="0563C1"/>
                <w:w w:val="90"/>
              </w:rPr>
            </w:pPr>
            <w:hyperlink r:id="rId356">
              <w:r>
                <w:rPr>
                  <w:rFonts w:ascii="Arial" w:cs="Arial" w:eastAsia="Arial" w:hAnsi="Arial"/>
                  <w:sz w:val="18"/>
                  <w:szCs w:val="18"/>
                  <w:color w:val="0563C1"/>
                  <w:w w:val="90"/>
                </w:rPr>
                <w:t>by and between the registrant, Repare Therapeutics USA Inc.</w:t>
              </w:r>
            </w:hyperlink>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w w:val="97"/>
              </w:rPr>
            </w:pPr>
            <w:hyperlink r:id="rId356">
              <w:r>
                <w:rPr>
                  <w:rFonts w:ascii="Arial" w:cs="Arial" w:eastAsia="Arial" w:hAnsi="Arial"/>
                  <w:sz w:val="18"/>
                  <w:szCs w:val="18"/>
                  <w:color w:val="0563C1"/>
                  <w:w w:val="97"/>
                </w:rPr>
                <w:t>and Bristol-Myers Squibb Company, dated November 20,</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563C1"/>
              <w:bottom w:val="single" w:sz="8" w:color="0563C1"/>
            </w:tcBorders>
          </w:tcPr>
          <w:p>
            <w:pPr>
              <w:spacing w:after="0" w:line="196" w:lineRule="exact"/>
              <w:rPr>
                <w:rFonts w:ascii="Arial" w:cs="Arial" w:eastAsia="Arial" w:hAnsi="Arial"/>
                <w:sz w:val="18"/>
                <w:szCs w:val="18"/>
                <w:color w:val="0563C1"/>
                <w:w w:val="88"/>
              </w:rPr>
            </w:pPr>
            <w:hyperlink r:id="rId356">
              <w:r>
                <w:rPr>
                  <w:rFonts w:ascii="Arial" w:cs="Arial" w:eastAsia="Arial" w:hAnsi="Arial"/>
                  <w:sz w:val="18"/>
                  <w:szCs w:val="18"/>
                  <w:color w:val="0563C1"/>
                  <w:w w:val="88"/>
                </w:rPr>
                <w:t>2020.</w:t>
              </w:r>
            </w:hyperlink>
          </w:p>
        </w:tc>
        <w:tc>
          <w:tcPr>
            <w:tcW w:w="26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860" w:type="dxa"/>
            <w:vAlign w:val="bottom"/>
            <w:tcBorders>
              <w:top w:val="single" w:sz="8" w:color="0563C1"/>
            </w:tcBorders>
          </w:tcPr>
          <w:p>
            <w:pPr>
              <w:spacing w:after="0"/>
              <w:rPr>
                <w:sz w:val="17"/>
                <w:szCs w:val="17"/>
                <w:color w:val="auto"/>
              </w:rPr>
            </w:pPr>
          </w:p>
        </w:tc>
        <w:tc>
          <w:tcPr>
            <w:tcW w:w="960" w:type="dxa"/>
            <w:vAlign w:val="bottom"/>
            <w:tcBorders>
              <w:top w:val="single" w:sz="8" w:color="0563C1"/>
            </w:tcBorders>
          </w:tcPr>
          <w:p>
            <w:pPr>
              <w:spacing w:after="0"/>
              <w:rPr>
                <w:sz w:val="17"/>
                <w:szCs w:val="17"/>
                <w:color w:val="auto"/>
              </w:rPr>
            </w:pPr>
          </w:p>
        </w:tc>
        <w:tc>
          <w:tcPr>
            <w:tcW w:w="3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3780" w:type="dxa"/>
            <w:vAlign w:val="bottom"/>
            <w:tcBorders>
              <w:bottom w:val="single" w:sz="8" w:color="0563C1"/>
            </w:tcBorders>
            <w:gridSpan w:val="8"/>
          </w:tcPr>
          <w:p>
            <w:pPr>
              <w:spacing w:after="0"/>
              <w:rPr>
                <w:rFonts w:ascii="Arial" w:cs="Arial" w:eastAsia="Arial" w:hAnsi="Arial"/>
                <w:sz w:val="18"/>
                <w:szCs w:val="18"/>
                <w:color w:val="0563C1"/>
                <w:w w:val="90"/>
              </w:rPr>
            </w:pPr>
            <w:hyperlink r:id="rId357">
              <w:r>
                <w:rPr>
                  <w:rFonts w:ascii="Arial" w:cs="Arial" w:eastAsia="Arial" w:hAnsi="Arial"/>
                  <w:sz w:val="18"/>
                  <w:szCs w:val="18"/>
                  <w:color w:val="0563C1"/>
                  <w:w w:val="90"/>
                </w:rPr>
                <w:t>Addendum to Lease Agreement by and between the</w:t>
              </w:r>
            </w:hyperlink>
          </w:p>
        </w:tc>
        <w:tc>
          <w:tcPr>
            <w:tcW w:w="70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563C1"/>
            </w:tcBorders>
            <w:gridSpan w:val="18"/>
          </w:tcPr>
          <w:p>
            <w:pPr>
              <w:spacing w:after="0" w:line="196" w:lineRule="exact"/>
              <w:rPr>
                <w:rFonts w:ascii="Arial" w:cs="Arial" w:eastAsia="Arial" w:hAnsi="Arial"/>
                <w:sz w:val="18"/>
                <w:szCs w:val="18"/>
                <w:color w:val="0563C1"/>
                <w:w w:val="91"/>
              </w:rPr>
            </w:pPr>
            <w:hyperlink r:id="rId357">
              <w:r>
                <w:rPr>
                  <w:rFonts w:ascii="Arial" w:cs="Arial" w:eastAsia="Arial" w:hAnsi="Arial"/>
                  <w:sz w:val="18"/>
                  <w:szCs w:val="18"/>
                  <w:color w:val="0563C1"/>
                  <w:w w:val="91"/>
                </w:rPr>
                <w:t>registrant, Repare Therapeutics Inc. and NEOMED Institute,</w:t>
              </w:r>
            </w:hyperlink>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rPr>
            </w:pPr>
            <w:hyperlink r:id="rId357">
              <w:r>
                <w:rPr>
                  <w:rFonts w:ascii="Arial" w:cs="Arial" w:eastAsia="Arial" w:hAnsi="Arial"/>
                  <w:sz w:val="18"/>
                  <w:szCs w:val="18"/>
                  <w:color w:val="0563C1"/>
                </w:rPr>
                <w:t>dated June 1, 2021.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563C1"/>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10.21++</w:t>
            </w:r>
          </w:p>
        </w:tc>
        <w:tc>
          <w:tcPr>
            <w:tcW w:w="4320" w:type="dxa"/>
            <w:vAlign w:val="bottom"/>
            <w:tcBorders>
              <w:bottom w:val="single" w:sz="8" w:color="0563C1"/>
            </w:tcBorders>
            <w:gridSpan w:val="13"/>
          </w:tcPr>
          <w:p>
            <w:pPr>
              <w:spacing w:after="0"/>
              <w:rPr>
                <w:rFonts w:ascii="Arial" w:cs="Arial" w:eastAsia="Arial" w:hAnsi="Arial"/>
                <w:sz w:val="18"/>
                <w:szCs w:val="18"/>
                <w:color w:val="0563C1"/>
                <w:w w:val="91"/>
              </w:rPr>
            </w:pPr>
            <w:hyperlink r:id="rId358">
              <w:r>
                <w:rPr>
                  <w:rFonts w:ascii="Arial" w:cs="Arial" w:eastAsia="Arial" w:hAnsi="Arial"/>
                  <w:sz w:val="18"/>
                  <w:szCs w:val="18"/>
                  <w:color w:val="0563C1"/>
                  <w:w w:val="91"/>
                </w:rPr>
                <w:t>Third Amendment to Lease Agreement by and between the</w:t>
              </w:r>
            </w:hyperlink>
          </w:p>
        </w:tc>
        <w:tc>
          <w:tcPr>
            <w:tcW w:w="1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563C1"/>
            </w:tcBorders>
            <w:gridSpan w:val="18"/>
          </w:tcPr>
          <w:p>
            <w:pPr>
              <w:spacing w:after="0" w:line="196" w:lineRule="exact"/>
              <w:rPr>
                <w:rFonts w:ascii="Arial" w:cs="Arial" w:eastAsia="Arial" w:hAnsi="Arial"/>
                <w:sz w:val="18"/>
                <w:szCs w:val="18"/>
                <w:color w:val="0563C1"/>
                <w:w w:val="91"/>
              </w:rPr>
            </w:pPr>
            <w:hyperlink r:id="rId358">
              <w:r>
                <w:rPr>
                  <w:rFonts w:ascii="Arial" w:cs="Arial" w:eastAsia="Arial" w:hAnsi="Arial"/>
                  <w:sz w:val="18"/>
                  <w:szCs w:val="18"/>
                  <w:color w:val="0563C1"/>
                  <w:w w:val="91"/>
                </w:rPr>
                <w:t>registrant, Repare Therapeutics Inc. and NEOMED Institute,</w:t>
              </w:r>
            </w:hyperlink>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0"/>
          </w:tcPr>
          <w:p>
            <w:pPr>
              <w:spacing w:after="0" w:line="196" w:lineRule="exact"/>
              <w:rPr>
                <w:rFonts w:ascii="Arial" w:cs="Arial" w:eastAsia="Arial" w:hAnsi="Arial"/>
                <w:sz w:val="18"/>
                <w:szCs w:val="18"/>
                <w:color w:val="0563C1"/>
              </w:rPr>
            </w:pPr>
            <w:hyperlink r:id="rId358">
              <w:r>
                <w:rPr>
                  <w:rFonts w:ascii="Arial" w:cs="Arial" w:eastAsia="Arial" w:hAnsi="Arial"/>
                  <w:sz w:val="18"/>
                  <w:szCs w:val="18"/>
                  <w:color w:val="0563C1"/>
                </w:rPr>
                <w:t>dated June 1, 2021.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563C1"/>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10.22</w:t>
            </w:r>
          </w:p>
        </w:tc>
        <w:tc>
          <w:tcPr>
            <w:tcW w:w="4400" w:type="dxa"/>
            <w:vAlign w:val="bottom"/>
            <w:tcBorders>
              <w:bottom w:val="single" w:sz="8" w:color="0563C1"/>
            </w:tcBorders>
            <w:gridSpan w:val="17"/>
          </w:tcPr>
          <w:p>
            <w:pPr>
              <w:spacing w:after="0"/>
              <w:rPr>
                <w:rFonts w:ascii="Arial" w:cs="Arial" w:eastAsia="Arial" w:hAnsi="Arial"/>
                <w:sz w:val="18"/>
                <w:szCs w:val="18"/>
                <w:color w:val="0563C1"/>
                <w:w w:val="90"/>
              </w:rPr>
            </w:pPr>
            <w:hyperlink r:id="rId359">
              <w:r>
                <w:rPr>
                  <w:rFonts w:ascii="Arial" w:cs="Arial" w:eastAsia="Arial" w:hAnsi="Arial"/>
                  <w:sz w:val="18"/>
                  <w:szCs w:val="18"/>
                  <w:color w:val="0563C1"/>
                  <w:w w:val="90"/>
                </w:rPr>
                <w:t>Fourth Amendment to Lease Agreement by and between the</w:t>
              </w:r>
            </w:hyperlink>
          </w:p>
        </w:tc>
        <w:tc>
          <w:tcPr>
            <w:tcW w:w="8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563C1"/>
            </w:tcBorders>
            <w:gridSpan w:val="15"/>
          </w:tcPr>
          <w:p>
            <w:pPr>
              <w:spacing w:after="0" w:line="196" w:lineRule="exact"/>
              <w:rPr>
                <w:rFonts w:ascii="Arial" w:cs="Arial" w:eastAsia="Arial" w:hAnsi="Arial"/>
                <w:sz w:val="18"/>
                <w:szCs w:val="18"/>
                <w:color w:val="0563C1"/>
                <w:w w:val="90"/>
              </w:rPr>
            </w:pPr>
            <w:hyperlink r:id="rId359">
              <w:r>
                <w:rPr>
                  <w:rFonts w:ascii="Arial" w:cs="Arial" w:eastAsia="Arial" w:hAnsi="Arial"/>
                  <w:sz w:val="18"/>
                  <w:szCs w:val="18"/>
                  <w:color w:val="0563C1"/>
                  <w:w w:val="90"/>
                </w:rPr>
                <w:t>registrant, Repare Therapeutics Inc. and The Manufacturers</w:t>
              </w:r>
            </w:hyperlink>
          </w:p>
        </w:tc>
        <w:tc>
          <w:tcPr>
            <w:tcW w:w="120" w:type="dxa"/>
            <w:vAlign w:val="bottom"/>
            <w:gridSpan w:val="5"/>
          </w:tcPr>
          <w:p>
            <w:pPr>
              <w:spacing w:after="0"/>
              <w:rPr>
                <w:sz w:val="17"/>
                <w:szCs w:val="17"/>
                <w:color w:val="auto"/>
              </w:rPr>
            </w:pPr>
          </w:p>
        </w:tc>
      </w:tr>
    </w:tbl>
    <w:p>
      <w:pPr>
        <w:spacing w:after="0" w:line="13" w:lineRule="exact"/>
        <w:rPr>
          <w:sz w:val="20"/>
          <w:szCs w:val="20"/>
          <w:color w:val="auto"/>
        </w:rPr>
      </w:pPr>
    </w:p>
    <w:p>
      <w:pPr>
        <w:ind w:left="1140"/>
        <w:spacing w:after="0"/>
        <w:rPr>
          <w:rFonts w:ascii="Arial" w:cs="Arial" w:eastAsia="Arial" w:hAnsi="Arial"/>
          <w:sz w:val="18"/>
          <w:szCs w:val="18"/>
          <w:u w:val="single" w:color="auto"/>
          <w:color w:val="0563C1"/>
        </w:rPr>
      </w:pPr>
      <w:hyperlink r:id="rId359">
        <w:r>
          <w:rPr>
            <w:rFonts w:ascii="Arial" w:cs="Arial" w:eastAsia="Arial" w:hAnsi="Arial"/>
            <w:sz w:val="18"/>
            <w:szCs w:val="18"/>
            <w:u w:val="single" w:color="auto"/>
            <w:color w:val="0563C1"/>
          </w:rPr>
          <w:t>Life Insurance Company, dated June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-10160</wp:posOffset>
            </wp:positionV>
            <wp:extent cx="21278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2127885" cy="8890"/>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80" w:type="dxa"/>
            <w:vAlign w:val="bottom"/>
          </w:tcPr>
          <w:p>
            <w:pPr>
              <w:jc w:val="center"/>
              <w:ind w:left="50"/>
              <w:spacing w:after="0"/>
              <w:rPr>
                <w:sz w:val="20"/>
                <w:szCs w:val="20"/>
                <w:color w:val="auto"/>
              </w:rPr>
            </w:pPr>
            <w:r>
              <w:rPr>
                <w:rFonts w:ascii="Arial" w:cs="Arial" w:eastAsia="Arial" w:hAnsi="Arial"/>
                <w:sz w:val="19"/>
                <w:szCs w:val="19"/>
                <w:color w:val="auto"/>
                <w:w w:val="88"/>
              </w:rPr>
              <w:t>10.11</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92"/>
              </w:rPr>
              <w:t>March 1. 2022</w:t>
            </w:r>
          </w:p>
        </w:tc>
      </w:tr>
      <w:tr>
        <w:trPr>
          <w:trHeight w:val="606"/>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5"/>
              </w:rPr>
              <w:t>S-1</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8"/>
              </w:rPr>
              <w:t>10.14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9"/>
              </w:rPr>
              <w:t>June 15, 2020</w:t>
            </w:r>
          </w:p>
        </w:tc>
      </w:tr>
      <w:tr>
        <w:trPr>
          <w:trHeight w:val="823"/>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5"/>
              </w:rPr>
              <w:t>S-1</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8"/>
              </w:rPr>
              <w:t>10.15</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93"/>
              </w:rPr>
              <w:t>May 29, 2020</w:t>
            </w:r>
          </w:p>
        </w:tc>
      </w:tr>
      <w:tr>
        <w:trPr>
          <w:trHeight w:val="823"/>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5"/>
              </w:rPr>
              <w:t>S-1</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8"/>
              </w:rPr>
              <w:t>10.16</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93"/>
              </w:rPr>
              <w:t>May 29, 2020</w:t>
            </w:r>
          </w:p>
        </w:tc>
      </w:tr>
      <w:tr>
        <w:trPr>
          <w:trHeight w:val="608"/>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5"/>
              </w:rPr>
              <w:t>S-1</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8"/>
              </w:rPr>
              <w:t>10.17</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93"/>
              </w:rPr>
              <w:t>May 29, 2020</w:t>
            </w:r>
          </w:p>
        </w:tc>
      </w:tr>
      <w:tr>
        <w:trPr>
          <w:trHeight w:val="823"/>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9"/>
              </w:rPr>
              <w:t>August 13, 2020</w:t>
            </w:r>
          </w:p>
        </w:tc>
      </w:tr>
      <w:tr>
        <w:trPr>
          <w:trHeight w:val="809"/>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1460" w:type="dxa"/>
            <w:vAlign w:val="bottom"/>
          </w:tcPr>
          <w:p>
            <w:pPr>
              <w:jc w:val="center"/>
              <w:ind w:left="150"/>
              <w:spacing w:after="0"/>
              <w:rPr>
                <w:sz w:val="20"/>
                <w:szCs w:val="20"/>
                <w:color w:val="auto"/>
              </w:rPr>
            </w:pPr>
            <w:r>
              <w:rPr>
                <w:rFonts w:ascii="Arial" w:cs="Arial" w:eastAsia="Arial" w:hAnsi="Arial"/>
                <w:sz w:val="18"/>
                <w:szCs w:val="18"/>
                <w:color w:val="auto"/>
                <w:w w:val="90"/>
              </w:rPr>
              <w:t>November 12,</w:t>
            </w:r>
          </w:p>
        </w:tc>
      </w:tr>
      <w:tr>
        <w:trPr>
          <w:trHeight w:val="230"/>
        </w:trPr>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jc w:val="center"/>
              <w:ind w:left="210"/>
              <w:spacing w:after="0"/>
              <w:rPr>
                <w:sz w:val="20"/>
                <w:szCs w:val="20"/>
                <w:color w:val="auto"/>
              </w:rPr>
            </w:pPr>
            <w:r>
              <w:rPr>
                <w:rFonts w:ascii="Arial" w:cs="Arial" w:eastAsia="Arial" w:hAnsi="Arial"/>
                <w:sz w:val="18"/>
                <w:szCs w:val="18"/>
                <w:color w:val="auto"/>
                <w:w w:val="89"/>
              </w:rPr>
              <w:t>2020</w:t>
            </w:r>
          </w:p>
        </w:tc>
      </w:tr>
      <w:tr>
        <w:trPr>
          <w:trHeight w:val="809"/>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1460" w:type="dxa"/>
            <w:vAlign w:val="bottom"/>
          </w:tcPr>
          <w:p>
            <w:pPr>
              <w:jc w:val="center"/>
              <w:ind w:left="150"/>
              <w:spacing w:after="0"/>
              <w:rPr>
                <w:sz w:val="20"/>
                <w:szCs w:val="20"/>
                <w:color w:val="auto"/>
              </w:rPr>
            </w:pPr>
            <w:r>
              <w:rPr>
                <w:rFonts w:ascii="Arial" w:cs="Arial" w:eastAsia="Arial" w:hAnsi="Arial"/>
                <w:sz w:val="18"/>
                <w:szCs w:val="18"/>
                <w:color w:val="auto"/>
                <w:w w:val="90"/>
              </w:rPr>
              <w:t>November 12,</w:t>
            </w:r>
          </w:p>
        </w:tc>
      </w:tr>
      <w:tr>
        <w:trPr>
          <w:trHeight w:val="230"/>
        </w:trPr>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jc w:val="center"/>
              <w:ind w:left="210"/>
              <w:spacing w:after="0"/>
              <w:rPr>
                <w:sz w:val="20"/>
                <w:szCs w:val="20"/>
                <w:color w:val="auto"/>
              </w:rPr>
            </w:pPr>
            <w:r>
              <w:rPr>
                <w:rFonts w:ascii="Arial" w:cs="Arial" w:eastAsia="Arial" w:hAnsi="Arial"/>
                <w:sz w:val="18"/>
                <w:szCs w:val="18"/>
                <w:color w:val="auto"/>
                <w:w w:val="89"/>
              </w:rPr>
              <w:t>2020</w:t>
            </w:r>
          </w:p>
        </w:tc>
      </w:tr>
      <w:tr>
        <w:trPr>
          <w:trHeight w:val="608"/>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8"/>
              </w:rPr>
              <w:t>10.20</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92"/>
              </w:rPr>
              <w:t>March 4, 2021</w:t>
            </w:r>
          </w:p>
        </w:tc>
      </w:tr>
      <w:tr>
        <w:trPr>
          <w:trHeight w:val="1040"/>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9"/>
              </w:rPr>
              <w:t>August 12, 2021</w:t>
            </w:r>
          </w:p>
        </w:tc>
      </w:tr>
      <w:tr>
        <w:trPr>
          <w:trHeight w:val="823"/>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9"/>
              </w:rPr>
              <w:t>August 12, 2021</w:t>
            </w:r>
          </w:p>
        </w:tc>
      </w:tr>
      <w:tr>
        <w:trPr>
          <w:trHeight w:val="823"/>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1"/>
              </w:rPr>
              <w:t>10.3</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9"/>
              </w:rPr>
              <w:t>August 12, 2021</w:t>
            </w:r>
          </w:p>
        </w:tc>
      </w:tr>
    </w:tbl>
    <w:p>
      <w:pPr>
        <w:sectPr>
          <w:pgSz w:w="11900" w:h="16838" w:orient="portrait"/>
          <w:cols w:equalWidth="0" w:num="2">
            <w:col w:w="5740" w:space="340"/>
            <w:col w:w="5000"/>
          </w:cols>
          <w:pgMar w:left="340" w:top="326" w:right="47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10.23++</w:t>
            </w:r>
          </w:p>
        </w:tc>
        <w:tc>
          <w:tcPr>
            <w:tcW w:w="4080" w:type="dxa"/>
            <w:vAlign w:val="bottom"/>
            <w:tcBorders>
              <w:bottom w:val="single" w:sz="8" w:color="0563C1"/>
            </w:tcBorders>
            <w:gridSpan w:val="14"/>
          </w:tcPr>
          <w:p>
            <w:pPr>
              <w:spacing w:after="0"/>
              <w:rPr>
                <w:rFonts w:ascii="Arial" w:cs="Arial" w:eastAsia="Arial" w:hAnsi="Arial"/>
                <w:sz w:val="18"/>
                <w:szCs w:val="18"/>
                <w:color w:val="0563C1"/>
                <w:w w:val="89"/>
              </w:rPr>
            </w:pPr>
            <w:hyperlink r:id="rId362">
              <w:r>
                <w:rPr>
                  <w:rFonts w:ascii="Arial" w:cs="Arial" w:eastAsia="Arial" w:hAnsi="Arial"/>
                  <w:sz w:val="18"/>
                  <w:szCs w:val="18"/>
                  <w:color w:val="0563C1"/>
                  <w:w w:val="89"/>
                </w:rPr>
                <w:t>Lease Agreement by and between the registrant, Repare</w:t>
              </w:r>
            </w:hyperlink>
          </w:p>
        </w:tc>
        <w:tc>
          <w:tcPr>
            <w:tcW w:w="40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00" w:type="dxa"/>
            <w:vAlign w:val="bottom"/>
            <w:tcBorders>
              <w:bottom w:val="single" w:sz="8" w:color="0563C1"/>
            </w:tcBorders>
            <w:gridSpan w:val="25"/>
          </w:tcPr>
          <w:p>
            <w:pPr>
              <w:spacing w:after="0" w:line="196" w:lineRule="exact"/>
              <w:rPr>
                <w:rFonts w:ascii="Arial" w:cs="Arial" w:eastAsia="Arial" w:hAnsi="Arial"/>
                <w:sz w:val="18"/>
                <w:szCs w:val="18"/>
                <w:color w:val="0563C1"/>
                <w:w w:val="92"/>
              </w:rPr>
            </w:pPr>
            <w:hyperlink r:id="rId362">
              <w:r>
                <w:rPr>
                  <w:rFonts w:ascii="Arial" w:cs="Arial" w:eastAsia="Arial" w:hAnsi="Arial"/>
                  <w:sz w:val="18"/>
                  <w:szCs w:val="18"/>
                  <w:color w:val="0563C1"/>
                  <w:w w:val="92"/>
                </w:rPr>
                <w:t>Therapeutics Inc. and RREEF America REIT II Corp. PPP ,</w:t>
              </w:r>
            </w:hyperlink>
          </w:p>
        </w:tc>
        <w:tc>
          <w:tcPr>
            <w:tcW w:w="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9"/>
          </w:tcPr>
          <w:p>
            <w:pPr>
              <w:spacing w:after="0" w:line="196" w:lineRule="exact"/>
              <w:rPr>
                <w:rFonts w:ascii="Arial" w:cs="Arial" w:eastAsia="Arial" w:hAnsi="Arial"/>
                <w:sz w:val="18"/>
                <w:szCs w:val="18"/>
                <w:color w:val="0563C1"/>
              </w:rPr>
            </w:pPr>
            <w:hyperlink r:id="rId362">
              <w:r>
                <w:rPr>
                  <w:rFonts w:ascii="Arial" w:cs="Arial" w:eastAsia="Arial" w:hAnsi="Arial"/>
                  <w:sz w:val="18"/>
                  <w:szCs w:val="18"/>
                  <w:color w:val="0563C1"/>
                </w:rPr>
                <w:t>dated July 31, 2021.</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10.24</w:t>
            </w:r>
          </w:p>
        </w:tc>
        <w:tc>
          <w:tcPr>
            <w:tcW w:w="3820" w:type="dxa"/>
            <w:vAlign w:val="bottom"/>
            <w:tcBorders>
              <w:bottom w:val="single" w:sz="8" w:color="0563C1"/>
            </w:tcBorders>
            <w:gridSpan w:val="9"/>
          </w:tcPr>
          <w:p>
            <w:pPr>
              <w:spacing w:after="0"/>
              <w:rPr>
                <w:rFonts w:ascii="Arial" w:cs="Arial" w:eastAsia="Arial" w:hAnsi="Arial"/>
                <w:sz w:val="18"/>
                <w:szCs w:val="18"/>
                <w:color w:val="0563C1"/>
                <w:w w:val="90"/>
              </w:rPr>
            </w:pPr>
            <w:hyperlink r:id="rId363">
              <w:r>
                <w:rPr>
                  <w:rFonts w:ascii="Arial" w:cs="Arial" w:eastAsia="Arial" w:hAnsi="Arial"/>
                  <w:sz w:val="18"/>
                  <w:szCs w:val="18"/>
                  <w:color w:val="0563C1"/>
                  <w:w w:val="90"/>
                </w:rPr>
                <w:t>First Amendment to Research Services, License and</w:t>
              </w:r>
            </w:hyperlink>
          </w:p>
        </w:tc>
        <w:tc>
          <w:tcPr>
            <w:tcW w:w="660" w:type="dxa"/>
            <w:vAlign w:val="bottom"/>
            <w:gridSpan w:val="2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563C1"/>
            </w:tcBorders>
            <w:gridSpan w:val="24"/>
          </w:tcPr>
          <w:p>
            <w:pPr>
              <w:spacing w:after="0" w:line="196" w:lineRule="exact"/>
              <w:rPr>
                <w:rFonts w:ascii="Arial" w:cs="Arial" w:eastAsia="Arial" w:hAnsi="Arial"/>
                <w:sz w:val="18"/>
                <w:szCs w:val="18"/>
                <w:color w:val="0563C1"/>
                <w:w w:val="91"/>
              </w:rPr>
            </w:pPr>
            <w:hyperlink r:id="rId363">
              <w:r>
                <w:rPr>
                  <w:rFonts w:ascii="Arial" w:cs="Arial" w:eastAsia="Arial" w:hAnsi="Arial"/>
                  <w:sz w:val="18"/>
                  <w:szCs w:val="18"/>
                  <w:color w:val="0563C1"/>
                  <w:w w:val="91"/>
                </w:rPr>
                <w:t>Collaboration Agreement by and between the registrant and</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9"/>
          </w:tcPr>
          <w:p>
            <w:pPr>
              <w:spacing w:after="0" w:line="196" w:lineRule="exact"/>
              <w:rPr>
                <w:rFonts w:ascii="Arial" w:cs="Arial" w:eastAsia="Arial" w:hAnsi="Arial"/>
                <w:sz w:val="18"/>
                <w:szCs w:val="18"/>
                <w:color w:val="0563C1"/>
              </w:rPr>
            </w:pPr>
            <w:hyperlink r:id="rId363">
              <w:r>
                <w:rPr>
                  <w:rFonts w:ascii="Arial" w:cs="Arial" w:eastAsia="Arial" w:hAnsi="Arial"/>
                  <w:sz w:val="18"/>
                  <w:szCs w:val="18"/>
                  <w:color w:val="0563C1"/>
                </w:rPr>
                <w:t>Ono Pharmaceutical Co., Ltd., dated October 29, 2021.</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6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10.25</w:t>
            </w:r>
          </w:p>
        </w:tc>
        <w:tc>
          <w:tcPr>
            <w:tcW w:w="4280" w:type="dxa"/>
            <w:vAlign w:val="bottom"/>
            <w:tcBorders>
              <w:bottom w:val="single" w:sz="8" w:color="0563C1"/>
            </w:tcBorders>
            <w:gridSpan w:val="20"/>
          </w:tcPr>
          <w:p>
            <w:pPr>
              <w:spacing w:after="0"/>
              <w:rPr>
                <w:rFonts w:ascii="Arial" w:cs="Arial" w:eastAsia="Arial" w:hAnsi="Arial"/>
                <w:sz w:val="18"/>
                <w:szCs w:val="18"/>
                <w:color w:val="0563C1"/>
                <w:w w:val="91"/>
              </w:rPr>
            </w:pPr>
            <w:hyperlink r:id="rId364">
              <w:r>
                <w:rPr>
                  <w:rFonts w:ascii="Arial" w:cs="Arial" w:eastAsia="Arial" w:hAnsi="Arial"/>
                  <w:sz w:val="18"/>
                  <w:szCs w:val="18"/>
                  <w:color w:val="0563C1"/>
                  <w:w w:val="91"/>
                </w:rPr>
                <w:t>Fifth Amendment to Lease Agreement by and between the</w:t>
              </w:r>
            </w:hyperlink>
          </w:p>
        </w:tc>
        <w:tc>
          <w:tcPr>
            <w:tcW w:w="20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563C1"/>
            </w:tcBorders>
            <w:gridSpan w:val="23"/>
          </w:tcPr>
          <w:p>
            <w:pPr>
              <w:spacing w:after="0" w:line="196" w:lineRule="exact"/>
              <w:rPr>
                <w:rFonts w:ascii="Arial" w:cs="Arial" w:eastAsia="Arial" w:hAnsi="Arial"/>
                <w:sz w:val="18"/>
                <w:szCs w:val="18"/>
                <w:color w:val="0563C1"/>
                <w:w w:val="90"/>
              </w:rPr>
            </w:pPr>
            <w:hyperlink r:id="rId364">
              <w:r>
                <w:rPr>
                  <w:rFonts w:ascii="Arial" w:cs="Arial" w:eastAsia="Arial" w:hAnsi="Arial"/>
                  <w:sz w:val="18"/>
                  <w:szCs w:val="18"/>
                  <w:color w:val="0563C1"/>
                  <w:w w:val="90"/>
                </w:rPr>
                <w:t>registrant, Repare Therapeutics Inc. and The Manufacturers</w:t>
              </w:r>
            </w:hyperlink>
          </w:p>
        </w:tc>
        <w:tc>
          <w:tcPr>
            <w:tcW w:w="12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9"/>
          </w:tcPr>
          <w:p>
            <w:pPr>
              <w:spacing w:after="0" w:line="196" w:lineRule="exact"/>
              <w:rPr>
                <w:rFonts w:ascii="Arial" w:cs="Arial" w:eastAsia="Arial" w:hAnsi="Arial"/>
                <w:sz w:val="18"/>
                <w:szCs w:val="18"/>
                <w:color w:val="0563C1"/>
              </w:rPr>
            </w:pPr>
            <w:hyperlink r:id="rId364">
              <w:r>
                <w:rPr>
                  <w:rFonts w:ascii="Arial" w:cs="Arial" w:eastAsia="Arial" w:hAnsi="Arial"/>
                  <w:sz w:val="18"/>
                  <w:szCs w:val="18"/>
                  <w:color w:val="0563C1"/>
                </w:rPr>
                <w:t>Life Insurance Company, dated January 17, 2022.</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60" w:type="dxa"/>
            <w:vAlign w:val="bottom"/>
            <w:shd w:val="clear" w:color="auto" w:fill="0563C1"/>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10.26</w:t>
            </w:r>
          </w:p>
        </w:tc>
        <w:tc>
          <w:tcPr>
            <w:tcW w:w="4440" w:type="dxa"/>
            <w:vAlign w:val="bottom"/>
            <w:tcBorders>
              <w:bottom w:val="single" w:sz="8" w:color="0563C1"/>
            </w:tcBorders>
            <w:gridSpan w:val="27"/>
          </w:tcPr>
          <w:p>
            <w:pPr>
              <w:spacing w:after="0"/>
              <w:rPr>
                <w:rFonts w:ascii="Arial" w:cs="Arial" w:eastAsia="Arial" w:hAnsi="Arial"/>
                <w:sz w:val="18"/>
                <w:szCs w:val="18"/>
                <w:color w:val="0563C1"/>
                <w:w w:val="90"/>
              </w:rPr>
            </w:pPr>
            <w:hyperlink r:id="rId365">
              <w:r>
                <w:rPr>
                  <w:rFonts w:ascii="Arial" w:cs="Arial" w:eastAsia="Arial" w:hAnsi="Arial"/>
                  <w:sz w:val="18"/>
                  <w:szCs w:val="18"/>
                  <w:color w:val="0563C1"/>
                  <w:w w:val="90"/>
                </w:rPr>
                <w:t>Commencement Date Memorandum to the Lease Agreement</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563C1"/>
            </w:tcBorders>
            <w:gridSpan w:val="24"/>
          </w:tcPr>
          <w:p>
            <w:pPr>
              <w:spacing w:after="0" w:line="196" w:lineRule="exact"/>
              <w:rPr>
                <w:rFonts w:ascii="Arial" w:cs="Arial" w:eastAsia="Arial" w:hAnsi="Arial"/>
                <w:sz w:val="18"/>
                <w:szCs w:val="18"/>
                <w:color w:val="0563C1"/>
                <w:w w:val="90"/>
              </w:rPr>
            </w:pPr>
            <w:hyperlink r:id="rId365">
              <w:r>
                <w:rPr>
                  <w:rFonts w:ascii="Arial" w:cs="Arial" w:eastAsia="Arial" w:hAnsi="Arial"/>
                  <w:sz w:val="18"/>
                  <w:szCs w:val="18"/>
                  <w:color w:val="0563C1"/>
                  <w:w w:val="90"/>
                </w:rPr>
                <w:t>by and between the registrant, Repare Therapeutics Inc. and</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9"/>
          </w:tcPr>
          <w:p>
            <w:pPr>
              <w:spacing w:after="0" w:line="196" w:lineRule="exact"/>
              <w:rPr>
                <w:rFonts w:ascii="Arial" w:cs="Arial" w:eastAsia="Arial" w:hAnsi="Arial"/>
                <w:sz w:val="18"/>
                <w:szCs w:val="18"/>
                <w:color w:val="0563C1"/>
                <w:w w:val="92"/>
              </w:rPr>
            </w:pPr>
            <w:hyperlink r:id="rId365">
              <w:r>
                <w:rPr>
                  <w:rFonts w:ascii="Arial" w:cs="Arial" w:eastAsia="Arial" w:hAnsi="Arial"/>
                  <w:sz w:val="18"/>
                  <w:szCs w:val="18"/>
                  <w:color w:val="0563C1"/>
                  <w:w w:val="92"/>
                </w:rPr>
                <w:t>RREF America REIT II Corp. PPP, dated February 25, 2022.</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10.27</w:t>
            </w:r>
          </w:p>
        </w:tc>
        <w:tc>
          <w:tcPr>
            <w:tcW w:w="4240" w:type="dxa"/>
            <w:vAlign w:val="bottom"/>
            <w:tcBorders>
              <w:top w:val="single" w:sz="8" w:color="0563C1"/>
              <w:bottom w:val="single" w:sz="8" w:color="0563C1"/>
            </w:tcBorders>
            <w:gridSpan w:val="19"/>
          </w:tcPr>
          <w:p>
            <w:pPr>
              <w:spacing w:after="0"/>
              <w:rPr>
                <w:rFonts w:ascii="Arial" w:cs="Arial" w:eastAsia="Arial" w:hAnsi="Arial"/>
                <w:sz w:val="18"/>
                <w:szCs w:val="18"/>
                <w:color w:val="0563C1"/>
                <w:w w:val="91"/>
              </w:rPr>
            </w:pPr>
            <w:hyperlink r:id="rId366">
              <w:r>
                <w:rPr>
                  <w:rFonts w:ascii="Arial" w:cs="Arial" w:eastAsia="Arial" w:hAnsi="Arial"/>
                  <w:sz w:val="18"/>
                  <w:szCs w:val="18"/>
                  <w:color w:val="0563C1"/>
                  <w:w w:val="91"/>
                </w:rPr>
                <w:t>Collaboration and License Agreement by and between the</w:t>
              </w:r>
            </w:hyperlink>
          </w:p>
        </w:tc>
        <w:tc>
          <w:tcPr>
            <w:tcW w:w="160" w:type="dxa"/>
            <w:vAlign w:val="bottom"/>
            <w:tcBorders>
              <w:top w:val="single" w:sz="8" w:color="0563C1"/>
            </w:tcBorders>
            <w:gridSpan w:val="6"/>
          </w:tcPr>
          <w:p>
            <w:pPr>
              <w:spacing w:after="0"/>
              <w:rPr>
                <w:sz w:val="24"/>
                <w:szCs w:val="24"/>
                <w:color w:val="auto"/>
              </w:rPr>
            </w:pPr>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60" w:type="dxa"/>
            <w:vAlign w:val="bottom"/>
            <w:tcBorders>
              <w:bottom w:val="single" w:sz="8" w:color="0563C1"/>
            </w:tcBorders>
            <w:gridSpan w:val="28"/>
          </w:tcPr>
          <w:p>
            <w:pPr>
              <w:spacing w:after="0" w:line="196" w:lineRule="exact"/>
              <w:rPr>
                <w:rFonts w:ascii="Arial" w:cs="Arial" w:eastAsia="Arial" w:hAnsi="Arial"/>
                <w:sz w:val="18"/>
                <w:szCs w:val="18"/>
                <w:color w:val="0563C1"/>
                <w:w w:val="90"/>
              </w:rPr>
            </w:pPr>
            <w:hyperlink r:id="rId366">
              <w:r>
                <w:rPr>
                  <w:rFonts w:ascii="Arial" w:cs="Arial" w:eastAsia="Arial" w:hAnsi="Arial"/>
                  <w:sz w:val="18"/>
                  <w:szCs w:val="18"/>
                  <w:color w:val="0563C1"/>
                  <w:w w:val="90"/>
                </w:rPr>
                <w:t>registrant, Repare Therapeutics Inc. and Hoffmann-La Roche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tcBorders>
              <w:bottom w:val="single" w:sz="8" w:color="0563C1"/>
            </w:tcBorders>
            <w:gridSpan w:val="12"/>
          </w:tcPr>
          <w:p>
            <w:pPr>
              <w:spacing w:after="0" w:line="196" w:lineRule="exact"/>
              <w:rPr>
                <w:rFonts w:ascii="Arial" w:cs="Arial" w:eastAsia="Arial" w:hAnsi="Arial"/>
                <w:sz w:val="18"/>
                <w:szCs w:val="18"/>
                <w:color w:val="0563C1"/>
                <w:w w:val="90"/>
              </w:rPr>
            </w:pPr>
            <w:hyperlink r:id="rId366">
              <w:r>
                <w:rPr>
                  <w:rFonts w:ascii="Arial" w:cs="Arial" w:eastAsia="Arial" w:hAnsi="Arial"/>
                  <w:sz w:val="18"/>
                  <w:szCs w:val="18"/>
                  <w:color w:val="0563C1"/>
                  <w:w w:val="90"/>
                </w:rPr>
                <w:t>Inc. and F. Hoffmann-La Roche Ltd. dated June 1,2022.</w:t>
              </w:r>
            </w:hyperlink>
          </w:p>
        </w:tc>
        <w:tc>
          <w:tcPr>
            <w:tcW w:w="440" w:type="dxa"/>
            <w:vAlign w:val="bottom"/>
            <w:gridSpan w:val="17"/>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10.28</w:t>
            </w:r>
          </w:p>
        </w:tc>
        <w:tc>
          <w:tcPr>
            <w:tcW w:w="4420" w:type="dxa"/>
            <w:vAlign w:val="bottom"/>
            <w:tcBorders>
              <w:bottom w:val="single" w:sz="8" w:color="0563C1"/>
            </w:tcBorders>
            <w:gridSpan w:val="26"/>
          </w:tcPr>
          <w:p>
            <w:pPr>
              <w:spacing w:after="0"/>
              <w:rPr>
                <w:rFonts w:ascii="Arial" w:cs="Arial" w:eastAsia="Arial" w:hAnsi="Arial"/>
                <w:sz w:val="18"/>
                <w:szCs w:val="18"/>
                <w:color w:val="0563C1"/>
                <w:w w:val="90"/>
              </w:rPr>
            </w:pPr>
            <w:hyperlink r:id="rId367">
              <w:r>
                <w:rPr>
                  <w:rFonts w:ascii="Arial" w:cs="Arial" w:eastAsia="Arial" w:hAnsi="Arial"/>
                  <w:sz w:val="18"/>
                  <w:szCs w:val="18"/>
                  <w:color w:val="0563C1"/>
                  <w:w w:val="90"/>
                </w:rPr>
                <w:t>Common Shares Sales Agreement, dated August 4, 2022, by</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60" w:type="dxa"/>
            <w:vAlign w:val="bottom"/>
            <w:tcBorders>
              <w:bottom w:val="single" w:sz="8" w:color="0563C1"/>
            </w:tcBorders>
            <w:gridSpan w:val="13"/>
          </w:tcPr>
          <w:p>
            <w:pPr>
              <w:spacing w:after="0" w:line="196" w:lineRule="exact"/>
              <w:rPr>
                <w:rFonts w:ascii="Arial" w:cs="Arial" w:eastAsia="Arial" w:hAnsi="Arial"/>
                <w:sz w:val="18"/>
                <w:szCs w:val="18"/>
                <w:color w:val="0563C1"/>
                <w:w w:val="89"/>
              </w:rPr>
            </w:pPr>
            <w:hyperlink r:id="rId367">
              <w:r>
                <w:rPr>
                  <w:rFonts w:ascii="Arial" w:cs="Arial" w:eastAsia="Arial" w:hAnsi="Arial"/>
                  <w:sz w:val="18"/>
                  <w:szCs w:val="18"/>
                  <w:color w:val="0563C1"/>
                  <w:w w:val="89"/>
                </w:rPr>
                <w:t>and between and between Repare Therapeutics Inc. and</w:t>
              </w:r>
            </w:hyperlink>
          </w:p>
        </w:tc>
        <w:tc>
          <w:tcPr>
            <w:tcW w:w="42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040" w:type="dxa"/>
            <w:vAlign w:val="bottom"/>
            <w:tcBorders>
              <w:bottom w:val="single" w:sz="8" w:color="0563C1"/>
            </w:tcBorders>
            <w:gridSpan w:val="6"/>
          </w:tcPr>
          <w:p>
            <w:pPr>
              <w:spacing w:after="0" w:line="196" w:lineRule="exact"/>
              <w:rPr>
                <w:rFonts w:ascii="Arial" w:cs="Arial" w:eastAsia="Arial" w:hAnsi="Arial"/>
                <w:sz w:val="18"/>
                <w:szCs w:val="18"/>
                <w:color w:val="0563C1"/>
                <w:w w:val="91"/>
              </w:rPr>
            </w:pPr>
            <w:hyperlink r:id="rId367">
              <w:r>
                <w:rPr>
                  <w:rFonts w:ascii="Arial" w:cs="Arial" w:eastAsia="Arial" w:hAnsi="Arial"/>
                  <w:sz w:val="18"/>
                  <w:szCs w:val="18"/>
                  <w:color w:val="0563C1"/>
                  <w:w w:val="91"/>
                </w:rPr>
                <w:t>Cowen and Company, LLC.</w:t>
              </w:r>
            </w:hyperlink>
          </w:p>
        </w:tc>
        <w:tc>
          <w:tcPr>
            <w:tcW w:w="2440" w:type="dxa"/>
            <w:vAlign w:val="bottom"/>
            <w:gridSpan w:val="23"/>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10.29</w:t>
            </w:r>
          </w:p>
        </w:tc>
        <w:tc>
          <w:tcPr>
            <w:tcW w:w="4480" w:type="dxa"/>
            <w:vAlign w:val="bottom"/>
            <w:tcBorders>
              <w:bottom w:val="single" w:sz="8" w:color="0563C1"/>
            </w:tcBorders>
            <w:gridSpan w:val="29"/>
          </w:tcPr>
          <w:p>
            <w:pPr>
              <w:spacing w:after="0"/>
              <w:rPr>
                <w:rFonts w:ascii="Arial" w:cs="Arial" w:eastAsia="Arial" w:hAnsi="Arial"/>
                <w:sz w:val="18"/>
                <w:szCs w:val="18"/>
                <w:color w:val="0563C1"/>
                <w:w w:val="91"/>
              </w:rPr>
            </w:pPr>
            <w:hyperlink r:id="rId368">
              <w:r>
                <w:rPr>
                  <w:rFonts w:ascii="Arial" w:cs="Arial" w:eastAsia="Arial" w:hAnsi="Arial"/>
                  <w:sz w:val="18"/>
                  <w:szCs w:val="18"/>
                  <w:color w:val="0563C1"/>
                  <w:w w:val="91"/>
                </w:rPr>
                <w:t>First Amendment to Collaboration and License Agreement by</w:t>
              </w:r>
            </w:hyperlink>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563C1"/>
            </w:tcBorders>
            <w:gridSpan w:val="17"/>
          </w:tcPr>
          <w:p>
            <w:pPr>
              <w:spacing w:after="0" w:line="196" w:lineRule="exact"/>
              <w:rPr>
                <w:rFonts w:ascii="Arial" w:cs="Arial" w:eastAsia="Arial" w:hAnsi="Arial"/>
                <w:sz w:val="18"/>
                <w:szCs w:val="18"/>
                <w:color w:val="0563C1"/>
                <w:w w:val="89"/>
              </w:rPr>
            </w:pPr>
            <w:hyperlink r:id="rId368">
              <w:r>
                <w:rPr>
                  <w:rFonts w:ascii="Arial" w:cs="Arial" w:eastAsia="Arial" w:hAnsi="Arial"/>
                  <w:sz w:val="18"/>
                  <w:szCs w:val="18"/>
                  <w:color w:val="0563C1"/>
                  <w:w w:val="89"/>
                </w:rPr>
                <w:t>and between the registrant, Repare Therapeutics Inc. and</w:t>
              </w:r>
            </w:hyperlink>
          </w:p>
        </w:tc>
        <w:tc>
          <w:tcPr>
            <w:tcW w:w="3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20" w:type="dxa"/>
            <w:vAlign w:val="bottom"/>
            <w:tcBorders>
              <w:bottom w:val="single" w:sz="8" w:color="0563C1"/>
            </w:tcBorders>
            <w:gridSpan w:val="18"/>
          </w:tcPr>
          <w:p>
            <w:pPr>
              <w:spacing w:after="0" w:line="196" w:lineRule="exact"/>
              <w:rPr>
                <w:rFonts w:ascii="Arial" w:cs="Arial" w:eastAsia="Arial" w:hAnsi="Arial"/>
                <w:sz w:val="18"/>
                <w:szCs w:val="18"/>
                <w:color w:val="0563C1"/>
                <w:w w:val="92"/>
              </w:rPr>
            </w:pPr>
            <w:hyperlink r:id="rId368">
              <w:r>
                <w:rPr>
                  <w:rFonts w:ascii="Arial" w:cs="Arial" w:eastAsia="Arial" w:hAnsi="Arial"/>
                  <w:sz w:val="18"/>
                  <w:szCs w:val="18"/>
                  <w:color w:val="0563C1"/>
                  <w:w w:val="92"/>
                </w:rPr>
                <w:t>Hoffmann-La Roche Inc. and F. Hoffmann-La Roche Ltd.</w:t>
              </w:r>
            </w:hyperlink>
          </w:p>
        </w:tc>
        <w:tc>
          <w:tcPr>
            <w:tcW w:w="26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563C1"/>
            </w:tcBorders>
            <w:gridSpan w:val="4"/>
          </w:tcPr>
          <w:p>
            <w:pPr>
              <w:spacing w:after="0" w:line="196" w:lineRule="exact"/>
              <w:rPr>
                <w:rFonts w:ascii="Arial" w:cs="Arial" w:eastAsia="Arial" w:hAnsi="Arial"/>
                <w:sz w:val="18"/>
                <w:szCs w:val="18"/>
                <w:color w:val="0563C1"/>
                <w:w w:val="89"/>
              </w:rPr>
            </w:pPr>
            <w:hyperlink r:id="rId368">
              <w:r>
                <w:rPr>
                  <w:rFonts w:ascii="Arial" w:cs="Arial" w:eastAsia="Arial" w:hAnsi="Arial"/>
                  <w:sz w:val="18"/>
                  <w:szCs w:val="18"/>
                  <w:color w:val="0563C1"/>
                  <w:w w:val="89"/>
                </w:rPr>
                <w:t>dated October 7, 2022.</w:t>
              </w:r>
            </w:hyperlink>
          </w:p>
        </w:tc>
        <w:tc>
          <w:tcPr>
            <w:tcW w:w="2820" w:type="dxa"/>
            <w:vAlign w:val="bottom"/>
            <w:gridSpan w:val="25"/>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10.30</w:t>
            </w:r>
          </w:p>
        </w:tc>
        <w:tc>
          <w:tcPr>
            <w:tcW w:w="4480" w:type="dxa"/>
            <w:vAlign w:val="bottom"/>
            <w:tcBorders>
              <w:bottom w:val="single" w:sz="8" w:color="0563C1"/>
            </w:tcBorders>
            <w:gridSpan w:val="29"/>
          </w:tcPr>
          <w:p>
            <w:pPr>
              <w:spacing w:after="0"/>
              <w:rPr>
                <w:rFonts w:ascii="Arial" w:cs="Arial" w:eastAsia="Arial" w:hAnsi="Arial"/>
                <w:sz w:val="18"/>
                <w:szCs w:val="18"/>
                <w:color w:val="0563C1"/>
                <w:w w:val="91"/>
              </w:rPr>
            </w:pPr>
            <w:hyperlink r:id="rId369">
              <w:r>
                <w:rPr>
                  <w:rFonts w:ascii="Arial" w:cs="Arial" w:eastAsia="Arial" w:hAnsi="Arial"/>
                  <w:sz w:val="18"/>
                  <w:szCs w:val="18"/>
                  <w:color w:val="0563C1"/>
                  <w:w w:val="91"/>
                </w:rPr>
                <w:t>Second Amendment to Collaboration and License Agreement</w:t>
              </w:r>
            </w:hyperlink>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563C1"/>
            </w:tcBorders>
            <w:gridSpan w:val="24"/>
          </w:tcPr>
          <w:p>
            <w:pPr>
              <w:spacing w:after="0" w:line="196" w:lineRule="exact"/>
              <w:rPr>
                <w:rFonts w:ascii="Arial" w:cs="Arial" w:eastAsia="Arial" w:hAnsi="Arial"/>
                <w:sz w:val="18"/>
                <w:szCs w:val="18"/>
                <w:color w:val="0563C1"/>
                <w:w w:val="90"/>
              </w:rPr>
            </w:pPr>
            <w:hyperlink r:id="rId369">
              <w:r>
                <w:rPr>
                  <w:rFonts w:ascii="Arial" w:cs="Arial" w:eastAsia="Arial" w:hAnsi="Arial"/>
                  <w:sz w:val="18"/>
                  <w:szCs w:val="18"/>
                  <w:color w:val="0563C1"/>
                  <w:w w:val="90"/>
                </w:rPr>
                <w:t>by and between the registrant, Repare Therapeutics Inc. and</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20" w:type="dxa"/>
            <w:vAlign w:val="bottom"/>
            <w:tcBorders>
              <w:bottom w:val="single" w:sz="8" w:color="0563C1"/>
            </w:tcBorders>
            <w:gridSpan w:val="18"/>
          </w:tcPr>
          <w:p>
            <w:pPr>
              <w:spacing w:after="0" w:line="196" w:lineRule="exact"/>
              <w:rPr>
                <w:rFonts w:ascii="Arial" w:cs="Arial" w:eastAsia="Arial" w:hAnsi="Arial"/>
                <w:sz w:val="18"/>
                <w:szCs w:val="18"/>
                <w:color w:val="0563C1"/>
                <w:w w:val="92"/>
              </w:rPr>
            </w:pPr>
            <w:hyperlink r:id="rId369">
              <w:r>
                <w:rPr>
                  <w:rFonts w:ascii="Arial" w:cs="Arial" w:eastAsia="Arial" w:hAnsi="Arial"/>
                  <w:sz w:val="18"/>
                  <w:szCs w:val="18"/>
                  <w:color w:val="0563C1"/>
                  <w:w w:val="92"/>
                </w:rPr>
                <w:t>Hoffmann-La Roche Inc. and F. Hoffmann-La Roche Ltd.</w:t>
              </w:r>
            </w:hyperlink>
          </w:p>
        </w:tc>
        <w:tc>
          <w:tcPr>
            <w:tcW w:w="26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563C1"/>
            </w:tcBorders>
            <w:gridSpan w:val="4"/>
          </w:tcPr>
          <w:p>
            <w:pPr>
              <w:spacing w:after="0" w:line="196" w:lineRule="exact"/>
              <w:rPr>
                <w:rFonts w:ascii="Arial" w:cs="Arial" w:eastAsia="Arial" w:hAnsi="Arial"/>
                <w:sz w:val="18"/>
                <w:szCs w:val="18"/>
                <w:color w:val="0563C1"/>
                <w:w w:val="89"/>
              </w:rPr>
            </w:pPr>
            <w:hyperlink r:id="rId369">
              <w:r>
                <w:rPr>
                  <w:rFonts w:ascii="Arial" w:cs="Arial" w:eastAsia="Arial" w:hAnsi="Arial"/>
                  <w:sz w:val="18"/>
                  <w:szCs w:val="18"/>
                  <w:color w:val="0563C1"/>
                  <w:w w:val="89"/>
                </w:rPr>
                <w:t>dated October 7, 2022.</w:t>
              </w:r>
            </w:hyperlink>
          </w:p>
        </w:tc>
        <w:tc>
          <w:tcPr>
            <w:tcW w:w="2820" w:type="dxa"/>
            <w:vAlign w:val="bottom"/>
            <w:gridSpan w:val="25"/>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10.31*</w:t>
            </w:r>
          </w:p>
        </w:tc>
        <w:tc>
          <w:tcPr>
            <w:tcW w:w="4340" w:type="dxa"/>
            <w:vAlign w:val="bottom"/>
            <w:tcBorders>
              <w:bottom w:val="single" w:sz="8" w:color="0563C1"/>
            </w:tcBorders>
            <w:gridSpan w:val="22"/>
          </w:tcPr>
          <w:p>
            <w:pPr>
              <w:spacing w:after="0"/>
              <w:rPr>
                <w:sz w:val="20"/>
                <w:szCs w:val="20"/>
                <w:color w:val="auto"/>
              </w:rPr>
            </w:pPr>
            <w:r>
              <w:rPr>
                <w:rFonts w:ascii="Arial" w:cs="Arial" w:eastAsia="Arial" w:hAnsi="Arial"/>
                <w:sz w:val="18"/>
                <w:szCs w:val="18"/>
                <w:color w:val="0563C1"/>
                <w:w w:val="90"/>
              </w:rPr>
              <w:t>Lease Amending Agreement by and between the registrant,</w:t>
            </w:r>
          </w:p>
        </w:tc>
        <w:tc>
          <w:tcPr>
            <w:tcW w:w="14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100" w:type="dxa"/>
            <w:vAlign w:val="bottom"/>
            <w:tcBorders>
              <w:bottom w:val="single" w:sz="8" w:color="0563C1"/>
            </w:tcBorders>
            <w:gridSpan w:val="15"/>
          </w:tcPr>
          <w:p>
            <w:pPr>
              <w:spacing w:after="0" w:line="196" w:lineRule="exact"/>
              <w:rPr>
                <w:sz w:val="20"/>
                <w:szCs w:val="20"/>
                <w:color w:val="auto"/>
              </w:rPr>
            </w:pPr>
            <w:r>
              <w:rPr>
                <w:rFonts w:ascii="Arial" w:cs="Arial" w:eastAsia="Arial" w:hAnsi="Arial"/>
                <w:sz w:val="18"/>
                <w:szCs w:val="18"/>
                <w:color w:val="0563C1"/>
                <w:w w:val="91"/>
              </w:rPr>
              <w:t>Repare Therapeutics Inc. and NEOMED Institute, dated</w:t>
            </w:r>
          </w:p>
        </w:tc>
        <w:tc>
          <w:tcPr>
            <w:tcW w:w="38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9"/>
          </w:tcPr>
          <w:p>
            <w:pPr>
              <w:spacing w:after="0" w:line="196" w:lineRule="exact"/>
              <w:rPr>
                <w:sz w:val="20"/>
                <w:szCs w:val="20"/>
                <w:color w:val="auto"/>
              </w:rPr>
            </w:pPr>
            <w:r>
              <w:rPr>
                <w:rFonts w:ascii="Arial" w:cs="Arial" w:eastAsia="Arial" w:hAnsi="Arial"/>
                <w:sz w:val="18"/>
                <w:szCs w:val="18"/>
                <w:color w:val="0563C1"/>
              </w:rPr>
              <w:t>October 27, 2022.</w:t>
            </w: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10.32*++</w:t>
            </w:r>
          </w:p>
        </w:tc>
        <w:tc>
          <w:tcPr>
            <w:tcW w:w="4080" w:type="dxa"/>
            <w:vAlign w:val="bottom"/>
            <w:tcBorders>
              <w:bottom w:val="single" w:sz="8" w:color="0563C1"/>
            </w:tcBorders>
            <w:gridSpan w:val="14"/>
          </w:tcPr>
          <w:p>
            <w:pPr>
              <w:spacing w:after="0"/>
              <w:rPr>
                <w:sz w:val="20"/>
                <w:szCs w:val="20"/>
                <w:color w:val="auto"/>
              </w:rPr>
            </w:pPr>
            <w:r>
              <w:rPr>
                <w:rFonts w:ascii="Arial" w:cs="Arial" w:eastAsia="Arial" w:hAnsi="Arial"/>
                <w:sz w:val="18"/>
                <w:szCs w:val="18"/>
                <w:color w:val="0563C1"/>
                <w:w w:val="89"/>
              </w:rPr>
              <w:t>Lease Agreement by and between the registrant, Repare</w:t>
            </w:r>
          </w:p>
        </w:tc>
        <w:tc>
          <w:tcPr>
            <w:tcW w:w="40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9"/>
          </w:tcPr>
          <w:p>
            <w:pPr>
              <w:spacing w:after="0" w:line="196" w:lineRule="exact"/>
              <w:rPr>
                <w:sz w:val="20"/>
                <w:szCs w:val="20"/>
                <w:color w:val="auto"/>
              </w:rPr>
            </w:pPr>
            <w:r>
              <w:rPr>
                <w:rFonts w:ascii="Arial" w:cs="Arial" w:eastAsia="Arial" w:hAnsi="Arial"/>
                <w:sz w:val="18"/>
                <w:szCs w:val="18"/>
                <w:color w:val="0563C1"/>
                <w:w w:val="95"/>
              </w:rPr>
              <w:t>Therapeutics Inc. and NEOMED Institute, dated January 1,</w:t>
            </w:r>
          </w:p>
        </w:tc>
      </w:tr>
      <w:tr>
        <w:trPr>
          <w:trHeight w:val="196"/>
        </w:trPr>
        <w:tc>
          <w:tcPr>
            <w:tcW w:w="1140" w:type="dxa"/>
            <w:vAlign w:val="bottom"/>
          </w:tcPr>
          <w:p>
            <w:pPr>
              <w:spacing w:after="0"/>
              <w:rPr>
                <w:sz w:val="17"/>
                <w:szCs w:val="17"/>
                <w:color w:val="auto"/>
              </w:rPr>
            </w:pPr>
          </w:p>
        </w:tc>
        <w:tc>
          <w:tcPr>
            <w:tcW w:w="420" w:type="dxa"/>
            <w:vAlign w:val="bottom"/>
            <w:tcBorders>
              <w:top w:val="single" w:sz="8" w:color="0563C1"/>
              <w:bottom w:val="single" w:sz="8" w:color="0563C1"/>
            </w:tcBorders>
          </w:tcPr>
          <w:p>
            <w:pPr>
              <w:spacing w:after="0" w:line="196" w:lineRule="exact"/>
              <w:rPr>
                <w:sz w:val="20"/>
                <w:szCs w:val="20"/>
                <w:color w:val="auto"/>
              </w:rPr>
            </w:pPr>
            <w:r>
              <w:rPr>
                <w:rFonts w:ascii="Arial" w:cs="Arial" w:eastAsia="Arial" w:hAnsi="Arial"/>
                <w:sz w:val="18"/>
                <w:szCs w:val="18"/>
                <w:color w:val="0563C1"/>
                <w:w w:val="88"/>
              </w:rPr>
              <w:t>2023.</w:t>
            </w:r>
          </w:p>
        </w:tc>
        <w:tc>
          <w:tcPr>
            <w:tcW w:w="88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146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10.33*†</w:t>
            </w:r>
          </w:p>
        </w:tc>
        <w:tc>
          <w:tcPr>
            <w:tcW w:w="4020" w:type="dxa"/>
            <w:vAlign w:val="bottom"/>
            <w:tcBorders>
              <w:bottom w:val="single" w:sz="8" w:color="0563C1"/>
            </w:tcBorders>
            <w:gridSpan w:val="11"/>
          </w:tcPr>
          <w:p>
            <w:pPr>
              <w:spacing w:after="0"/>
              <w:rPr>
                <w:sz w:val="20"/>
                <w:szCs w:val="20"/>
                <w:color w:val="auto"/>
              </w:rPr>
            </w:pPr>
            <w:r>
              <w:rPr>
                <w:rFonts w:ascii="Arial" w:cs="Arial" w:eastAsia="Arial" w:hAnsi="Arial"/>
                <w:sz w:val="18"/>
                <w:szCs w:val="18"/>
                <w:color w:val="0563C1"/>
                <w:w w:val="89"/>
              </w:rPr>
              <w:t>Second Amendment to Research Services, License and</w:t>
            </w:r>
          </w:p>
        </w:tc>
        <w:tc>
          <w:tcPr>
            <w:tcW w:w="460" w:type="dxa"/>
            <w:vAlign w:val="bottom"/>
            <w:gridSpan w:val="1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140" w:type="dxa"/>
            <w:vAlign w:val="bottom"/>
            <w:tcBorders>
              <w:bottom w:val="single" w:sz="8" w:color="0563C1"/>
            </w:tcBorders>
            <w:gridSpan w:val="16"/>
          </w:tcPr>
          <w:p>
            <w:pPr>
              <w:spacing w:after="0" w:line="196" w:lineRule="exact"/>
              <w:rPr>
                <w:sz w:val="20"/>
                <w:szCs w:val="20"/>
                <w:color w:val="auto"/>
              </w:rPr>
            </w:pPr>
            <w:r>
              <w:rPr>
                <w:rFonts w:ascii="Arial" w:cs="Arial" w:eastAsia="Arial" w:hAnsi="Arial"/>
                <w:sz w:val="18"/>
                <w:szCs w:val="18"/>
                <w:color w:val="0563C1"/>
                <w:w w:val="92"/>
              </w:rPr>
              <w:t>Collaboration Agreement by and between the registrant,</w:t>
            </w:r>
          </w:p>
        </w:tc>
        <w:tc>
          <w:tcPr>
            <w:tcW w:w="3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00" w:type="dxa"/>
            <w:vAlign w:val="bottom"/>
            <w:tcBorders>
              <w:bottom w:val="single" w:sz="8" w:color="0563C1"/>
            </w:tcBorders>
            <w:gridSpan w:val="15"/>
          </w:tcPr>
          <w:p>
            <w:pPr>
              <w:spacing w:after="0" w:line="196" w:lineRule="exact"/>
              <w:rPr>
                <w:sz w:val="20"/>
                <w:szCs w:val="20"/>
                <w:color w:val="auto"/>
              </w:rPr>
            </w:pPr>
            <w:r>
              <w:rPr>
                <w:rFonts w:ascii="Arial" w:cs="Arial" w:eastAsia="Arial" w:hAnsi="Arial"/>
                <w:sz w:val="18"/>
                <w:szCs w:val="18"/>
                <w:color w:val="0563C1"/>
                <w:w w:val="90"/>
              </w:rPr>
              <w:t>Repare Therapeutics Inc. and Ono Pharmaceutical., Ltd,</w:t>
            </w:r>
          </w:p>
        </w:tc>
        <w:tc>
          <w:tcPr>
            <w:tcW w:w="38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9"/>
          </w:tcPr>
          <w:p>
            <w:pPr>
              <w:spacing w:after="0" w:line="196" w:lineRule="exact"/>
              <w:rPr>
                <w:sz w:val="20"/>
                <w:szCs w:val="20"/>
                <w:color w:val="auto"/>
              </w:rPr>
            </w:pPr>
            <w:r>
              <w:rPr>
                <w:rFonts w:ascii="Arial" w:cs="Arial" w:eastAsia="Arial" w:hAnsi="Arial"/>
                <w:sz w:val="18"/>
                <w:szCs w:val="18"/>
                <w:color w:val="0563C1"/>
              </w:rPr>
              <w:t>dated January 31, 2023.</w:t>
            </w:r>
          </w:p>
        </w:tc>
      </w:tr>
      <w:tr>
        <w:trPr>
          <w:trHeight w:val="20"/>
        </w:trPr>
        <w:tc>
          <w:tcPr>
            <w:tcW w:w="1140" w:type="dxa"/>
            <w:vAlign w:val="bottom"/>
          </w:tcPr>
          <w:p>
            <w:pPr>
              <w:spacing w:after="0" w:line="20" w:lineRule="exact"/>
              <w:rPr>
                <w:sz w:val="1"/>
                <w:szCs w:val="1"/>
                <w:color w:val="auto"/>
              </w:rPr>
            </w:pPr>
          </w:p>
        </w:tc>
        <w:tc>
          <w:tcPr>
            <w:tcW w:w="1720" w:type="dxa"/>
            <w:vAlign w:val="bottom"/>
            <w:gridSpan w:val="5"/>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60" w:type="dxa"/>
            <w:vAlign w:val="bottom"/>
            <w:gridSpan w:val="22"/>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2120" w:type="dxa"/>
            <w:vAlign w:val="bottom"/>
            <w:tcBorders>
              <w:bottom w:val="single" w:sz="8" w:color="0563C1"/>
            </w:tcBorders>
            <w:gridSpan w:val="7"/>
          </w:tcPr>
          <w:p>
            <w:pPr>
              <w:spacing w:after="0"/>
              <w:rPr>
                <w:rFonts w:ascii="Arial" w:cs="Arial" w:eastAsia="Arial" w:hAnsi="Arial"/>
                <w:sz w:val="18"/>
                <w:szCs w:val="18"/>
                <w:color w:val="0563C1"/>
                <w:w w:val="90"/>
              </w:rPr>
            </w:pPr>
            <w:hyperlink r:id="rId370">
              <w:r>
                <w:rPr>
                  <w:rFonts w:ascii="Arial" w:cs="Arial" w:eastAsia="Arial" w:hAnsi="Arial"/>
                  <w:sz w:val="18"/>
                  <w:szCs w:val="18"/>
                  <w:color w:val="0563C1"/>
                  <w:w w:val="90"/>
                </w:rPr>
                <w:t>Subsidiaries of the registrant.</w:t>
              </w:r>
            </w:hyperlink>
          </w:p>
        </w:tc>
        <w:tc>
          <w:tcPr>
            <w:tcW w:w="2360" w:type="dxa"/>
            <w:vAlign w:val="bottom"/>
            <w:gridSpan w:val="22"/>
          </w:tcPr>
          <w:p>
            <w:pPr>
              <w:spacing w:after="0"/>
              <w:rPr>
                <w:sz w:val="24"/>
                <w:szCs w:val="24"/>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10.4</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89"/>
              </w:rPr>
              <w:t>August 12, 2021</w:t>
            </w:r>
          </w:p>
        </w:tc>
      </w:tr>
      <w:tr>
        <w:trPr>
          <w:trHeight w:val="823"/>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89"/>
              </w:rPr>
              <w:t>August 12, 2021</w:t>
            </w:r>
          </w:p>
        </w:tc>
      </w:tr>
      <w:tr>
        <w:trPr>
          <w:trHeight w:val="823"/>
        </w:trPr>
        <w:tc>
          <w:tcPr>
            <w:tcW w:w="800" w:type="dxa"/>
            <w:vAlign w:val="bottom"/>
          </w:tcPr>
          <w:p>
            <w:pPr>
              <w:spacing w:after="0"/>
              <w:rPr>
                <w:sz w:val="20"/>
                <w:szCs w:val="20"/>
                <w:color w:val="auto"/>
              </w:rPr>
            </w:pPr>
            <w:r>
              <w:rPr>
                <w:rFonts w:ascii="Arial" w:cs="Arial" w:eastAsia="Arial" w:hAnsi="Arial"/>
                <w:sz w:val="18"/>
                <w:szCs w:val="18"/>
                <w:color w:val="auto"/>
              </w:rPr>
              <w:t>10-K</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88"/>
              </w:rPr>
              <w:t>10.27</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2"/>
              </w:rPr>
              <w:t>March 1. 2022</w:t>
            </w:r>
          </w:p>
        </w:tc>
      </w:tr>
      <w:tr>
        <w:trPr>
          <w:trHeight w:val="824"/>
        </w:trPr>
        <w:tc>
          <w:tcPr>
            <w:tcW w:w="800" w:type="dxa"/>
            <w:vAlign w:val="bottom"/>
          </w:tcPr>
          <w:p>
            <w:pPr>
              <w:spacing w:after="0"/>
              <w:rPr>
                <w:sz w:val="20"/>
                <w:szCs w:val="20"/>
                <w:color w:val="auto"/>
              </w:rPr>
            </w:pPr>
            <w:r>
              <w:rPr>
                <w:rFonts w:ascii="Arial" w:cs="Arial" w:eastAsia="Arial" w:hAnsi="Arial"/>
                <w:sz w:val="18"/>
                <w:szCs w:val="18"/>
                <w:color w:val="auto"/>
              </w:rPr>
              <w:t>10-K</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88"/>
              </w:rPr>
              <w:t>10.28</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2"/>
              </w:rPr>
              <w:t>March 1. 2022</w:t>
            </w:r>
          </w:p>
        </w:tc>
      </w:tr>
      <w:tr>
        <w:trPr>
          <w:trHeight w:val="823"/>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0"/>
              </w:rPr>
              <w:t>August 4, 2022</w:t>
            </w:r>
          </w:p>
        </w:tc>
      </w:tr>
      <w:tr>
        <w:trPr>
          <w:trHeight w:val="823"/>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10.2</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0"/>
              </w:rPr>
              <w:t>August 4, 2022</w:t>
            </w:r>
          </w:p>
        </w:tc>
      </w:tr>
      <w:tr>
        <w:trPr>
          <w:trHeight w:val="823"/>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0"/>
              </w:rPr>
              <w:t>November 9, 2022</w:t>
            </w:r>
          </w:p>
        </w:tc>
      </w:tr>
      <w:tr>
        <w:trPr>
          <w:trHeight w:val="1039"/>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001-39335</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10.2</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0"/>
              </w:rPr>
              <w:t>November 9,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1180" w:val="left"/>
          <w:tab w:leader="none" w:pos="2900" w:val="left"/>
          <w:tab w:leader="none" w:pos="38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333-238822</w:t>
      </w:r>
      <w:r>
        <w:rPr>
          <w:sz w:val="20"/>
          <w:szCs w:val="20"/>
          <w:color w:val="auto"/>
        </w:rPr>
        <w:tab/>
      </w: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May 29, 2020</w:t>
      </w:r>
    </w:p>
    <w:p>
      <w:pPr>
        <w:sectPr>
          <w:pgSz w:w="11900" w:h="16838" w:orient="portrait"/>
          <w:cols w:equalWidth="0" w:num="2">
            <w:col w:w="5740" w:space="340"/>
            <w:col w:w="5080"/>
          </w:cols>
          <w:pgMar w:left="340" w:top="338" w:right="399" w:bottom="1440" w:gutter="0" w:footer="0" w:header="0"/>
        </w:sectPr>
      </w:pPr>
    </w:p>
    <w:bookmarkStart w:id="169" w:name="page170"/>
    <w:bookmarkEnd w:id="169"/>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1"/>
              </w:rPr>
              <w:t>Consent of Ernst &amp; Young LLP, an Independent Registered</w:t>
            </w:r>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563C1"/>
            </w:tcBorders>
            <w:gridSpan w:val="2"/>
          </w:tcPr>
          <w:p>
            <w:pPr>
              <w:spacing w:after="0" w:line="196" w:lineRule="exact"/>
              <w:rPr>
                <w:sz w:val="20"/>
                <w:szCs w:val="20"/>
                <w:color w:val="auto"/>
              </w:rPr>
            </w:pPr>
            <w:r>
              <w:rPr>
                <w:rFonts w:ascii="Arial" w:cs="Arial" w:eastAsia="Arial" w:hAnsi="Arial"/>
                <w:sz w:val="18"/>
                <w:szCs w:val="18"/>
                <w:color w:val="0563C1"/>
                <w:w w:val="94"/>
              </w:rPr>
              <w:t>Public Accounting Firm.</w:t>
            </w:r>
          </w:p>
        </w:tc>
        <w:tc>
          <w:tcPr>
            <w:tcW w:w="2680" w:type="dxa"/>
            <w:vAlign w:val="bottom"/>
            <w:gridSpan w:val="6"/>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448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1"/>
              </w:rPr>
              <w:t>Power of Attorney (incorporated by reference to the signature</w:t>
            </w:r>
          </w:p>
        </w:tc>
      </w:tr>
      <w:tr>
        <w:trPr>
          <w:trHeight w:val="196"/>
        </w:trPr>
        <w:tc>
          <w:tcPr>
            <w:tcW w:w="1140" w:type="dxa"/>
            <w:vAlign w:val="bottom"/>
          </w:tcPr>
          <w:p>
            <w:pPr>
              <w:spacing w:after="0"/>
              <w:rPr>
                <w:sz w:val="17"/>
                <w:szCs w:val="17"/>
                <w:color w:val="auto"/>
              </w:rPr>
            </w:pPr>
          </w:p>
        </w:tc>
        <w:tc>
          <w:tcPr>
            <w:tcW w:w="4480" w:type="dxa"/>
            <w:vAlign w:val="bottom"/>
            <w:gridSpan w:val="8"/>
          </w:tcPr>
          <w:p>
            <w:pPr>
              <w:spacing w:after="0" w:line="196" w:lineRule="exact"/>
              <w:rPr>
                <w:sz w:val="20"/>
                <w:szCs w:val="20"/>
                <w:color w:val="auto"/>
              </w:rPr>
            </w:pPr>
            <w:r>
              <w:rPr>
                <w:rFonts w:ascii="Arial" w:cs="Arial" w:eastAsia="Arial" w:hAnsi="Arial"/>
                <w:sz w:val="18"/>
                <w:szCs w:val="18"/>
                <w:color w:val="0563C1"/>
              </w:rPr>
              <w:t>pages of this Annual Report on Form 10-K).</w:t>
            </w: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1800" w:type="dxa"/>
            <w:vAlign w:val="bottom"/>
            <w:gridSpan w:val="2"/>
            <w:shd w:val="clear" w:color="auto" w:fill="0563C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448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3"/>
              </w:rPr>
              <w:t>Certification of Principal Executive Officer Pursuant to Rules</w:t>
            </w:r>
          </w:p>
        </w:tc>
      </w:tr>
      <w:tr>
        <w:trPr>
          <w:trHeight w:val="196"/>
        </w:trPr>
        <w:tc>
          <w:tcPr>
            <w:tcW w:w="1140" w:type="dxa"/>
            <w:vAlign w:val="bottom"/>
          </w:tcPr>
          <w:p>
            <w:pPr>
              <w:spacing w:after="0"/>
              <w:rPr>
                <w:sz w:val="17"/>
                <w:szCs w:val="17"/>
                <w:color w:val="auto"/>
              </w:rPr>
            </w:pPr>
          </w:p>
        </w:tc>
        <w:tc>
          <w:tcPr>
            <w:tcW w:w="4340" w:type="dxa"/>
            <w:vAlign w:val="bottom"/>
            <w:tcBorders>
              <w:bottom w:val="single" w:sz="8" w:color="0563C1"/>
            </w:tcBorders>
            <w:gridSpan w:val="5"/>
          </w:tcPr>
          <w:p>
            <w:pPr>
              <w:spacing w:after="0" w:line="196" w:lineRule="exact"/>
              <w:rPr>
                <w:sz w:val="20"/>
                <w:szCs w:val="20"/>
                <w:color w:val="auto"/>
              </w:rPr>
            </w:pPr>
            <w:r>
              <w:rPr>
                <w:rFonts w:ascii="Arial" w:cs="Arial" w:eastAsia="Arial" w:hAnsi="Arial"/>
                <w:sz w:val="18"/>
                <w:szCs w:val="18"/>
                <w:color w:val="0563C1"/>
                <w:w w:val="90"/>
              </w:rPr>
              <w:t>13a-14(a) and 15d-14(a) under the Securities Exchange Act</w:t>
            </w:r>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8"/>
          </w:tcPr>
          <w:p>
            <w:pPr>
              <w:spacing w:after="0" w:line="196" w:lineRule="exact"/>
              <w:rPr>
                <w:sz w:val="20"/>
                <w:szCs w:val="20"/>
                <w:color w:val="auto"/>
              </w:rPr>
            </w:pPr>
            <w:r>
              <w:rPr>
                <w:rFonts w:ascii="Arial" w:cs="Arial" w:eastAsia="Arial" w:hAnsi="Arial"/>
                <w:sz w:val="18"/>
                <w:szCs w:val="18"/>
                <w:color w:val="0563C1"/>
                <w:w w:val="89"/>
              </w:rPr>
              <w:t>of 1934, as Adopted Pursuant to Section 302 of the Sarbanes-</w:t>
            </w:r>
          </w:p>
        </w:tc>
      </w:tr>
      <w:tr>
        <w:trPr>
          <w:trHeight w:val="196"/>
        </w:trPr>
        <w:tc>
          <w:tcPr>
            <w:tcW w:w="1140" w:type="dxa"/>
            <w:vAlign w:val="bottom"/>
          </w:tcPr>
          <w:p>
            <w:pPr>
              <w:spacing w:after="0"/>
              <w:rPr>
                <w:sz w:val="17"/>
                <w:szCs w:val="17"/>
                <w:color w:val="auto"/>
              </w:rPr>
            </w:pPr>
          </w:p>
        </w:tc>
        <w:tc>
          <w:tcPr>
            <w:tcW w:w="1400" w:type="dxa"/>
            <w:vAlign w:val="bottom"/>
            <w:tcBorders>
              <w:top w:val="single" w:sz="8" w:color="0563C1"/>
              <w:bottom w:val="single" w:sz="8" w:color="0563C1"/>
            </w:tcBorders>
          </w:tcPr>
          <w:p>
            <w:pPr>
              <w:spacing w:after="0" w:line="196" w:lineRule="exact"/>
              <w:rPr>
                <w:sz w:val="20"/>
                <w:szCs w:val="20"/>
                <w:color w:val="auto"/>
              </w:rPr>
            </w:pPr>
            <w:r>
              <w:rPr>
                <w:rFonts w:ascii="Arial" w:cs="Arial" w:eastAsia="Arial" w:hAnsi="Arial"/>
                <w:sz w:val="18"/>
                <w:szCs w:val="18"/>
                <w:color w:val="0563C1"/>
                <w:w w:val="93"/>
              </w:rPr>
              <w:t>Oxley Act of 2002.</w:t>
            </w:r>
          </w:p>
        </w:tc>
        <w:tc>
          <w:tcPr>
            <w:tcW w:w="3040" w:type="dxa"/>
            <w:vAlign w:val="bottom"/>
            <w:tcBorders>
              <w:top w:val="single" w:sz="8" w:color="0563C1"/>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446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color w:val="0563C1"/>
                <w:w w:val="94"/>
              </w:rPr>
              <w:t>Certification of Principal Financial Officer Pursuant to Rules</w:t>
            </w: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40" w:type="dxa"/>
            <w:vAlign w:val="bottom"/>
            <w:tcBorders>
              <w:bottom w:val="single" w:sz="8" w:color="0563C1"/>
            </w:tcBorders>
            <w:gridSpan w:val="5"/>
          </w:tcPr>
          <w:p>
            <w:pPr>
              <w:spacing w:after="0" w:line="196" w:lineRule="exact"/>
              <w:rPr>
                <w:sz w:val="20"/>
                <w:szCs w:val="20"/>
                <w:color w:val="auto"/>
              </w:rPr>
            </w:pPr>
            <w:r>
              <w:rPr>
                <w:rFonts w:ascii="Arial" w:cs="Arial" w:eastAsia="Arial" w:hAnsi="Arial"/>
                <w:sz w:val="18"/>
                <w:szCs w:val="18"/>
                <w:color w:val="0563C1"/>
                <w:w w:val="90"/>
              </w:rPr>
              <w:t>13a-14(a) and 15d-14(a) under the Securities Exchange Act</w:t>
            </w:r>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8"/>
          </w:tcPr>
          <w:p>
            <w:pPr>
              <w:spacing w:after="0" w:line="196" w:lineRule="exact"/>
              <w:rPr>
                <w:sz w:val="20"/>
                <w:szCs w:val="20"/>
                <w:color w:val="auto"/>
              </w:rPr>
            </w:pPr>
            <w:r>
              <w:rPr>
                <w:rFonts w:ascii="Arial" w:cs="Arial" w:eastAsia="Arial" w:hAnsi="Arial"/>
                <w:sz w:val="18"/>
                <w:szCs w:val="18"/>
                <w:color w:val="0563C1"/>
                <w:w w:val="89"/>
              </w:rPr>
              <w:t>of 1934, as Adopted Pursuant to Section 302 of the Sarbanes-</w:t>
            </w:r>
          </w:p>
        </w:tc>
      </w:tr>
      <w:tr>
        <w:trPr>
          <w:trHeight w:val="196"/>
        </w:trPr>
        <w:tc>
          <w:tcPr>
            <w:tcW w:w="1140" w:type="dxa"/>
            <w:vAlign w:val="bottom"/>
          </w:tcPr>
          <w:p>
            <w:pPr>
              <w:spacing w:after="0"/>
              <w:rPr>
                <w:sz w:val="17"/>
                <w:szCs w:val="17"/>
                <w:color w:val="auto"/>
              </w:rPr>
            </w:pPr>
          </w:p>
        </w:tc>
        <w:tc>
          <w:tcPr>
            <w:tcW w:w="1400" w:type="dxa"/>
            <w:vAlign w:val="bottom"/>
            <w:tcBorders>
              <w:top w:val="single" w:sz="8" w:color="0563C1"/>
              <w:bottom w:val="single" w:sz="8" w:color="0563C1"/>
            </w:tcBorders>
          </w:tcPr>
          <w:p>
            <w:pPr>
              <w:spacing w:after="0" w:line="196" w:lineRule="exact"/>
              <w:rPr>
                <w:sz w:val="20"/>
                <w:szCs w:val="20"/>
                <w:color w:val="auto"/>
              </w:rPr>
            </w:pPr>
            <w:r>
              <w:rPr>
                <w:rFonts w:ascii="Arial" w:cs="Arial" w:eastAsia="Arial" w:hAnsi="Arial"/>
                <w:sz w:val="18"/>
                <w:szCs w:val="18"/>
                <w:color w:val="0563C1"/>
                <w:w w:val="93"/>
              </w:rPr>
              <w:t>Oxley Act of 2002.</w:t>
            </w:r>
          </w:p>
        </w:tc>
        <w:tc>
          <w:tcPr>
            <w:tcW w:w="3040" w:type="dxa"/>
            <w:vAlign w:val="bottom"/>
            <w:tcBorders>
              <w:top w:val="single" w:sz="8" w:color="0563C1"/>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448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1"/>
              </w:rPr>
              <w:t>Certification Pursuant to 18 U.S.C. Section 1350, as Adopted</w:t>
            </w:r>
          </w:p>
        </w:tc>
      </w:tr>
      <w:tr>
        <w:trPr>
          <w:trHeight w:val="196"/>
        </w:trPr>
        <w:tc>
          <w:tcPr>
            <w:tcW w:w="1140" w:type="dxa"/>
            <w:vAlign w:val="bottom"/>
          </w:tcPr>
          <w:p>
            <w:pPr>
              <w:spacing w:after="0"/>
              <w:rPr>
                <w:sz w:val="17"/>
                <w:szCs w:val="17"/>
                <w:color w:val="auto"/>
              </w:rPr>
            </w:pPr>
          </w:p>
        </w:tc>
        <w:tc>
          <w:tcPr>
            <w:tcW w:w="4480" w:type="dxa"/>
            <w:vAlign w:val="bottom"/>
            <w:gridSpan w:val="8"/>
          </w:tcPr>
          <w:p>
            <w:pPr>
              <w:spacing w:after="0" w:line="196" w:lineRule="exact"/>
              <w:rPr>
                <w:sz w:val="20"/>
                <w:szCs w:val="20"/>
                <w:color w:val="auto"/>
              </w:rPr>
            </w:pPr>
            <w:r>
              <w:rPr>
                <w:rFonts w:ascii="Arial" w:cs="Arial" w:eastAsia="Arial" w:hAnsi="Arial"/>
                <w:sz w:val="18"/>
                <w:szCs w:val="18"/>
                <w:color w:val="0563C1"/>
                <w:w w:val="93"/>
              </w:rPr>
              <w:t>Pursuant to Section 906 of the Sarbanes-Oxley Act of 2002.</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4320" w:type="dxa"/>
            <w:vAlign w:val="bottom"/>
            <w:tcBorders>
              <w:top w:val="single" w:sz="8" w:color="0563C1"/>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160" w:type="dxa"/>
            <w:vAlign w:val="bottom"/>
            <w:gridSpan w:val="4"/>
          </w:tcPr>
          <w:p>
            <w:pPr>
              <w:spacing w:after="0"/>
              <w:rPr>
                <w:sz w:val="24"/>
                <w:szCs w:val="24"/>
                <w:color w:val="auto"/>
              </w:rPr>
            </w:pP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44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44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14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44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14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44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14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4480" w:type="dxa"/>
            <w:vAlign w:val="bottom"/>
            <w:gridSpan w:val="8"/>
          </w:tcPr>
          <w:p>
            <w:pPr>
              <w:spacing w:after="0"/>
              <w:rPr>
                <w:sz w:val="20"/>
                <w:szCs w:val="20"/>
                <w:color w:val="auto"/>
              </w:rPr>
            </w:pPr>
            <w:r>
              <w:rPr>
                <w:rFonts w:ascii="Arial" w:cs="Arial" w:eastAsia="Arial" w:hAnsi="Arial"/>
                <w:sz w:val="18"/>
                <w:szCs w:val="18"/>
                <w:color w:val="auto"/>
                <w:w w:val="98"/>
              </w:rPr>
              <w:t>Inline XBRL Taxonomy Extension Presentation Linkbase</w:t>
            </w:r>
          </w:p>
        </w:tc>
      </w:tr>
      <w:tr>
        <w:trPr>
          <w:trHeight w:val="230"/>
        </w:trPr>
        <w:tc>
          <w:tcPr>
            <w:tcW w:w="114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Arial" w:cs="Arial" w:eastAsia="Arial" w:hAnsi="Arial"/>
                <w:sz w:val="18"/>
                <w:szCs w:val="18"/>
                <w:color w:val="auto"/>
              </w:rPr>
              <w:t>Document</w:t>
            </w:r>
          </w:p>
        </w:tc>
      </w:tr>
    </w:tbl>
    <w:p>
      <w:pPr>
        <w:spacing w:after="0" w:line="256" w:lineRule="exact"/>
        <w:rPr>
          <w:sz w:val="20"/>
          <w:szCs w:val="20"/>
          <w:color w:val="auto"/>
        </w:rPr>
      </w:pPr>
    </w:p>
    <w:p>
      <w:pPr>
        <w:ind w:left="1160" w:right="5800" w:hanging="1139"/>
        <w:spacing w:after="0" w:line="277"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Inline Cover Page Interactive Data File (formatted as inline XBRL and contained in Exhibit 101)</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jc w:val="both"/>
        <w:ind w:firstLine="8"/>
        <w:spacing w:after="0" w:line="250" w:lineRule="auto"/>
        <w:tabs>
          <w:tab w:leader="none" w:pos="2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 Certain portions of this exhibit (indicated by asterisks) have been omitted because they are not material and would likely cause competitive harm to Repare Therapeutics Inc. if publicly disclosed.</w:t>
      </w: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9" w:lineRule="exact"/>
        <w:rPr>
          <w:rFonts w:ascii="Arial" w:cs="Arial" w:eastAsia="Arial" w:hAnsi="Arial"/>
          <w:sz w:val="18"/>
          <w:szCs w:val="18"/>
          <w:color w:val="auto"/>
        </w:rPr>
      </w:pPr>
    </w:p>
    <w:p>
      <w:pPr>
        <w:spacing w:after="0" w:line="260" w:lineRule="auto"/>
        <w:rPr>
          <w:rFonts w:ascii="Arial" w:cs="Arial" w:eastAsia="Arial" w:hAnsi="Arial"/>
          <w:sz w:val="18"/>
          <w:szCs w:val="18"/>
          <w:color w:val="auto"/>
        </w:rPr>
      </w:pPr>
      <w:r>
        <w:rPr>
          <w:rFonts w:ascii="Arial" w:cs="Arial" w:eastAsia="Arial" w:hAnsi="Arial"/>
          <w:sz w:val="18"/>
          <w:szCs w:val="18"/>
          <w:color w:val="auto"/>
        </w:rPr>
        <w:t>++ Certain schedules and exhibits to this exhibit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-1252855</wp:posOffset>
            </wp:positionV>
            <wp:extent cx="19030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2680"/>
              <w:spacing w:after="0"/>
              <w:rPr>
                <w:sz w:val="20"/>
                <w:szCs w:val="20"/>
                <w:color w:val="auto"/>
              </w:rPr>
            </w:pPr>
            <w:r>
              <w:rPr>
                <w:rFonts w:ascii="Arial" w:cs="Arial" w:eastAsia="Arial" w:hAnsi="Arial"/>
                <w:sz w:val="18"/>
                <w:szCs w:val="18"/>
                <w:color w:val="auto"/>
              </w:rPr>
              <w:t>REPARE THERAPEUTICS INC.</w:t>
            </w:r>
          </w:p>
        </w:tc>
      </w:tr>
      <w:tr>
        <w:trPr>
          <w:trHeight w:val="473"/>
        </w:trPr>
        <w:tc>
          <w:tcPr>
            <w:tcW w:w="3640" w:type="dxa"/>
            <w:vAlign w:val="bottom"/>
          </w:tcPr>
          <w:p>
            <w:pPr>
              <w:ind w:left="20"/>
              <w:spacing w:after="0"/>
              <w:rPr>
                <w:sz w:val="20"/>
                <w:szCs w:val="20"/>
                <w:color w:val="auto"/>
              </w:rPr>
            </w:pPr>
            <w:r>
              <w:rPr>
                <w:rFonts w:ascii="Arial" w:cs="Arial" w:eastAsia="Arial" w:hAnsi="Arial"/>
                <w:sz w:val="18"/>
                <w:szCs w:val="18"/>
                <w:color w:val="auto"/>
              </w:rPr>
              <w:t>Date: February 28, 2023</w:t>
            </w:r>
          </w:p>
        </w:tc>
        <w:tc>
          <w:tcPr>
            <w:tcW w:w="7600" w:type="dxa"/>
            <w:vAlign w:val="bottom"/>
            <w:gridSpan w:val="2"/>
          </w:tcPr>
          <w:p>
            <w:pPr>
              <w:ind w:left="2680"/>
              <w:spacing w:after="0"/>
              <w:rPr>
                <w:sz w:val="20"/>
                <w:szCs w:val="20"/>
                <w:color w:val="auto"/>
              </w:rPr>
            </w:pPr>
            <w:r>
              <w:rPr>
                <w:rFonts w:ascii="Arial" w:cs="Arial" w:eastAsia="Arial" w:hAnsi="Arial"/>
                <w:sz w:val="18"/>
                <w:szCs w:val="18"/>
                <w:color w:val="auto"/>
              </w:rPr>
              <w:t>By:  /s/ Lloyd M. Segal</w:t>
            </w:r>
          </w:p>
        </w:tc>
      </w:tr>
      <w:tr>
        <w:trPr>
          <w:trHeight w:val="209"/>
        </w:trPr>
        <w:tc>
          <w:tcPr>
            <w:tcW w:w="36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Lloyd M. Segal</w:t>
            </w:r>
          </w:p>
        </w:tc>
      </w:tr>
      <w:tr>
        <w:trPr>
          <w:trHeight w:val="230"/>
        </w:trPr>
        <w:tc>
          <w:tcPr>
            <w:tcW w:w="3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904"/>
        </w:trPr>
        <w:tc>
          <w:tcPr>
            <w:tcW w:w="3640" w:type="dxa"/>
            <w:vAlign w:val="bottom"/>
          </w:tcPr>
          <w:p>
            <w:pPr>
              <w:spacing w:after="0"/>
              <w:rPr>
                <w:sz w:val="24"/>
                <w:szCs w:val="24"/>
                <w:color w:val="auto"/>
              </w:rPr>
            </w:pPr>
          </w:p>
        </w:tc>
        <w:tc>
          <w:tcPr>
            <w:tcW w:w="3120" w:type="dxa"/>
            <w:vAlign w:val="bottom"/>
          </w:tcPr>
          <w:p>
            <w:pPr>
              <w:jc w:val="right"/>
              <w:ind w:right="910"/>
              <w:spacing w:after="0"/>
              <w:rPr>
                <w:sz w:val="20"/>
                <w:szCs w:val="20"/>
                <w:color w:val="auto"/>
              </w:rPr>
            </w:pPr>
            <w:r>
              <w:rPr>
                <w:rFonts w:ascii="Arial" w:cs="Arial" w:eastAsia="Arial" w:hAnsi="Arial"/>
                <w:sz w:val="18"/>
                <w:szCs w:val="18"/>
                <w:color w:val="auto"/>
              </w:rPr>
              <w:t>169</w:t>
            </w:r>
          </w:p>
        </w:tc>
        <w:tc>
          <w:tcPr>
            <w:tcW w:w="44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1" w:name="page172"/>
    <w:bookmarkEnd w:id="171"/>
    <w:p>
      <w:pPr>
        <w:jc w:val="center"/>
        <w:ind w:left="5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Lloyd Segal and Steve Forte,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7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7" w:right="339" w:bottom="1440" w:gutter="0" w:footer="0" w:header="0"/>
        </w:sectPr>
      </w:pPr>
    </w:p>
    <w:p>
      <w:pPr>
        <w:spacing w:after="0" w:line="175" w:lineRule="exact"/>
        <w:rPr>
          <w:sz w:val="20"/>
          <w:szCs w:val="20"/>
          <w:color w:val="auto"/>
        </w:rPr>
      </w:pPr>
    </w:p>
    <w:p>
      <w:pPr>
        <w:ind w:left="1860"/>
        <w:spacing w:after="0"/>
        <w:tabs>
          <w:tab w:leader="none" w:pos="63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6407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r>
      <w:tr>
        <w:trPr>
          <w:trHeight w:val="237"/>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Lloyd M. Segal</w:t>
            </w:r>
          </w:p>
        </w:tc>
        <w:tc>
          <w:tcPr>
            <w:tcW w:w="470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7"/>
              </w:rPr>
              <w:t>Lloyd M. Segal</w:t>
            </w:r>
          </w:p>
        </w:tc>
        <w:tc>
          <w:tcPr>
            <w:tcW w:w="4700" w:type="dxa"/>
            <w:vAlign w:val="bottom"/>
          </w:tcPr>
          <w:p>
            <w:pPr>
              <w:spacing w:after="0"/>
              <w:rPr>
                <w:sz w:val="15"/>
                <w:szCs w:val="15"/>
                <w:color w:val="auto"/>
              </w:rPr>
            </w:pPr>
          </w:p>
        </w:tc>
      </w:tr>
      <w:tr>
        <w:trPr>
          <w:trHeight w:val="316"/>
        </w:trPr>
        <w:tc>
          <w:tcPr>
            <w:tcW w:w="4060" w:type="dxa"/>
            <w:vAlign w:val="bottom"/>
          </w:tcPr>
          <w:p>
            <w:pPr>
              <w:spacing w:after="0"/>
              <w:rPr>
                <w:sz w:val="24"/>
                <w:szCs w:val="24"/>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Executive Vice President, Chief Financial Officer</w:t>
            </w:r>
          </w:p>
        </w:tc>
      </w:tr>
      <w:tr>
        <w:trPr>
          <w:trHeight w:val="237"/>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 Forte</w:t>
            </w:r>
          </w:p>
        </w:tc>
        <w:tc>
          <w:tcPr>
            <w:tcW w:w="4700" w:type="dxa"/>
            <w:vAlign w:val="bottom"/>
          </w:tcPr>
          <w:p>
            <w:pPr>
              <w:ind w:left="14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1"/>
              </w:rPr>
              <w:t>Steve Forte</w:t>
            </w:r>
          </w:p>
        </w:tc>
        <w:tc>
          <w:tcPr>
            <w:tcW w:w="4700" w:type="dxa"/>
            <w:vAlign w:val="bottom"/>
          </w:tcPr>
          <w:p>
            <w:pPr>
              <w:spacing w:after="0"/>
              <w:rPr>
                <w:sz w:val="15"/>
                <w:szCs w:val="15"/>
                <w:color w:val="auto"/>
              </w:rPr>
            </w:pPr>
          </w:p>
        </w:tc>
      </w:tr>
      <w:tr>
        <w:trPr>
          <w:trHeight w:val="54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Thomas Civik</w:t>
            </w:r>
          </w:p>
        </w:tc>
        <w:tc>
          <w:tcPr>
            <w:tcW w:w="4700" w:type="dxa"/>
            <w:vAlign w:val="bottom"/>
          </w:tcPr>
          <w:p>
            <w:pPr>
              <w:ind w:left="180"/>
              <w:spacing w:after="0"/>
              <w:rPr>
                <w:sz w:val="20"/>
                <w:szCs w:val="20"/>
                <w:color w:val="auto"/>
              </w:rPr>
            </w:pPr>
            <w:r>
              <w:rPr>
                <w:rFonts w:ascii="Arial" w:cs="Arial" w:eastAsia="Arial" w:hAnsi="Arial"/>
                <w:sz w:val="18"/>
                <w:szCs w:val="18"/>
                <w:color w:val="auto"/>
              </w:rPr>
              <w:t>Chair of the Board of Directors</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6"/>
              </w:rPr>
              <w:t>Thomas Civik</w:t>
            </w:r>
          </w:p>
        </w:tc>
        <w:tc>
          <w:tcPr>
            <w:tcW w:w="4700" w:type="dxa"/>
            <w:vAlign w:val="bottom"/>
          </w:tcPr>
          <w:p>
            <w:pPr>
              <w:spacing w:after="0"/>
              <w:rPr>
                <w:sz w:val="15"/>
                <w:szCs w:val="15"/>
                <w:color w:val="auto"/>
              </w:rPr>
            </w:pPr>
          </w:p>
        </w:tc>
      </w:tr>
      <w:tr>
        <w:trPr>
          <w:trHeight w:val="54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Bonita, M.D.</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7"/>
              </w:rPr>
              <w:t>David Bonita, M.D.</w:t>
            </w:r>
          </w:p>
        </w:tc>
        <w:tc>
          <w:tcPr>
            <w:tcW w:w="4700" w:type="dxa"/>
            <w:vAlign w:val="bottom"/>
          </w:tcPr>
          <w:p>
            <w:pPr>
              <w:spacing w:after="0"/>
              <w:rPr>
                <w:sz w:val="15"/>
                <w:szCs w:val="15"/>
                <w:color w:val="auto"/>
              </w:rPr>
            </w:pPr>
          </w:p>
        </w:tc>
      </w:tr>
      <w:tr>
        <w:trPr>
          <w:trHeight w:val="34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Jerel Davis, Ph.D.</w:t>
            </w:r>
          </w:p>
        </w:tc>
        <w:tc>
          <w:tcPr>
            <w:tcW w:w="47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38"/>
        </w:trPr>
        <w:tc>
          <w:tcPr>
            <w:tcW w:w="4060" w:type="dxa"/>
            <w:vAlign w:val="bottom"/>
          </w:tcPr>
          <w:p>
            <w:pPr>
              <w:jc w:val="center"/>
              <w:spacing w:after="0"/>
              <w:rPr>
                <w:sz w:val="20"/>
                <w:szCs w:val="20"/>
                <w:color w:val="auto"/>
              </w:rPr>
            </w:pPr>
            <w:r>
              <w:rPr>
                <w:rFonts w:ascii="Arial" w:cs="Arial" w:eastAsia="Arial" w:hAnsi="Arial"/>
                <w:sz w:val="14"/>
                <w:szCs w:val="14"/>
                <w:color w:val="auto"/>
                <w:w w:val="92"/>
              </w:rPr>
              <w:t>Jerel Davis, Ph.D.</w:t>
            </w:r>
          </w:p>
        </w:tc>
        <w:tc>
          <w:tcPr>
            <w:tcW w:w="4700" w:type="dxa"/>
            <w:vAlign w:val="bottom"/>
          </w:tcPr>
          <w:p>
            <w:pPr>
              <w:spacing w:after="0"/>
              <w:rPr>
                <w:sz w:val="20"/>
                <w:szCs w:val="20"/>
                <w:color w:val="auto"/>
              </w:rPr>
            </w:pPr>
          </w:p>
        </w:tc>
      </w:tr>
      <w:tr>
        <w:trPr>
          <w:trHeight w:val="54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Foley</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4"/>
              </w:rPr>
              <w:t>Todd Foley</w:t>
            </w:r>
          </w:p>
        </w:tc>
        <w:tc>
          <w:tcPr>
            <w:tcW w:w="4700" w:type="dxa"/>
            <w:vAlign w:val="bottom"/>
          </w:tcPr>
          <w:p>
            <w:pPr>
              <w:spacing w:after="0"/>
              <w:rPr>
                <w:sz w:val="15"/>
                <w:szCs w:val="15"/>
                <w:color w:val="auto"/>
              </w:rPr>
            </w:pPr>
          </w:p>
        </w:tc>
      </w:tr>
      <w:tr>
        <w:trPr>
          <w:trHeight w:val="54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Samarth Kulkarni, Ph.D.</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4"/>
              </w:rPr>
              <w:t>Samarth Kulkarni, Ph.D.</w:t>
            </w:r>
          </w:p>
        </w:tc>
        <w:tc>
          <w:tcPr>
            <w:tcW w:w="4700" w:type="dxa"/>
            <w:vAlign w:val="bottom"/>
          </w:tcPr>
          <w:p>
            <w:pPr>
              <w:spacing w:after="0"/>
              <w:rPr>
                <w:sz w:val="15"/>
                <w:szCs w:val="15"/>
                <w:color w:val="auto"/>
              </w:rPr>
            </w:pPr>
          </w:p>
        </w:tc>
      </w:tr>
      <w:tr>
        <w:trPr>
          <w:trHeight w:val="54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Briggs Morrison, M.D.</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8"/>
              </w:rPr>
              <w:t>Briggs Morrison, M.D.</w:t>
            </w:r>
          </w:p>
        </w:tc>
        <w:tc>
          <w:tcPr>
            <w:tcW w:w="4700" w:type="dxa"/>
            <w:vAlign w:val="bottom"/>
          </w:tcPr>
          <w:p>
            <w:pPr>
              <w:spacing w:after="0"/>
              <w:rPr>
                <w:sz w:val="15"/>
                <w:szCs w:val="15"/>
                <w:color w:val="auto"/>
              </w:rPr>
            </w:pPr>
          </w:p>
        </w:tc>
      </w:tr>
      <w:tr>
        <w:trPr>
          <w:trHeight w:val="54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Ann D. Rhoads</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4"/>
              </w:rPr>
              <w:t>Ann D. Rhoads</w:t>
            </w:r>
          </w:p>
        </w:tc>
        <w:tc>
          <w:tcPr>
            <w:tcW w:w="4700" w:type="dxa"/>
            <w:vAlign w:val="bottom"/>
          </w:tcPr>
          <w:p>
            <w:pPr>
              <w:spacing w:after="0"/>
              <w:rPr>
                <w:sz w:val="15"/>
                <w:szCs w:val="15"/>
                <w:color w:val="auto"/>
              </w:rPr>
            </w:pPr>
          </w:p>
        </w:tc>
      </w:tr>
      <w:tr>
        <w:trPr>
          <w:trHeight w:val="54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Carol A. Schafer</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5"/>
              </w:rPr>
              <w:t>Carol A. Schafer</w:t>
            </w:r>
          </w:p>
        </w:tc>
        <w:tc>
          <w:tcPr>
            <w:tcW w:w="47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wp:posOffset>
            </wp:positionV>
            <wp:extent cx="14230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442" w:lineRule="exact"/>
        <w:rPr>
          <w:sz w:val="20"/>
          <w:szCs w:val="20"/>
          <w:color w:val="auto"/>
        </w:rPr>
      </w:pPr>
    </w:p>
    <w:p>
      <w:pPr>
        <w:sectPr>
          <w:pgSz w:w="11900" w:h="16838" w:orient="portrait"/>
          <w:cols w:equalWidth="0" w:num="2">
            <w:col w:w="8760" w:space="260"/>
            <w:col w:w="2220"/>
          </w:cols>
          <w:pgMar w:left="320" w:top="337" w:right="33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10.31</w:t>
      </w:r>
    </w:p>
    <w:p>
      <w:pPr>
        <w:spacing w:after="0" w:line="310" w:lineRule="exact"/>
        <w:rPr>
          <w:sz w:val="20"/>
          <w:szCs w:val="20"/>
          <w:color w:val="auto"/>
        </w:rPr>
      </w:pPr>
    </w:p>
    <w:p>
      <w:pPr>
        <w:jc w:val="center"/>
        <w:ind w:right="192"/>
        <w:spacing w:after="0"/>
        <w:rPr>
          <w:sz w:val="20"/>
          <w:szCs w:val="20"/>
          <w:color w:val="auto"/>
        </w:rPr>
      </w:pPr>
      <w:r>
        <w:rPr>
          <w:rFonts w:ascii="Arial" w:cs="Arial" w:eastAsia="Arial" w:hAnsi="Arial"/>
          <w:sz w:val="20"/>
          <w:szCs w:val="20"/>
          <w:b w:val="1"/>
          <w:bCs w:val="1"/>
          <w:color w:val="auto"/>
        </w:rPr>
        <w:t>LEASE AMENDING AGREEMENT</w:t>
      </w:r>
    </w:p>
    <w:p>
      <w:pPr>
        <w:spacing w:after="0" w:line="283"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entered into in the city of Montreal (Quebec) as of this October 27</w:t>
      </w:r>
      <w:r>
        <w:rPr>
          <w:rFonts w:ascii="Arial" w:cs="Arial" w:eastAsia="Arial" w:hAnsi="Arial"/>
          <w:sz w:val="26"/>
          <w:szCs w:val="26"/>
          <w:color w:val="auto"/>
          <w:vertAlign w:val="superscript"/>
        </w:rPr>
        <w:t>th</w:t>
      </w:r>
      <w:r>
        <w:rPr>
          <w:rFonts w:ascii="Arial" w:cs="Arial" w:eastAsia="Arial" w:hAnsi="Arial"/>
          <w:sz w:val="20"/>
          <w:szCs w:val="20"/>
          <w:color w:val="auto"/>
        </w:rPr>
        <w:t>, 2022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33" w:lineRule="exact"/>
        <w:rPr>
          <w:sz w:val="20"/>
          <w:szCs w:val="20"/>
          <w:color w:val="auto"/>
        </w:rPr>
      </w:pPr>
    </w:p>
    <w:p>
      <w:pPr>
        <w:ind w:left="1688"/>
        <w:spacing w:after="0"/>
        <w:tabs>
          <w:tab w:leader="none" w:pos="3868" w:val="left"/>
        </w:tabs>
        <w:rPr>
          <w:sz w:val="20"/>
          <w:szCs w:val="20"/>
          <w:color w:val="auto"/>
        </w:rPr>
      </w:pPr>
      <w:r>
        <w:rPr>
          <w:rFonts w:ascii="Arial" w:cs="Arial" w:eastAsia="Arial" w:hAnsi="Arial"/>
          <w:sz w:val="20"/>
          <w:szCs w:val="20"/>
          <w:b w:val="1"/>
          <w:bCs w:val="1"/>
          <w:color w:val="auto"/>
        </w:rPr>
        <w:t>BY AND BETWEEN</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NEOMED INSTITUTE</w:t>
      </w:r>
      <w:r>
        <w:rPr>
          <w:rFonts w:ascii="Arial" w:cs="Arial" w:eastAsia="Arial" w:hAnsi="Arial"/>
          <w:sz w:val="19"/>
          <w:szCs w:val="19"/>
          <w:color w:val="auto"/>
        </w:rPr>
        <w:t>, a corporation governed by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Canada</w:t>
      </w:r>
    </w:p>
    <w:p>
      <w:pPr>
        <w:spacing w:after="0" w:line="10" w:lineRule="exact"/>
        <w:rPr>
          <w:sz w:val="20"/>
          <w:szCs w:val="20"/>
          <w:color w:val="auto"/>
        </w:rPr>
      </w:pPr>
    </w:p>
    <w:p>
      <w:pPr>
        <w:jc w:val="both"/>
        <w:ind w:left="3248" w:right="120"/>
        <w:spacing w:after="0" w:line="225" w:lineRule="auto"/>
        <w:rPr>
          <w:sz w:val="20"/>
          <w:szCs w:val="20"/>
          <w:color w:val="auto"/>
        </w:rPr>
      </w:pPr>
      <w:r>
        <w:rPr>
          <w:rFonts w:ascii="Arial" w:cs="Arial" w:eastAsia="Arial" w:hAnsi="Arial"/>
          <w:sz w:val="20"/>
          <w:szCs w:val="20"/>
          <w:i w:val="1"/>
          <w:iCs w:val="1"/>
          <w:color w:val="auto"/>
        </w:rPr>
        <w:t>Not-for-profit Corporations Act</w:t>
      </w:r>
      <w:r>
        <w:rPr>
          <w:rFonts w:ascii="Arial" w:cs="Arial" w:eastAsia="Arial" w:hAnsi="Arial"/>
          <w:sz w:val="20"/>
          <w:szCs w:val="20"/>
          <w:color w:val="auto"/>
        </w:rPr>
        <w:t>, having its principal place of business at 7171, Frederick-Banting, City of Montreal, Province of Quebec, H4S 1Z9, herein acting and represented by Matthew Carlyle, Chief Financial Officer, duly authorized as he so declares;</w:t>
      </w:r>
    </w:p>
    <w:p>
      <w:pPr>
        <w:spacing w:after="0" w:line="1" w:lineRule="exact"/>
        <w:rPr>
          <w:sz w:val="20"/>
          <w:szCs w:val="20"/>
          <w:color w:val="auto"/>
        </w:rPr>
      </w:pPr>
    </w:p>
    <w:p>
      <w:pPr>
        <w:ind w:left="7488"/>
        <w:spacing w:after="0"/>
        <w:rPr>
          <w:sz w:val="20"/>
          <w:szCs w:val="20"/>
          <w:color w:val="auto"/>
        </w:rPr>
      </w:pPr>
      <w:r>
        <w:rPr>
          <w:rFonts w:ascii="Arial" w:cs="Arial" w:eastAsia="Arial" w:hAnsi="Arial"/>
          <w:sz w:val="20"/>
          <w:szCs w:val="20"/>
          <w:color w:val="auto"/>
        </w:rPr>
        <w:t>(Hereinafter referred to as the "</w:t>
      </w:r>
      <w:r>
        <w:rPr>
          <w:rFonts w:ascii="Arial" w:cs="Arial" w:eastAsia="Arial" w:hAnsi="Arial"/>
          <w:sz w:val="20"/>
          <w:szCs w:val="20"/>
          <w:b w:val="1"/>
          <w:bCs w:val="1"/>
          <w:color w:val="auto"/>
        </w:rPr>
        <w:t>Lessor</w:t>
      </w:r>
      <w:r>
        <w:rPr>
          <w:rFonts w:ascii="Arial" w:cs="Arial" w:eastAsia="Arial" w:hAnsi="Arial"/>
          <w:sz w:val="20"/>
          <w:szCs w:val="20"/>
          <w:color w:val="auto"/>
        </w:rPr>
        <w:t>")</w:t>
      </w:r>
    </w:p>
    <w:p>
      <w:pPr>
        <w:spacing w:after="0" w:line="70" w:lineRule="exact"/>
        <w:rPr>
          <w:sz w:val="20"/>
          <w:szCs w:val="20"/>
          <w:color w:val="auto"/>
        </w:rPr>
      </w:pPr>
    </w:p>
    <w:p>
      <w:pPr>
        <w:jc w:val="both"/>
        <w:ind w:left="888" w:right="120" w:hanging="3244"/>
        <w:spacing w:after="0"/>
        <w:tabs>
          <w:tab w:leader="none" w:pos="868" w:val="left"/>
        </w:tabs>
        <w:rPr>
          <w:sz w:val="20"/>
          <w:szCs w:val="20"/>
          <w:color w:val="auto"/>
        </w:rPr>
      </w:pPr>
      <w:r>
        <w:rPr>
          <w:rFonts w:ascii="Arial" w:cs="Arial" w:eastAsia="Arial" w:hAnsi="Arial"/>
          <w:sz w:val="20"/>
          <w:szCs w:val="20"/>
          <w:b w:val="1"/>
          <w:bCs w:val="1"/>
          <w:color w:val="auto"/>
        </w:rPr>
        <w:t>AND</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color w:val="auto"/>
        </w:rPr>
        <w:t xml:space="preserve">REPARE THERAPEUTICS </w:t>
      </w:r>
      <w:r>
        <w:rPr>
          <w:rFonts w:ascii="Arial" w:cs="Arial" w:eastAsia="Arial" w:hAnsi="Arial"/>
          <w:sz w:val="20"/>
          <w:szCs w:val="20"/>
          <w:color w:val="auto"/>
        </w:rPr>
        <w:t>a legal person duly incorporated under the Business Corporations Act (Québec), with</w:t>
      </w:r>
      <w:r>
        <w:rPr>
          <w:rFonts w:ascii="Arial" w:cs="Arial" w:eastAsia="Arial" w:hAnsi="Arial"/>
          <w:sz w:val="20"/>
          <w:szCs w:val="20"/>
          <w:b w:val="1"/>
          <w:bCs w:val="1"/>
          <w:color w:val="auto"/>
        </w:rPr>
        <w:t xml:space="preserve"> </w:t>
      </w:r>
      <w:r>
        <w:rPr>
          <w:rFonts w:ascii="Arial" w:cs="Arial" w:eastAsia="Arial" w:hAnsi="Arial"/>
          <w:sz w:val="20"/>
          <w:szCs w:val="20"/>
          <w:color w:val="auto"/>
        </w:rPr>
        <w:t>its head office at 7210, Frederick-Banting, Suite #100, in the City of Montreal, judicial district of Montreal, Province of Quebec, Canada H4S 2A1 herein acting and represented by Christopher Kendall, VP Finance and FP&amp;A, duly authorized as he so declares;</w:t>
      </w:r>
    </w:p>
    <w:p>
      <w:pPr>
        <w:spacing w:after="0" w:line="268" w:lineRule="exact"/>
        <w:rPr>
          <w:sz w:val="20"/>
          <w:szCs w:val="20"/>
          <w:color w:val="auto"/>
        </w:rPr>
      </w:pPr>
    </w:p>
    <w:p>
      <w:pPr>
        <w:jc w:val="right"/>
        <w:ind w:right="120"/>
        <w:spacing w:after="0"/>
        <w:rPr>
          <w:sz w:val="20"/>
          <w:szCs w:val="20"/>
          <w:color w:val="auto"/>
        </w:rPr>
      </w:pPr>
      <w:r>
        <w:rPr>
          <w:rFonts w:ascii="Arial" w:cs="Arial" w:eastAsia="Arial" w:hAnsi="Arial"/>
          <w:sz w:val="20"/>
          <w:szCs w:val="20"/>
          <w:color w:val="auto"/>
        </w:rPr>
        <w:t xml:space="preserve">(Hereinafter referred to as the </w:t>
      </w:r>
      <w:r>
        <w:rPr>
          <w:rFonts w:ascii="Arial" w:cs="Arial" w:eastAsia="Arial" w:hAnsi="Arial"/>
          <w:sz w:val="20"/>
          <w:szCs w:val="20"/>
          <w:b w:val="1"/>
          <w:bCs w:val="1"/>
          <w:color w:val="auto"/>
        </w:rPr>
        <w:t>“Lessee”</w:t>
      </w:r>
      <w:r>
        <w:rPr>
          <w:rFonts w:ascii="Arial" w:cs="Arial" w:eastAsia="Arial" w:hAnsi="Arial"/>
          <w:sz w:val="20"/>
          <w:szCs w:val="20"/>
          <w:color w:val="auto"/>
        </w:rPr>
        <w:t xml:space="preserve"> and collectively with</w:t>
      </w:r>
    </w:p>
    <w:p>
      <w:pPr>
        <w:spacing w:after="0" w:line="10" w:lineRule="exact"/>
        <w:rPr>
          <w:sz w:val="20"/>
          <w:szCs w:val="20"/>
          <w:color w:val="auto"/>
        </w:rPr>
      </w:pPr>
    </w:p>
    <w:p>
      <w:pPr>
        <w:jc w:val="right"/>
        <w:ind w:right="120"/>
        <w:spacing w:after="0"/>
        <w:rPr>
          <w:sz w:val="20"/>
          <w:szCs w:val="20"/>
          <w:color w:val="auto"/>
        </w:rPr>
      </w:pPr>
      <w:r>
        <w:rPr>
          <w:rFonts w:ascii="Arial" w:cs="Arial" w:eastAsia="Arial" w:hAnsi="Arial"/>
          <w:sz w:val="20"/>
          <w:szCs w:val="20"/>
          <w:color w:val="auto"/>
        </w:rPr>
        <w:t>the Lessor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70"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WHEREAS:</w:t>
      </w:r>
    </w:p>
    <w:p>
      <w:pPr>
        <w:spacing w:after="0" w:line="243" w:lineRule="exact"/>
        <w:rPr>
          <w:sz w:val="20"/>
          <w:szCs w:val="20"/>
          <w:color w:val="auto"/>
        </w:rPr>
      </w:pPr>
    </w:p>
    <w:p>
      <w:pPr>
        <w:jc w:val="both"/>
        <w:ind w:left="8" w:right="200" w:hanging="7"/>
        <w:spacing w:after="0" w:line="214" w:lineRule="auto"/>
        <w:tabs>
          <w:tab w:leader="none" w:pos="582" w:val="left"/>
        </w:tabs>
        <w:numPr>
          <w:ilvl w:val="0"/>
          <w:numId w:val="68"/>
        </w:numPr>
        <w:rPr>
          <w:rFonts w:ascii="Arial" w:cs="Arial" w:eastAsia="Arial" w:hAnsi="Arial"/>
          <w:sz w:val="20"/>
          <w:szCs w:val="20"/>
          <w:color w:val="auto"/>
        </w:rPr>
      </w:pPr>
      <w:r>
        <w:rPr>
          <w:rFonts w:ascii="Arial" w:cs="Arial" w:eastAsia="Arial" w:hAnsi="Arial"/>
          <w:sz w:val="20"/>
          <w:szCs w:val="20"/>
          <w:color w:val="auto"/>
        </w:rPr>
        <w:t>By a lease agreement dated November 1</w:t>
      </w:r>
      <w:r>
        <w:rPr>
          <w:rFonts w:ascii="Arial" w:cs="Arial" w:eastAsia="Arial" w:hAnsi="Arial"/>
          <w:sz w:val="26"/>
          <w:szCs w:val="26"/>
          <w:color w:val="auto"/>
          <w:vertAlign w:val="superscript"/>
        </w:rPr>
        <w:t>st</w:t>
      </w:r>
      <w:r>
        <w:rPr>
          <w:rFonts w:ascii="Arial" w:cs="Arial" w:eastAsia="Arial" w:hAnsi="Arial"/>
          <w:sz w:val="20"/>
          <w:szCs w:val="20"/>
          <w:color w:val="auto"/>
        </w:rPr>
        <w:t>, 2020 (the “</w:t>
      </w:r>
      <w:r>
        <w:rPr>
          <w:rFonts w:ascii="Arial" w:cs="Arial" w:eastAsia="Arial" w:hAnsi="Arial"/>
          <w:sz w:val="20"/>
          <w:szCs w:val="20"/>
          <w:b w:val="1"/>
          <w:bCs w:val="1"/>
          <w:color w:val="auto"/>
        </w:rPr>
        <w:t>Original Lease</w:t>
      </w:r>
      <w:r>
        <w:rPr>
          <w:rFonts w:ascii="Arial" w:cs="Arial" w:eastAsia="Arial" w:hAnsi="Arial"/>
          <w:sz w:val="20"/>
          <w:szCs w:val="20"/>
          <w:color w:val="auto"/>
        </w:rPr>
        <w:t>”) between the Lessor and the Lessee, the Lessee leased for and during a term of twenty-four (24) months terminating on October 31</w:t>
      </w:r>
      <w:r>
        <w:rPr>
          <w:rFonts w:ascii="Arial" w:cs="Arial" w:eastAsia="Arial" w:hAnsi="Arial"/>
          <w:sz w:val="26"/>
          <w:szCs w:val="26"/>
          <w:color w:val="auto"/>
          <w:vertAlign w:val="superscript"/>
        </w:rPr>
        <w:t>st</w:t>
      </w:r>
      <w:r>
        <w:rPr>
          <w:rFonts w:ascii="Arial" w:cs="Arial" w:eastAsia="Arial" w:hAnsi="Arial"/>
          <w:sz w:val="20"/>
          <w:szCs w:val="20"/>
          <w:color w:val="auto"/>
        </w:rPr>
        <w:t>, 2022 (the “</w:t>
      </w:r>
      <w:r>
        <w:rPr>
          <w:rFonts w:ascii="Arial" w:cs="Arial" w:eastAsia="Arial" w:hAnsi="Arial"/>
          <w:sz w:val="20"/>
          <w:szCs w:val="20"/>
          <w:b w:val="1"/>
          <w:bCs w:val="1"/>
          <w:color w:val="auto"/>
        </w:rPr>
        <w:t>Initial Term</w:t>
      </w:r>
      <w:r>
        <w:rPr>
          <w:rFonts w:ascii="Arial" w:cs="Arial" w:eastAsia="Arial" w:hAnsi="Arial"/>
          <w:sz w:val="20"/>
          <w:szCs w:val="20"/>
          <w:color w:val="auto"/>
        </w:rPr>
        <w:t xml:space="preserve">”), for various premises (the </w:t>
      </w:r>
      <w:r>
        <w:rPr>
          <w:rFonts w:ascii="Arial" w:cs="Arial" w:eastAsia="Arial" w:hAnsi="Arial"/>
          <w:sz w:val="20"/>
          <w:szCs w:val="20"/>
          <w:b w:val="1"/>
          <w:bCs w:val="1"/>
          <w:color w:val="auto"/>
        </w:rPr>
        <w:t>“Leased Premises</w:t>
      </w:r>
      <w:r>
        <w:rPr>
          <w:rFonts w:ascii="Arial" w:cs="Arial" w:eastAsia="Arial" w:hAnsi="Arial"/>
          <w:sz w:val="20"/>
          <w:szCs w:val="20"/>
          <w:color w:val="auto"/>
        </w:rPr>
        <w:t>”) comprising a total rentable area of approximately two thousand, one hundred, thirty (2,130) square feet of the Building known as NEOMED INSTITUTE located at 7171, Frederick-Banting, City of Montreal, Province of Quebec, H4S 1Z9, as more particularly set out in the Original Lease.</w:t>
      </w:r>
    </w:p>
    <w:p>
      <w:pPr>
        <w:spacing w:after="0" w:line="201" w:lineRule="exact"/>
        <w:rPr>
          <w:rFonts w:ascii="Arial" w:cs="Arial" w:eastAsia="Arial" w:hAnsi="Arial"/>
          <w:sz w:val="20"/>
          <w:szCs w:val="20"/>
          <w:color w:val="auto"/>
        </w:rPr>
      </w:pPr>
    </w:p>
    <w:p>
      <w:pPr>
        <w:jc w:val="both"/>
        <w:ind w:left="8" w:right="200" w:hanging="7"/>
        <w:spacing w:after="0" w:line="220" w:lineRule="auto"/>
        <w:tabs>
          <w:tab w:leader="none" w:pos="582" w:val="left"/>
        </w:tabs>
        <w:numPr>
          <w:ilvl w:val="0"/>
          <w:numId w:val="68"/>
        </w:numPr>
        <w:rPr>
          <w:rFonts w:ascii="Arial" w:cs="Arial" w:eastAsia="Arial" w:hAnsi="Arial"/>
          <w:sz w:val="20"/>
          <w:szCs w:val="20"/>
          <w:color w:val="auto"/>
        </w:rPr>
      </w:pPr>
      <w:r>
        <w:rPr>
          <w:rFonts w:ascii="Arial" w:cs="Arial" w:eastAsia="Arial" w:hAnsi="Arial"/>
          <w:sz w:val="20"/>
          <w:szCs w:val="20"/>
          <w:color w:val="auto"/>
        </w:rPr>
        <w:t>By an addendum to the Original Lease signed on June 1</w:t>
      </w:r>
      <w:r>
        <w:rPr>
          <w:rFonts w:ascii="Arial" w:cs="Arial" w:eastAsia="Arial" w:hAnsi="Arial"/>
          <w:sz w:val="26"/>
          <w:szCs w:val="26"/>
          <w:color w:val="auto"/>
          <w:vertAlign w:val="superscript"/>
        </w:rPr>
        <w:t>st</w:t>
      </w:r>
      <w:r>
        <w:rPr>
          <w:rFonts w:ascii="Arial" w:cs="Arial" w:eastAsia="Arial" w:hAnsi="Arial"/>
          <w:sz w:val="20"/>
          <w:szCs w:val="20"/>
          <w:color w:val="auto"/>
        </w:rPr>
        <w:t>, 2021 (the “</w:t>
      </w:r>
      <w:r>
        <w:rPr>
          <w:rFonts w:ascii="Arial" w:cs="Arial" w:eastAsia="Arial" w:hAnsi="Arial"/>
          <w:sz w:val="20"/>
          <w:szCs w:val="20"/>
          <w:b w:val="1"/>
          <w:bCs w:val="1"/>
          <w:color w:val="auto"/>
        </w:rPr>
        <w:t>First Addendum</w:t>
      </w:r>
      <w:r>
        <w:rPr>
          <w:rFonts w:ascii="Arial" w:cs="Arial" w:eastAsia="Arial" w:hAnsi="Arial"/>
          <w:sz w:val="20"/>
          <w:szCs w:val="20"/>
          <w:color w:val="auto"/>
        </w:rPr>
        <w:t>”) between the Lessor and the Lessee, the Lessee leased additional space to the Leased Premises for a total of approximately two thousand, five hundred, sixty-eight (2,568) square feet of the Building known as NEOMED INSTITUTE located at 7171, Frederick-Banting, City of Montreal, Province of Quebec, H4S 1Z9, as more particularly set out in the Original Lease.</w:t>
      </w:r>
    </w:p>
    <w:p>
      <w:pPr>
        <w:spacing w:after="0" w:line="213" w:lineRule="exact"/>
        <w:rPr>
          <w:rFonts w:ascii="Arial" w:cs="Arial" w:eastAsia="Arial" w:hAnsi="Arial"/>
          <w:sz w:val="20"/>
          <w:szCs w:val="20"/>
          <w:color w:val="auto"/>
        </w:rPr>
      </w:pPr>
    </w:p>
    <w:p>
      <w:pPr>
        <w:jc w:val="both"/>
        <w:ind w:left="8" w:right="200" w:hanging="7"/>
        <w:spacing w:after="0" w:line="220" w:lineRule="auto"/>
        <w:tabs>
          <w:tab w:leader="none" w:pos="582" w:val="left"/>
        </w:tabs>
        <w:numPr>
          <w:ilvl w:val="0"/>
          <w:numId w:val="68"/>
        </w:numPr>
        <w:rPr>
          <w:rFonts w:ascii="Arial" w:cs="Arial" w:eastAsia="Arial" w:hAnsi="Arial"/>
          <w:sz w:val="20"/>
          <w:szCs w:val="20"/>
          <w:color w:val="auto"/>
        </w:rPr>
      </w:pPr>
      <w:r>
        <w:rPr>
          <w:rFonts w:ascii="Arial" w:cs="Arial" w:eastAsia="Arial" w:hAnsi="Arial"/>
          <w:sz w:val="20"/>
          <w:szCs w:val="20"/>
          <w:color w:val="auto"/>
        </w:rPr>
        <w:t>By an addendum to the Original Lease signed on October 1</w:t>
      </w:r>
      <w:r>
        <w:rPr>
          <w:rFonts w:ascii="Arial" w:cs="Arial" w:eastAsia="Arial" w:hAnsi="Arial"/>
          <w:sz w:val="26"/>
          <w:szCs w:val="26"/>
          <w:color w:val="auto"/>
          <w:vertAlign w:val="superscript"/>
        </w:rPr>
        <w:t>st</w:t>
      </w:r>
      <w:r>
        <w:rPr>
          <w:rFonts w:ascii="Arial" w:cs="Arial" w:eastAsia="Arial" w:hAnsi="Arial"/>
          <w:sz w:val="20"/>
          <w:szCs w:val="20"/>
          <w:color w:val="auto"/>
        </w:rPr>
        <w:t>, 2021 (the “</w:t>
      </w:r>
      <w:r>
        <w:rPr>
          <w:rFonts w:ascii="Arial" w:cs="Arial" w:eastAsia="Arial" w:hAnsi="Arial"/>
          <w:sz w:val="20"/>
          <w:szCs w:val="20"/>
          <w:b w:val="1"/>
          <w:bCs w:val="1"/>
          <w:color w:val="auto"/>
        </w:rPr>
        <w:t>Second Addendum</w:t>
      </w:r>
      <w:r>
        <w:rPr>
          <w:rFonts w:ascii="Arial" w:cs="Arial" w:eastAsia="Arial" w:hAnsi="Arial"/>
          <w:sz w:val="20"/>
          <w:szCs w:val="20"/>
          <w:color w:val="auto"/>
        </w:rPr>
        <w:t>”) between the Lessor and the Lessee, the Lessee leased additional space to the Leased Premises for a total of approximately two thousand, eight hundred, thirty-two (2,832) square feet of the Building known as NEOMED INSTITUTE located at 7171, Frederick- Banting, City of Montreal, Province of Quebec, H4S 1Z9, as more particularly set out in the Original Lease.</w:t>
      </w:r>
    </w:p>
    <w:p>
      <w:pPr>
        <w:spacing w:after="0" w:line="173" w:lineRule="exact"/>
        <w:rPr>
          <w:rFonts w:ascii="Arial" w:cs="Arial" w:eastAsia="Arial" w:hAnsi="Arial"/>
          <w:sz w:val="20"/>
          <w:szCs w:val="20"/>
          <w:color w:val="auto"/>
        </w:rPr>
      </w:pPr>
    </w:p>
    <w:p>
      <w:pPr>
        <w:ind w:left="588" w:hanging="588"/>
        <w:spacing w:after="0"/>
        <w:tabs>
          <w:tab w:leader="none" w:pos="58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Original Lease and the Addendums are hereinafter collectively known as the "</w:t>
      </w:r>
      <w:r>
        <w:rPr>
          <w:rFonts w:ascii="Arial" w:cs="Arial" w:eastAsia="Arial" w:hAnsi="Arial"/>
          <w:sz w:val="20"/>
          <w:szCs w:val="20"/>
          <w:b w:val="1"/>
          <w:bCs w:val="1"/>
          <w:color w:val="auto"/>
        </w:rPr>
        <w:t>Lease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588" w:hanging="588"/>
        <w:spacing w:after="0"/>
        <w:tabs>
          <w:tab w:leader="none" w:pos="58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Initial Term and the Extended Term are hereinafter collectively known as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339090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8"/>
          </w:cols>
          <w:pgMar w:left="432" w:top="328" w:right="339" w:bottom="1440" w:gutter="0" w:footer="0" w:header="0"/>
        </w:sectPr>
      </w:pPr>
    </w:p>
    <w:bookmarkStart w:id="173" w:name="page174"/>
    <w:bookmarkEnd w:id="173"/>
    <w:p>
      <w:pPr>
        <w:ind w:left="588" w:hanging="588"/>
        <w:spacing w:after="0"/>
        <w:tabs>
          <w:tab w:leader="none" w:pos="588"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Parties have agreed to amend the Lease as more particularly set out herein.</w:t>
      </w:r>
    </w:p>
    <w:p>
      <w:pPr>
        <w:spacing w:after="0" w:line="178" w:lineRule="exact"/>
        <w:rPr>
          <w:sz w:val="20"/>
          <w:szCs w:val="20"/>
          <w:color w:val="auto"/>
        </w:rPr>
      </w:pPr>
    </w:p>
    <w:p>
      <w:pPr>
        <w:ind w:left="8" w:right="620"/>
        <w:spacing w:after="0" w:line="25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covenants, rights and obligations contained in this Agreement,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hereto agree as follows:</w:t>
      </w:r>
    </w:p>
    <w:p>
      <w:pPr>
        <w:spacing w:after="0" w:line="155" w:lineRule="exact"/>
        <w:rPr>
          <w:sz w:val="20"/>
          <w:szCs w:val="20"/>
          <w:color w:val="auto"/>
        </w:rPr>
      </w:pPr>
    </w:p>
    <w:p>
      <w:pPr>
        <w:ind w:left="588" w:hanging="588"/>
        <w:spacing w:after="0"/>
        <w:tabs>
          <w:tab w:leader="none" w:pos="588"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PREAMBLE</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20"/>
          <w:szCs w:val="20"/>
          <w:color w:val="auto"/>
        </w:rPr>
        <w:t>The preamble shall form an integral part hereof, as if recited at length.</w:t>
      </w:r>
    </w:p>
    <w:p>
      <w:pPr>
        <w:spacing w:after="0" w:line="205" w:lineRule="exact"/>
        <w:rPr>
          <w:sz w:val="20"/>
          <w:szCs w:val="20"/>
          <w:color w:val="auto"/>
        </w:rPr>
      </w:pPr>
    </w:p>
    <w:p>
      <w:pPr>
        <w:ind w:left="588" w:hanging="588"/>
        <w:spacing w:after="0"/>
        <w:tabs>
          <w:tab w:leader="none" w:pos="588"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LEASE</w:t>
      </w:r>
    </w:p>
    <w:p>
      <w:pPr>
        <w:spacing w:after="0" w:line="253" w:lineRule="exact"/>
        <w:rPr>
          <w:rFonts w:ascii="Arial" w:cs="Arial" w:eastAsia="Arial" w:hAnsi="Arial"/>
          <w:sz w:val="20"/>
          <w:szCs w:val="20"/>
          <w:b w:val="1"/>
          <w:bCs w:val="1"/>
          <w:color w:val="auto"/>
        </w:rPr>
      </w:pPr>
    </w:p>
    <w:p>
      <w:pPr>
        <w:ind w:left="1168" w:right="20" w:hanging="569"/>
        <w:spacing w:after="0" w:line="265" w:lineRule="auto"/>
        <w:tabs>
          <w:tab w:leader="none" w:pos="1168" w:val="left"/>
        </w:tabs>
        <w:numPr>
          <w:ilvl w:val="1"/>
          <w:numId w:val="71"/>
        </w:numPr>
        <w:rPr>
          <w:rFonts w:ascii="Arial" w:cs="Arial" w:eastAsia="Arial" w:hAnsi="Arial"/>
          <w:sz w:val="20"/>
          <w:szCs w:val="20"/>
          <w:color w:val="auto"/>
        </w:rPr>
      </w:pPr>
      <w:r>
        <w:rPr>
          <w:rFonts w:ascii="Arial" w:cs="Arial" w:eastAsia="Arial" w:hAnsi="Arial"/>
          <w:sz w:val="20"/>
          <w:szCs w:val="20"/>
          <w:color w:val="auto"/>
        </w:rPr>
        <w:t>Section 2 of Schedule A of the Lease is modified such that each termination date is deleted and replaced by December 31</w:t>
      </w:r>
      <w:r>
        <w:rPr>
          <w:rFonts w:ascii="Arial" w:cs="Arial" w:eastAsia="Arial" w:hAnsi="Arial"/>
          <w:sz w:val="26"/>
          <w:szCs w:val="26"/>
          <w:color w:val="auto"/>
          <w:vertAlign w:val="superscript"/>
        </w:rPr>
        <w:t>st</w:t>
      </w:r>
      <w:r>
        <w:rPr>
          <w:rFonts w:ascii="Arial" w:cs="Arial" w:eastAsia="Arial" w:hAnsi="Arial"/>
          <w:sz w:val="20"/>
          <w:szCs w:val="20"/>
          <w:color w:val="auto"/>
        </w:rPr>
        <w:t>, 2022, and each period is increased by two months.</w:t>
      </w:r>
    </w:p>
    <w:p>
      <w:pPr>
        <w:spacing w:after="0" w:line="66" w:lineRule="exact"/>
        <w:rPr>
          <w:rFonts w:ascii="Arial" w:cs="Arial" w:eastAsia="Arial" w:hAnsi="Arial"/>
          <w:sz w:val="20"/>
          <w:szCs w:val="20"/>
          <w:color w:val="auto"/>
        </w:rPr>
      </w:pPr>
    </w:p>
    <w:p>
      <w:pPr>
        <w:ind w:left="588" w:hanging="588"/>
        <w:spacing w:after="0"/>
        <w:tabs>
          <w:tab w:leader="none" w:pos="588"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26" w:lineRule="exact"/>
        <w:rPr>
          <w:rFonts w:ascii="Arial" w:cs="Arial" w:eastAsia="Arial" w:hAnsi="Arial"/>
          <w:sz w:val="20"/>
          <w:szCs w:val="20"/>
          <w:b w:val="1"/>
          <w:bCs w:val="1"/>
          <w:color w:val="auto"/>
        </w:rPr>
      </w:pPr>
    </w:p>
    <w:p>
      <w:pPr>
        <w:ind w:left="1168" w:hanging="569"/>
        <w:spacing w:after="0"/>
        <w:tabs>
          <w:tab w:leader="none" w:pos="1168"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Parties confirm that the Lease is in full force and effect, as modified by this Lease Amending Agreement.</w:t>
      </w:r>
    </w:p>
    <w:p>
      <w:pPr>
        <w:spacing w:after="0" w:line="215" w:lineRule="exact"/>
        <w:rPr>
          <w:rFonts w:ascii="Arial" w:cs="Arial" w:eastAsia="Arial" w:hAnsi="Arial"/>
          <w:sz w:val="20"/>
          <w:szCs w:val="20"/>
          <w:color w:val="auto"/>
        </w:rPr>
      </w:pPr>
    </w:p>
    <w:p>
      <w:pPr>
        <w:ind w:left="1168" w:hanging="569"/>
        <w:spacing w:after="0" w:line="236" w:lineRule="auto"/>
        <w:tabs>
          <w:tab w:leader="none" w:pos="1168" w:val="left"/>
        </w:tabs>
        <w:numPr>
          <w:ilvl w:val="1"/>
          <w:numId w:val="71"/>
        </w:numPr>
        <w:rPr>
          <w:rFonts w:ascii="Arial" w:cs="Arial" w:eastAsia="Arial" w:hAnsi="Arial"/>
          <w:sz w:val="20"/>
          <w:szCs w:val="20"/>
          <w:color w:val="auto"/>
        </w:rPr>
      </w:pPr>
      <w:r>
        <w:rPr>
          <w:rFonts w:ascii="Arial" w:cs="Arial" w:eastAsia="Arial" w:hAnsi="Arial"/>
          <w:sz w:val="20"/>
          <w:szCs w:val="20"/>
          <w:color w:val="auto"/>
        </w:rPr>
        <w:t>All capitalized terms and expressions used in this Lease Amending Agreement have the same meaning as in the Lease, unless a contrary intention is expressed in this Lease Amending Agreement.</w:t>
      </w:r>
    </w:p>
    <w:p>
      <w:pPr>
        <w:spacing w:after="0" w:line="195" w:lineRule="exact"/>
        <w:rPr>
          <w:rFonts w:ascii="Arial" w:cs="Arial" w:eastAsia="Arial" w:hAnsi="Arial"/>
          <w:sz w:val="20"/>
          <w:szCs w:val="20"/>
          <w:color w:val="auto"/>
        </w:rPr>
      </w:pPr>
    </w:p>
    <w:p>
      <w:pPr>
        <w:ind w:left="1168" w:hanging="569"/>
        <w:spacing w:after="0" w:line="236" w:lineRule="auto"/>
        <w:tabs>
          <w:tab w:leader="none" w:pos="1168"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This Lease Amending Agreement shall enure to the benefit of the Parties hereto and their respective heirs, executors, administrators, successors and assigns.</w:t>
      </w:r>
    </w:p>
    <w:p>
      <w:pPr>
        <w:spacing w:after="0" w:line="195" w:lineRule="exact"/>
        <w:rPr>
          <w:rFonts w:ascii="Arial" w:cs="Arial" w:eastAsia="Arial" w:hAnsi="Arial"/>
          <w:sz w:val="20"/>
          <w:szCs w:val="20"/>
          <w:color w:val="auto"/>
        </w:rPr>
      </w:pPr>
    </w:p>
    <w:p>
      <w:pPr>
        <w:jc w:val="both"/>
        <w:ind w:left="1168" w:hanging="569"/>
        <w:spacing w:after="0" w:line="229" w:lineRule="auto"/>
        <w:tabs>
          <w:tab w:leader="none" w:pos="1168"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Parties hereby acknowledge and agree that the execution hereof may be communicated by electronic transmission and that such agreement shall be deemed to be an original hereof, and shall be legal and binding upon the Parties hereto. This Lease Amending Agreement may be executed by counterparts each of which will be deemed to be an original and all of which taken together will be deemed to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
        <w:spacing w:after="0"/>
        <w:rPr>
          <w:sz w:val="20"/>
          <w:szCs w:val="20"/>
          <w:color w:val="auto"/>
        </w:rPr>
      </w:pPr>
      <w:r>
        <w:rPr>
          <w:rFonts w:ascii="Arial" w:cs="Arial" w:eastAsia="Arial" w:hAnsi="Arial"/>
          <w:sz w:val="20"/>
          <w:szCs w:val="20"/>
          <w:b w:val="1"/>
          <w:bCs w:val="1"/>
          <w:color w:val="auto"/>
        </w:rPr>
        <w:t>BALANCE OF THIS PAGE LEFT INTENTIONALLY BLANK SEE NEXT PAGE FOR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201930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8"/>
          </w:cols>
          <w:pgMar w:left="432" w:top="433" w:right="539" w:bottom="1440" w:gutter="0" w:footer="0" w:header="0"/>
        </w:sectPr>
      </w:pPr>
    </w:p>
    <w:bookmarkStart w:id="174" w:name="page175"/>
    <w:bookmarkEnd w:id="174"/>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each of the parties has caused this Agreement to be executed on the date indicated hereinabove.</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(Lessor)  </w:t>
      </w:r>
      <w:r>
        <w:rPr>
          <w:rFonts w:ascii="Arial" w:cs="Arial" w:eastAsia="Arial" w:hAnsi="Arial"/>
          <w:sz w:val="20"/>
          <w:szCs w:val="20"/>
          <w:b w:val="1"/>
          <w:bCs w:val="1"/>
          <w:color w:val="auto"/>
        </w:rPr>
        <w:t>NEOMED INSTITUTE</w:t>
      </w:r>
    </w:p>
    <w:p>
      <w:pPr>
        <w:spacing w:after="0" w:line="200" w:lineRule="exact"/>
        <w:rPr>
          <w:sz w:val="20"/>
          <w:szCs w:val="20"/>
          <w:color w:val="auto"/>
        </w:rPr>
      </w:pPr>
    </w:p>
    <w:p>
      <w:pPr>
        <w:spacing w:after="0" w:line="29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Matthew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1905</wp:posOffset>
            </wp:positionV>
            <wp:extent cx="31375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0"/>
          <w:szCs w:val="20"/>
          <w:color w:val="auto"/>
        </w:rPr>
        <w:t>By: Matthew Carlyle,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(Lessee) </w:t>
      </w:r>
      <w:r>
        <w:rPr>
          <w:rFonts w:ascii="Arial" w:cs="Arial" w:eastAsia="Arial" w:hAnsi="Arial"/>
          <w:sz w:val="20"/>
          <w:szCs w:val="20"/>
          <w:b w:val="1"/>
          <w:bCs w:val="1"/>
          <w:color w:val="auto"/>
        </w:rPr>
        <w:t>REPARE THERAPEUTICS INC.</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7210, Frederick-Banting</w:t>
      </w:r>
    </w:p>
    <w:p>
      <w:pPr>
        <w:ind w:left="6080"/>
        <w:spacing w:after="0" w:line="225" w:lineRule="auto"/>
        <w:rPr>
          <w:sz w:val="20"/>
          <w:szCs w:val="20"/>
          <w:color w:val="auto"/>
        </w:rPr>
      </w:pPr>
      <w:r>
        <w:rPr>
          <w:rFonts w:ascii="Arial" w:cs="Arial" w:eastAsia="Arial" w:hAnsi="Arial"/>
          <w:sz w:val="20"/>
          <w:szCs w:val="20"/>
          <w:color w:val="auto"/>
        </w:rPr>
        <w:t>Suite #100</w:t>
      </w:r>
    </w:p>
    <w:p>
      <w:pPr>
        <w:ind w:left="6080"/>
        <w:spacing w:after="0" w:line="225" w:lineRule="auto"/>
        <w:rPr>
          <w:sz w:val="20"/>
          <w:szCs w:val="20"/>
          <w:color w:val="auto"/>
        </w:rPr>
      </w:pPr>
      <w:r>
        <w:rPr>
          <w:rFonts w:ascii="Arial" w:cs="Arial" w:eastAsia="Arial" w:hAnsi="Arial"/>
          <w:sz w:val="20"/>
          <w:szCs w:val="20"/>
          <w:color w:val="auto"/>
        </w:rPr>
        <w:t>Montreal (Quebec)</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H4S 2A1</w:t>
      </w:r>
    </w:p>
    <w:p>
      <w:pPr>
        <w:spacing w:after="0" w:line="216"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/s/ Christopher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1905</wp:posOffset>
            </wp:positionV>
            <wp:extent cx="32061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20"/>
          <w:szCs w:val="20"/>
          <w:color w:val="auto"/>
        </w:rPr>
        <w:t>By: Christopher Kendall,</w:t>
      </w:r>
    </w:p>
    <w:p>
      <w:pPr>
        <w:ind w:left="6420"/>
        <w:spacing w:after="0"/>
        <w:rPr>
          <w:sz w:val="20"/>
          <w:szCs w:val="20"/>
          <w:color w:val="auto"/>
        </w:rPr>
      </w:pPr>
      <w:r>
        <w:rPr>
          <w:rFonts w:ascii="Arial" w:cs="Arial" w:eastAsia="Arial" w:hAnsi="Arial"/>
          <w:sz w:val="20"/>
          <w:szCs w:val="20"/>
          <w:color w:val="auto"/>
        </w:rPr>
        <w:t>VP Finance and FP&amp;A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194945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409" w:right="619" w:bottom="1440" w:gutter="0" w:footer="0" w:header="0"/>
        </w:sectPr>
      </w:pPr>
    </w:p>
    <w:bookmarkStart w:id="175" w:name="page176"/>
    <w:bookmarkEnd w:id="175"/>
    <w:p>
      <w:pPr>
        <w:ind w:left="9900"/>
        <w:spacing w:after="0"/>
        <w:rPr>
          <w:sz w:val="20"/>
          <w:szCs w:val="20"/>
          <w:color w:val="auto"/>
        </w:rPr>
      </w:pPr>
      <w:r>
        <w:rPr>
          <w:rFonts w:ascii="Arial" w:cs="Arial" w:eastAsia="Arial" w:hAnsi="Arial"/>
          <w:sz w:val="19"/>
          <w:szCs w:val="19"/>
          <w:b w:val="1"/>
          <w:bCs w:val="1"/>
          <w:color w:val="auto"/>
        </w:rPr>
        <w:t>EXHIBIT 10.32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OF LEASE</w:t>
      </w:r>
    </w:p>
    <w:p>
      <w:pPr>
        <w:spacing w:after="0" w:line="215" w:lineRule="exact"/>
        <w:rPr>
          <w:sz w:val="20"/>
          <w:szCs w:val="20"/>
          <w:color w:val="auto"/>
        </w:rPr>
      </w:pPr>
    </w:p>
    <w:p>
      <w:pPr>
        <w:jc w:val="center"/>
        <w:ind w:right="380"/>
        <w:spacing w:after="0"/>
        <w:rPr>
          <w:sz w:val="20"/>
          <w:szCs w:val="20"/>
          <w:color w:val="auto"/>
        </w:rPr>
      </w:pPr>
      <w:r>
        <w:rPr>
          <w:rFonts w:ascii="Arial" w:cs="Arial" w:eastAsia="Arial" w:hAnsi="Arial"/>
          <w:sz w:val="19"/>
          <w:szCs w:val="19"/>
          <w:b w:val="1"/>
          <w:bCs w:val="1"/>
          <w:color w:val="auto"/>
        </w:rPr>
        <w:t>MADE AND ENTERED INTO IN THE CITY OF MONTREAL, PROVINCE OF QUEBEC, THIS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DAY OF JANUARY 2023.</w:t>
      </w:r>
    </w:p>
    <w:p>
      <w:pPr>
        <w:spacing w:after="0" w:line="158" w:lineRule="exact"/>
        <w:rPr>
          <w:sz w:val="20"/>
          <w:szCs w:val="20"/>
          <w:color w:val="auto"/>
        </w:rPr>
      </w:pPr>
    </w:p>
    <w:p>
      <w:pPr>
        <w:ind w:left="2900" w:right="140" w:hanging="2794"/>
        <w:spacing w:after="0" w:line="237" w:lineRule="auto"/>
        <w:tabs>
          <w:tab w:leader="none" w:pos="2880" w:val="left"/>
        </w:tabs>
        <w:rPr>
          <w:sz w:val="20"/>
          <w:szCs w:val="20"/>
          <w:color w:val="auto"/>
        </w:rPr>
      </w:pPr>
      <w:r>
        <w:rPr>
          <w:rFonts w:ascii="Arial" w:cs="Arial" w:eastAsia="Arial" w:hAnsi="Arial"/>
          <w:sz w:val="20"/>
          <w:szCs w:val="20"/>
          <w:b w:val="1"/>
          <w:bCs w:val="1"/>
          <w:color w:val="auto"/>
        </w:rPr>
        <w:t>BY AND BETWEEN:</w:t>
      </w:r>
      <w:r>
        <w:rPr>
          <w:sz w:val="20"/>
          <w:szCs w:val="20"/>
          <w:color w:val="auto"/>
        </w:rPr>
        <w:tab/>
      </w:r>
      <w:r>
        <w:rPr>
          <w:rFonts w:ascii="Arial" w:cs="Arial" w:eastAsia="Arial" w:hAnsi="Arial"/>
          <w:sz w:val="20"/>
          <w:szCs w:val="20"/>
          <w:b w:val="1"/>
          <w:bCs w:val="1"/>
          <w:color w:val="auto"/>
        </w:rPr>
        <w:t xml:space="preserve">NEOMED INSTITUTE, </w:t>
      </w:r>
      <w:r>
        <w:rPr>
          <w:rFonts w:ascii="Arial" w:cs="Arial" w:eastAsia="Arial" w:hAnsi="Arial"/>
          <w:sz w:val="20"/>
          <w:szCs w:val="20"/>
          <w:color w:val="auto"/>
        </w:rPr>
        <w:t>a corporation governed by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Canada Not-for-profit Corporations Act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having its principal place of business at 7171, Frederick-Banting, City of Montreal, Province of Quebec, H4S 1Z9, herein acting and represented by Matthew Carlyle, CFO, duly authorized as he so declares;</w:t>
      </w:r>
    </w:p>
    <w:p>
      <w:pPr>
        <w:spacing w:after="0" w:line="199" w:lineRule="exact"/>
        <w:rPr>
          <w:sz w:val="20"/>
          <w:szCs w:val="20"/>
          <w:color w:val="auto"/>
        </w:rPr>
      </w:pPr>
    </w:p>
    <w:p>
      <w:pPr>
        <w:ind w:left="10320"/>
        <w:spacing w:after="0"/>
        <w:rPr>
          <w:sz w:val="20"/>
          <w:szCs w:val="20"/>
          <w:color w:val="auto"/>
        </w:rPr>
      </w:pPr>
      <w:r>
        <w:rPr>
          <w:rFonts w:ascii="Arial" w:cs="Arial" w:eastAsia="Arial" w:hAnsi="Arial"/>
          <w:sz w:val="20"/>
          <w:szCs w:val="20"/>
          <w:b w:val="1"/>
          <w:bCs w:val="1"/>
          <w:color w:val="auto"/>
        </w:rPr>
        <w:t>LESSOR</w:t>
      </w:r>
    </w:p>
    <w:p>
      <w:pPr>
        <w:sectPr>
          <w:pgSz w:w="11900" w:h="16838" w:orient="portrait"/>
          <w:cols w:equalWidth="0" w:num="1">
            <w:col w:w="11240"/>
          </w:cols>
          <w:pgMar w:left="320" w:top="544" w:right="339" w:bottom="1440" w:gutter="0" w:footer="0" w:header="0"/>
        </w:sect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AND: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b w:val="1"/>
          <w:bCs w:val="1"/>
          <w:color w:val="auto"/>
        </w:rPr>
        <w:t>REPARE THERAPEUTICS INC.</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Corporations Act (Québec), with its head office at</w:t>
      </w:r>
      <w:r>
        <w:rPr>
          <w:rFonts w:ascii="Arial" w:cs="Arial" w:eastAsia="Arial" w:hAnsi="Arial"/>
          <w:sz w:val="20"/>
          <w:szCs w:val="20"/>
          <w:b w:val="1"/>
          <w:bCs w:val="1"/>
          <w:color w:val="auto"/>
        </w:rPr>
        <w:t xml:space="preserve"> </w:t>
      </w:r>
      <w:r>
        <w:rPr>
          <w:rFonts w:ascii="Arial" w:cs="Arial" w:eastAsia="Arial" w:hAnsi="Arial"/>
          <w:sz w:val="20"/>
          <w:szCs w:val="20"/>
          <w:color w:val="auto"/>
        </w:rPr>
        <w:t>7210, Frederick-Banting, Suite #100, in the City of Montreal, judicial district of Montreal, Province of Quebec, Canada H4S 2A1 herein acting and represented by Christopher Kendall, VP Finance and FP&amp;A, duly authorized as he so declares;</w:t>
      </w:r>
    </w:p>
    <w:p>
      <w:pPr>
        <w:spacing w:after="0" w:line="1" w:lineRule="exact"/>
        <w:rPr>
          <w:sz w:val="20"/>
          <w:szCs w:val="20"/>
          <w:color w:val="auto"/>
        </w:rPr>
      </w:pPr>
    </w:p>
    <w:p>
      <w:pPr>
        <w:sectPr>
          <w:pgSz w:w="11900" w:h="16838" w:orient="portrait"/>
          <w:cols w:equalWidth="0" w:num="2">
            <w:col w:w="2180" w:space="720"/>
            <w:col w:w="8340"/>
          </w:cols>
          <w:pgMar w:left="320" w:top="544" w:right="339" w:bottom="1440" w:gutter="0" w:footer="0" w:header="0"/>
          <w:type w:val="continuous"/>
        </w:sectPr>
      </w:pPr>
    </w:p>
    <w:p>
      <w:pPr>
        <w:ind w:left="10360"/>
        <w:spacing w:after="0"/>
        <w:rPr>
          <w:sz w:val="20"/>
          <w:szCs w:val="20"/>
          <w:color w:val="auto"/>
        </w:rPr>
      </w:pPr>
      <w:r>
        <w:rPr>
          <w:rFonts w:ascii="Arial" w:cs="Arial" w:eastAsia="Arial" w:hAnsi="Arial"/>
          <w:sz w:val="19"/>
          <w:szCs w:val="19"/>
          <w:b w:val="1"/>
          <w:bCs w:val="1"/>
          <w:color w:val="auto"/>
        </w:rPr>
        <w:t>LESSEE</w:t>
      </w:r>
    </w:p>
    <w:p>
      <w:pPr>
        <w:sectPr>
          <w:pgSz w:w="11900" w:h="16838" w:orient="portrait"/>
          <w:cols w:equalWidth="0" w:num="1">
            <w:col w:w="11240"/>
          </w:cols>
          <w:pgMar w:left="320" w:top="5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WHICH HAVE ENTERED INTO THE FOLLOWING LEASE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DEFINITIONS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expressions wherever used herein shall have the following meanings:</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1.1</w:t>
      </w:r>
      <w:r>
        <w:rPr>
          <w:rFonts w:ascii="Arial" w:cs="Arial" w:eastAsia="Arial" w:hAnsi="Arial"/>
          <w:sz w:val="20"/>
          <w:szCs w:val="20"/>
          <w:b w:val="1"/>
          <w:bCs w:val="1"/>
          <w:i w:val="1"/>
          <w:iCs w:val="1"/>
          <w:color w:val="auto"/>
        </w:rPr>
        <w:t>“ADDITIONAL RENT</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additional rent payable by the Lessee pursuant to the provisions of Section 3.2 herein, as well as all sums of money which are required to be paid by the Lessee pursuant to the provisions of this Lease other than the Base Rent.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1.2</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BASE RENT</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base rent payable by the Lessee pursuant to the provisions of Section 3.1 herein.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1.3“</w:t>
      </w:r>
      <w:r>
        <w:rPr>
          <w:rFonts w:ascii="Arial" w:cs="Arial" w:eastAsia="Arial" w:hAnsi="Arial"/>
          <w:sz w:val="20"/>
          <w:szCs w:val="20"/>
          <w:b w:val="1"/>
          <w:bCs w:val="1"/>
          <w:i w:val="1"/>
          <w:iCs w:val="1"/>
          <w:color w:val="auto"/>
        </w:rPr>
        <w:t>BUILDING</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building known and designated as Neomed Institute located at 7171, Frederick-Banting, City of Montreal, Province of Quebec, H4S 1Z9.</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1.4“</w:t>
      </w:r>
      <w:r>
        <w:rPr>
          <w:rFonts w:ascii="Arial" w:cs="Arial" w:eastAsia="Arial" w:hAnsi="Arial"/>
          <w:sz w:val="20"/>
          <w:szCs w:val="20"/>
          <w:b w:val="1"/>
          <w:bCs w:val="1"/>
          <w:i w:val="1"/>
          <w:iCs w:val="1"/>
          <w:color w:val="auto"/>
        </w:rPr>
        <w:t>BUSINESS DAY</w:t>
      </w:r>
      <w:r>
        <w:rPr>
          <w:rFonts w:ascii="Arial" w:cs="Arial" w:eastAsia="Arial" w:hAnsi="Arial"/>
          <w:sz w:val="20"/>
          <w:szCs w:val="20"/>
          <w:i w:val="1"/>
          <w:iCs w:val="1"/>
          <w:color w:val="auto"/>
        </w:rPr>
        <w:t>”</w:t>
      </w:r>
      <w:r>
        <w:rPr>
          <w:rFonts w:ascii="Arial" w:cs="Arial" w:eastAsia="Arial" w:hAnsi="Arial"/>
          <w:sz w:val="20"/>
          <w:szCs w:val="20"/>
          <w:color w:val="auto"/>
        </w:rPr>
        <w:t xml:space="preserve"> means any day other than Saturday, Sunday or legal holidays in the Province of Quebec.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1.5“</w:t>
      </w:r>
      <w:r>
        <w:rPr>
          <w:rFonts w:ascii="Arial" w:cs="Arial" w:eastAsia="Arial" w:hAnsi="Arial"/>
          <w:sz w:val="20"/>
          <w:szCs w:val="20"/>
          <w:b w:val="1"/>
          <w:bCs w:val="1"/>
          <w:i w:val="1"/>
          <w:iCs w:val="1"/>
          <w:color w:val="auto"/>
        </w:rPr>
        <w:t>BUSINESS HOURS</w:t>
      </w:r>
      <w:r>
        <w:rPr>
          <w:rFonts w:ascii="Arial" w:cs="Arial" w:eastAsia="Arial" w:hAnsi="Arial"/>
          <w:sz w:val="20"/>
          <w:szCs w:val="20"/>
          <w:color w:val="auto"/>
        </w:rPr>
        <w:t>” means from 7h00 to 19h00, Montreal time, Monday to Friday.</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1.6“</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means all legally binding laws, regulations, by-laws, orders, approvals, notices, permits and directives of a governmental authority having jurisdiction over the Property or the nature of the business of the Lessee, relating to the environment, public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20"/>
          <w:szCs w:val="20"/>
          <w:color w:val="auto"/>
        </w:rPr>
        <w:t>- 2 -</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b w:val="1"/>
          <w:bCs w:val="1"/>
          <w:i w:val="1"/>
          <w:iCs w:val="1"/>
          <w:color w:val="auto"/>
        </w:rPr>
        <w:t>“INTEREST RATE</w:t>
      </w:r>
      <w:r>
        <w:rPr>
          <w:rFonts w:ascii="Arial" w:cs="Arial" w:eastAsia="Arial" w:hAnsi="Arial"/>
          <w:sz w:val="20"/>
          <w:szCs w:val="20"/>
          <w:i w:val="1"/>
          <w:iCs w:val="1"/>
          <w:color w:val="auto"/>
        </w:rPr>
        <w:t>”</w:t>
      </w:r>
      <w:r>
        <w:rPr>
          <w:rFonts w:ascii="Arial" w:cs="Arial" w:eastAsia="Arial" w:hAnsi="Arial"/>
          <w:sz w:val="20"/>
          <w:szCs w:val="20"/>
          <w:color w:val="auto"/>
        </w:rPr>
        <w:t xml:space="preserve"> means five percent (5%) per annum in excess of the prime interest rate to be charged from time to time by Bank of Montreal for commercial demand loans in Canada in Canadian funds granted to its most creditworthy borrowers, compounded monthly and reckoned from their respective due dates.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1.8</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LEASE</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present Lease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1.9</w:t>
      </w:r>
      <w:r>
        <w:rPr>
          <w:rFonts w:ascii="Arial" w:cs="Arial" w:eastAsia="Arial" w:hAnsi="Arial"/>
          <w:sz w:val="20"/>
          <w:szCs w:val="20"/>
          <w:b w:val="1"/>
          <w:bCs w:val="1"/>
          <w:i w:val="1"/>
          <w:iCs w:val="1"/>
          <w:color w:val="auto"/>
        </w:rPr>
        <w:t>“LEASED PREMISES</w:t>
      </w:r>
      <w:r>
        <w:rPr>
          <w:rFonts w:ascii="Arial" w:cs="Arial" w:eastAsia="Arial" w:hAnsi="Arial"/>
          <w:sz w:val="20"/>
          <w:szCs w:val="20"/>
          <w:i w:val="1"/>
          <w:iCs w:val="1"/>
          <w:color w:val="auto"/>
        </w:rPr>
        <w:t>”</w:t>
      </w:r>
      <w:r>
        <w:rPr>
          <w:rFonts w:ascii="Arial" w:cs="Arial" w:eastAsia="Arial" w:hAnsi="Arial"/>
          <w:sz w:val="20"/>
          <w:szCs w:val="20"/>
          <w:color w:val="auto"/>
        </w:rPr>
        <w:t xml:space="preserve"> means and comprises the premises having a total rentable square footage of three thousand four hundred and forty-five (3 445) square feet situated in the Building located on the Property, as shown on Schedule “B” and ‘’F’’ attached hereto, together with 10 parking spaces, of which one parking space shall be reserved in the front parking spaces of the NEOMED INSTITUTE.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LESSEE</w:t>
      </w:r>
      <w:r>
        <w:rPr>
          <w:rFonts w:ascii="Arial" w:cs="Arial" w:eastAsia="Arial" w:hAnsi="Arial"/>
          <w:sz w:val="20"/>
          <w:szCs w:val="20"/>
          <w:i w:val="1"/>
          <w:iCs w:val="1"/>
          <w:color w:val="auto"/>
        </w:rPr>
        <w:t>”</w:t>
      </w:r>
      <w:r>
        <w:rPr>
          <w:rFonts w:ascii="Arial" w:cs="Arial" w:eastAsia="Arial" w:hAnsi="Arial"/>
          <w:sz w:val="20"/>
          <w:szCs w:val="20"/>
          <w:color w:val="auto"/>
        </w:rPr>
        <w:t xml:space="preserve"> means Repare Therapeutics Inc.</w:t>
      </w:r>
      <w:r>
        <w:rPr>
          <w:rFonts w:ascii="Arial" w:cs="Arial" w:eastAsia="Arial" w:hAnsi="Arial"/>
          <w:sz w:val="20"/>
          <w:szCs w:val="20"/>
          <w:i w:val="1"/>
          <w:iCs w:val="1"/>
          <w:color w:val="auto"/>
        </w:rPr>
        <w:t>,</w:t>
      </w:r>
      <w:r>
        <w:rPr>
          <w:rFonts w:ascii="Arial" w:cs="Arial" w:eastAsia="Arial" w:hAnsi="Arial"/>
          <w:sz w:val="20"/>
          <w:szCs w:val="20"/>
          <w:color w:val="auto"/>
        </w:rPr>
        <w:t xml:space="preserve"> its permitted successors and assigns.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1.11</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LESSEE’S PROPORTIONATE SHARE</w:t>
      </w:r>
      <w:r>
        <w:rPr>
          <w:rFonts w:ascii="Arial" w:cs="Arial" w:eastAsia="Arial" w:hAnsi="Arial"/>
          <w:sz w:val="20"/>
          <w:szCs w:val="20"/>
          <w:i w:val="1"/>
          <w:iCs w:val="1"/>
          <w:color w:val="auto"/>
        </w:rPr>
        <w:t>”</w:t>
      </w:r>
      <w:r>
        <w:rPr>
          <w:rFonts w:ascii="Arial" w:cs="Arial" w:eastAsia="Arial" w:hAnsi="Arial"/>
          <w:sz w:val="20"/>
          <w:szCs w:val="20"/>
          <w:color w:val="auto"/>
        </w:rPr>
        <w:t xml:space="preserve"> is established at seven Percent (7,0%) and means the fraction having as its numerator, the rentable square footage of the Leased Premises, and as its denominator, the rentable square footage of the Building, including the rentable area of the Leased Premises, which is deemed to be 49 220 rentable square feet.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1.12“</w:t>
      </w:r>
      <w:r>
        <w:rPr>
          <w:rFonts w:ascii="Arial" w:cs="Arial" w:eastAsia="Arial" w:hAnsi="Arial"/>
          <w:sz w:val="20"/>
          <w:szCs w:val="20"/>
          <w:b w:val="1"/>
          <w:bCs w:val="1"/>
          <w:color w:val="auto"/>
        </w:rPr>
        <w:t>LESSOR</w:t>
      </w:r>
      <w:r>
        <w:rPr>
          <w:rFonts w:ascii="Arial" w:cs="Arial" w:eastAsia="Arial" w:hAnsi="Arial"/>
          <w:sz w:val="20"/>
          <w:szCs w:val="20"/>
          <w:color w:val="auto"/>
        </w:rPr>
        <w:t>” means Neomed Institute, its successors and assigns.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1.13</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LESSOR’S REPAIRS</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maintenance, repairs and replacements to (i) the structural elements of the Building, (ii) the roof of the Building, including the roof membrane, (iii) the exterior walls of the Building, (iv) the foundation of the Building (including footings and floor slab) (v) the exterior utility equipment, and (vi) repairs or restoration necessitated by a casualty (such as fire, flood or vandalism), unless any such repairs are required due to the negligence or fault of the Lessee.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1.14“</w:t>
      </w:r>
      <w:r>
        <w:rPr>
          <w:rFonts w:ascii="Arial" w:cs="Arial" w:eastAsia="Arial" w:hAnsi="Arial"/>
          <w:sz w:val="20"/>
          <w:szCs w:val="20"/>
          <w:b w:val="1"/>
          <w:bCs w:val="1"/>
          <w:i w:val="1"/>
          <w:iCs w:val="1"/>
          <w:color w:val="auto"/>
        </w:rPr>
        <w:t>LESSOR’S WORK</w:t>
      </w:r>
      <w:r>
        <w:rPr>
          <w:rFonts w:ascii="Arial" w:cs="Arial" w:eastAsia="Arial" w:hAnsi="Arial"/>
          <w:sz w:val="20"/>
          <w:szCs w:val="20"/>
          <w:color w:val="auto"/>
        </w:rPr>
        <w:t>” has the meaning provided therefor at Section 4.1.</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1.15“</w:t>
      </w:r>
      <w:r>
        <w:rPr>
          <w:rFonts w:ascii="Arial" w:cs="Arial" w:eastAsia="Arial" w:hAnsi="Arial"/>
          <w:sz w:val="20"/>
          <w:szCs w:val="20"/>
          <w:b w:val="1"/>
          <w:bCs w:val="1"/>
          <w:i w:val="1"/>
          <w:iCs w:val="1"/>
          <w:color w:val="auto"/>
        </w:rPr>
        <w:t>OPERATING EXPENSES</w:t>
      </w:r>
      <w:r>
        <w:rPr>
          <w:rFonts w:ascii="Arial" w:cs="Arial" w:eastAsia="Arial" w:hAnsi="Arial"/>
          <w:sz w:val="20"/>
          <w:szCs w:val="20"/>
          <w:color w:val="auto"/>
        </w:rPr>
        <w:t>” means all costs, charges, impositions, expenses and outlays incurred by the Lessor in connection with the ownership, operation, maintenance, repair, renovation, replacement, insuring, management or administration of the Property and any and all installations, systems and equipment thereof. By way of example only, but without limiting the generality of the foregoing, Operating Expenses shall include all of Lessor’s costs of maintaining the Property in a good and proper state of upkeep and repair as a prudent owner would do, including, without limiting the generality of the foregoing, the cost of all repairs, renovations, demisements, alterations, improvements and replacements effected in respect of the Property, including minor roof repairs, except for structural repairs, repairs to the foundations of any buildings, footings and floor slab, all other Lessor’s Repairs mentioned in Section 1.14 herein, but including all snow removal and landscaping, the cost of labour, materials, services (inclusive of utilities and all applicable taxes thereto) attributable to common areas and facilities of the Property (excluding any part of such costs charged separately to lessees), utility taxes, insurance premiums and other insurance costs, deductible payments, administrative costs directly related to the operation of the Property, and all salaries, benefits and contributions in respect of the employees and other personnel engaged for the Property, any and all security services (if any), the cost of any modification, modernization, improvement or addition to the Property or to any equipment or installations or service therein or thereon, where same is required by law or where it is for the benefit or safety of the users of the Property, all reasonable expenses incurred by the Lessor in obtaining or attempting to obtain a reduction of Property Taxes, any taxes which are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0"/>
          <w:szCs w:val="20"/>
          <w:color w:val="auto"/>
        </w:rPr>
        <w:t>- 3 -</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whole or in part computed as a function of the capital employed in respect of the Property, levied upon the Lessor as owner of the Property, whether characterized as a tax on capital or large corporations tax, and an annual management fee equal to Fifteen percent (15%) of the applicable annual Additional Rent. In regard to capital and/or structural repairs or replacements to the Building or the systems thereof, the cost of such repair or replacement shall be amortized over its useful life in accordance with generally accepted accounting principles and charged to Lessee hereunder. Furthermore, Operating Expenses includes all costs, charges, impositions, expenses and outlays incurred by the Lessor in connection with the utilities provided in the Building, the common facilities and the Leased Premises, including, but not limited to, electricity, heating and air conditioning, natural gas, reverse osmosis purified water and vacuum system in the laboratories.</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following costs shall be excluded or deducted, as the case may be, from the Operating Expenses and the Lessee shall not be required to pay:</w:t>
      </w:r>
    </w:p>
    <w:p>
      <w:pPr>
        <w:spacing w:after="0" w:line="196" w:lineRule="exact"/>
        <w:rPr>
          <w:sz w:val="20"/>
          <w:szCs w:val="20"/>
          <w:color w:val="auto"/>
        </w:rPr>
      </w:pPr>
    </w:p>
    <w:p>
      <w:pPr>
        <w:ind w:left="1140" w:hanging="758"/>
        <w:spacing w:after="0"/>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costs related to financing or refinancing of the Property, including payments of interest on Lessor’s debt;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1140" w:hanging="758"/>
        <w:spacing w:after="0" w:line="229" w:lineRule="auto"/>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expense incurred by the Lessor for the exclusive benefit of any other lessee of the Property; or in connection with services or other benefits of a type which are not provided to Lessee but which are provided to another lessee or occupant or in connection with the leasing of space in the Property, including brokers fees or commission, legal fees and expenses, marketing and promotion costs, any lessee inducements, the cost of lease take-overs, the cost of market studies and any other fees and expenses of a similar nature;</w:t>
      </w:r>
    </w:p>
    <w:p>
      <w:pPr>
        <w:spacing w:after="0" w:line="200" w:lineRule="exact"/>
        <w:rPr>
          <w:rFonts w:ascii="Arial" w:cs="Arial" w:eastAsia="Arial" w:hAnsi="Arial"/>
          <w:sz w:val="20"/>
          <w:szCs w:val="20"/>
          <w:color w:val="auto"/>
        </w:rPr>
      </w:pPr>
    </w:p>
    <w:p>
      <w:pPr>
        <w:spacing w:after="0" w:line="214" w:lineRule="exact"/>
        <w:rPr>
          <w:rFonts w:ascii="Arial" w:cs="Arial" w:eastAsia="Arial" w:hAnsi="Arial"/>
          <w:sz w:val="20"/>
          <w:szCs w:val="20"/>
          <w:color w:val="auto"/>
        </w:rPr>
      </w:pPr>
    </w:p>
    <w:p>
      <w:pPr>
        <w:ind w:left="1140" w:hanging="758"/>
        <w:spacing w:after="0"/>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costs related to the acquisition of the Property;</w:t>
      </w:r>
    </w:p>
    <w:p>
      <w:pPr>
        <w:spacing w:after="0" w:line="202" w:lineRule="exact"/>
        <w:rPr>
          <w:rFonts w:ascii="Arial" w:cs="Arial" w:eastAsia="Arial" w:hAnsi="Arial"/>
          <w:sz w:val="20"/>
          <w:szCs w:val="20"/>
          <w:color w:val="auto"/>
        </w:rPr>
      </w:pPr>
    </w:p>
    <w:p>
      <w:pPr>
        <w:ind w:left="1140" w:hanging="758"/>
        <w:spacing w:after="0"/>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reserve for bad debt or other loss of rentals;</w:t>
      </w:r>
    </w:p>
    <w:p>
      <w:pPr>
        <w:spacing w:after="0" w:line="202" w:lineRule="exact"/>
        <w:rPr>
          <w:rFonts w:ascii="Arial" w:cs="Arial" w:eastAsia="Arial" w:hAnsi="Arial"/>
          <w:sz w:val="20"/>
          <w:szCs w:val="20"/>
          <w:color w:val="auto"/>
        </w:rPr>
      </w:pPr>
    </w:p>
    <w:p>
      <w:pPr>
        <w:jc w:val="both"/>
        <w:ind w:left="1140" w:hanging="758"/>
        <w:spacing w:after="0" w:line="232" w:lineRule="auto"/>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costs or expenses attributable to any latent defect or construction defect in the Property or costs incurred in connection with repairs, alterations, additions, improvements, or replacements made to rectify or correct any defect in the design, materials, or workmanship of the Property;</w:t>
      </w:r>
    </w:p>
    <w:p>
      <w:pPr>
        <w:spacing w:after="0" w:line="197" w:lineRule="exact"/>
        <w:rPr>
          <w:rFonts w:ascii="Arial" w:cs="Arial" w:eastAsia="Arial" w:hAnsi="Arial"/>
          <w:sz w:val="20"/>
          <w:szCs w:val="20"/>
          <w:color w:val="auto"/>
        </w:rPr>
      </w:pPr>
    </w:p>
    <w:p>
      <w:pPr>
        <w:ind w:left="1140" w:hanging="758"/>
        <w:spacing w:after="0" w:line="236" w:lineRule="auto"/>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cost of any work which is paid for by a person other than the Lessor under a warranty obligation owed to the Lessor by such third party;</w:t>
      </w:r>
    </w:p>
    <w:p>
      <w:pPr>
        <w:spacing w:after="0" w:line="195" w:lineRule="exact"/>
        <w:rPr>
          <w:rFonts w:ascii="Arial" w:cs="Arial" w:eastAsia="Arial" w:hAnsi="Arial"/>
          <w:sz w:val="20"/>
          <w:szCs w:val="20"/>
          <w:color w:val="auto"/>
        </w:rPr>
      </w:pPr>
    </w:p>
    <w:p>
      <w:pPr>
        <w:ind w:left="1140" w:hanging="758"/>
        <w:spacing w:after="0"/>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costs of alterations of other lessee’s spaces, whether for initial occupancy or thereafter;</w:t>
      </w:r>
    </w:p>
    <w:p>
      <w:pPr>
        <w:spacing w:after="0" w:line="202" w:lineRule="exact"/>
        <w:rPr>
          <w:rFonts w:ascii="Arial" w:cs="Arial" w:eastAsia="Arial" w:hAnsi="Arial"/>
          <w:sz w:val="20"/>
          <w:szCs w:val="20"/>
          <w:color w:val="auto"/>
        </w:rPr>
      </w:pPr>
    </w:p>
    <w:p>
      <w:pPr>
        <w:ind w:left="1140" w:hanging="758"/>
        <w:spacing w:after="0"/>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costs of selling, syndicating, mortgaging, or hypothecating any of Lessor’s interest in the Property;</w:t>
      </w:r>
    </w:p>
    <w:p>
      <w:pPr>
        <w:spacing w:after="0" w:line="202" w:lineRule="exact"/>
        <w:rPr>
          <w:rFonts w:ascii="Arial" w:cs="Arial" w:eastAsia="Arial" w:hAnsi="Arial"/>
          <w:sz w:val="20"/>
          <w:szCs w:val="20"/>
          <w:color w:val="auto"/>
        </w:rPr>
      </w:pPr>
    </w:p>
    <w:p>
      <w:pPr>
        <w:jc w:val="both"/>
        <w:ind w:left="1140" w:hanging="758"/>
        <w:spacing w:after="0" w:line="232" w:lineRule="auto"/>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costs incurred in connection with any disputes, including, but not limited to, any disputes between Lessor and its employees, between Lessor and property management, or between Lessor and other lessees or prospective lessees or occupants;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0"/>
          <w:szCs w:val="20"/>
          <w:color w:val="auto"/>
        </w:rPr>
        <w:t>- 4 -</w:t>
      </w:r>
    </w:p>
    <w:p>
      <w:pPr>
        <w:spacing w:after="0" w:line="203" w:lineRule="exact"/>
        <w:rPr>
          <w:sz w:val="20"/>
          <w:szCs w:val="20"/>
          <w:color w:val="auto"/>
        </w:rPr>
      </w:pPr>
    </w:p>
    <w:p>
      <w:pPr>
        <w:jc w:val="both"/>
        <w:ind w:left="1140" w:hanging="758"/>
        <w:spacing w:after="0" w:line="229" w:lineRule="auto"/>
        <w:tabs>
          <w:tab w:leader="none" w:pos="11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interest, fines, late fees, collection costs, legal fees, or penalties assessed as a result of Lessor’s failure to make payments in a timely manner or to comply with applicable laws, including regarding the payment of taxes, or to comply with the terms of any lease, hypothec, deed of trust, ground lease, private restriction, or other agreement, except in each case where such failure of the Lessor results from the failure of the Lessee to timely comply with its obligations under this Lease.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1.16</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PARKING AREA</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area adjacent to the Leased Premises shown cross-hatched in blue on Schedule “C” attached hereto which is to be used as provided for in Article 12.1 of this Lease.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1.17“</w:t>
      </w:r>
      <w:r>
        <w:rPr>
          <w:rFonts w:ascii="Arial" w:cs="Arial" w:eastAsia="Arial" w:hAnsi="Arial"/>
          <w:sz w:val="20"/>
          <w:szCs w:val="20"/>
          <w:b w:val="1"/>
          <w:bCs w:val="1"/>
          <w:i w:val="1"/>
          <w:iCs w:val="1"/>
          <w:color w:val="auto"/>
        </w:rPr>
        <w:t>PROPERTY</w:t>
      </w:r>
      <w:r>
        <w:rPr>
          <w:rFonts w:ascii="Arial" w:cs="Arial" w:eastAsia="Arial" w:hAnsi="Arial"/>
          <w:sz w:val="20"/>
          <w:szCs w:val="20"/>
          <w:i w:val="1"/>
          <w:iCs w:val="1"/>
          <w:color w:val="auto"/>
        </w:rPr>
        <w:t>”</w:t>
      </w:r>
      <w:r>
        <w:rPr>
          <w:rFonts w:ascii="Arial" w:cs="Arial" w:eastAsia="Arial" w:hAnsi="Arial"/>
          <w:sz w:val="20"/>
          <w:szCs w:val="20"/>
          <w:color w:val="auto"/>
        </w:rPr>
        <w:t xml:space="preserve"> means:</w:t>
      </w:r>
    </w:p>
    <w:p>
      <w:pPr>
        <w:spacing w:after="0" w:line="226" w:lineRule="exact"/>
        <w:rPr>
          <w:sz w:val="20"/>
          <w:szCs w:val="20"/>
          <w:color w:val="auto"/>
        </w:rPr>
      </w:pPr>
    </w:p>
    <w:p>
      <w:pPr>
        <w:jc w:val="both"/>
        <w:ind w:left="760"/>
        <w:spacing w:after="0" w:line="229" w:lineRule="auto"/>
        <w:rPr>
          <w:sz w:val="20"/>
          <w:szCs w:val="20"/>
          <w:color w:val="auto"/>
        </w:rPr>
      </w:pPr>
      <w:r>
        <w:rPr>
          <w:rFonts w:ascii="Arial" w:cs="Arial" w:eastAsia="Arial" w:hAnsi="Arial"/>
          <w:sz w:val="20"/>
          <w:szCs w:val="20"/>
          <w:color w:val="auto"/>
        </w:rPr>
        <w:t>A certain emplacement fronting on Frederick-Banting Street in the Borough of Saint-Laurent, City of Montreal, Province of Quebec, known and designated as being Lot ONE MILLION ONE HUNDRED SIXTY-THREE THOUSAND SEVEN HUNDRED NINETY-SIX (1 163 796) of the Cadastre of Quebec, Registration Division of Montreal, together with the Building (as defined above) and any other improvements thereon erected and the parking facilities serving the Building and any other improvements and bearing Civic Number 7171, Frederick-Banting, Borough of Saint-Laurent, City of Montreal, Quebec, H4S 1Z9, as same may be modified from time to time.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1.18</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PROPERTY TAXES</w:t>
      </w:r>
      <w:r>
        <w:rPr>
          <w:rFonts w:ascii="Arial" w:cs="Arial" w:eastAsia="Arial" w:hAnsi="Arial"/>
          <w:sz w:val="19"/>
          <w:szCs w:val="19"/>
          <w:i w:val="1"/>
          <w:iCs w:val="1"/>
          <w:color w:val="auto"/>
        </w:rPr>
        <w:t>”</w:t>
      </w:r>
      <w:r>
        <w:rPr>
          <w:rFonts w:ascii="Arial" w:cs="Arial" w:eastAsia="Arial" w:hAnsi="Arial"/>
          <w:sz w:val="19"/>
          <w:szCs w:val="19"/>
          <w:color w:val="auto"/>
        </w:rPr>
        <w:t xml:space="preserve"> means all taxes whether special or general, rates, dues and assessments whatsoever, whether under the provisions of the Charter and by By-laws of the City of Montreal, or the Borough of Saint-Laurent, or of any other competent authority whether municipal, governmental or otherwise now charged or hereafter to be charged upon or in respect of the Property or any part thereof (excepting any income or profit taxes of the Lessor), and including, but not so as to limit the foregoing, all property taxes and assessments whatsoever, all municipal taxes, whether general or special, all local improvement taxes, all business taxes, school taxes, water taxes, garbage taxes, and similar taxes. Provided, however, that Property Taxes shall and does not include any business taxes, water taxes, garbage taxes or any other tax assessed directly to, and paid for by, lessees of the Property and not the Lessor. In addition to the foregoing, Property Taxes shall and does not include any and all charges that are or may be charged by the relevant governmental authority in respect to water consumed by, on or about the Property. If any such mode or method of taxation or charge is altered or varied from that in force at the beginning of the Term or should any such new tax or charge be levied or imposed on the Lessor or should the Lessor be substituted therefor then any such new tax, charge or levy shall be included in Property Taxes. Moreover, for greater certainty, if any Property Taxes are re-assessed, the Lessee’s Proportionate Share of such Property Taxes shall be adjusted to take into account such re-assessment.</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1.19“</w:t>
      </w:r>
      <w:r>
        <w:rPr>
          <w:rFonts w:ascii="Arial" w:cs="Arial" w:eastAsia="Arial" w:hAnsi="Arial"/>
          <w:sz w:val="20"/>
          <w:szCs w:val="20"/>
          <w:b w:val="1"/>
          <w:bCs w:val="1"/>
          <w:i w:val="1"/>
          <w:iCs w:val="1"/>
          <w:color w:val="auto"/>
        </w:rPr>
        <w:t>REMAINDER PROPORTIONATE SHARE</w:t>
      </w:r>
      <w:r>
        <w:rPr>
          <w:rFonts w:ascii="Arial" w:cs="Arial" w:eastAsia="Arial" w:hAnsi="Arial"/>
          <w:sz w:val="20"/>
          <w:szCs w:val="20"/>
          <w:color w:val="auto"/>
        </w:rPr>
        <w:t xml:space="preserve">” means the proportion, expressed as a percentage, which when added to the </w:t>
      </w:r>
      <w:r>
        <w:rPr>
          <w:rFonts w:ascii="Arial" w:cs="Arial" w:eastAsia="Arial" w:hAnsi="Arial"/>
          <w:sz w:val="20"/>
          <w:szCs w:val="20"/>
          <w:b w:val="1"/>
          <w:bCs w:val="1"/>
          <w:color w:val="auto"/>
        </w:rPr>
        <w:t>Lessee</w:t>
      </w:r>
      <w:r>
        <w:rPr>
          <w:rFonts w:ascii="Arial" w:cs="Arial" w:eastAsia="Arial" w:hAnsi="Arial"/>
          <w:sz w:val="20"/>
          <w:szCs w:val="20"/>
          <w:color w:val="auto"/>
        </w:rPr>
        <w:t>’s Proportionate Share represents One Hundred Percent (100%). For greater certainty, the “Remainder Proportionate</w:t>
      </w:r>
      <w:r>
        <w:rPr>
          <w:rFonts w:ascii="Arial" w:cs="Arial" w:eastAsia="Arial" w:hAnsi="Arial"/>
          <w:sz w:val="20"/>
          <w:szCs w:val="20"/>
          <w:b w:val="1"/>
          <w:bCs w:val="1"/>
          <w:color w:val="auto"/>
        </w:rPr>
        <w:t xml:space="preserve"> </w:t>
      </w:r>
      <w:r>
        <w:rPr>
          <w:rFonts w:ascii="Arial" w:cs="Arial" w:eastAsia="Arial" w:hAnsi="Arial"/>
          <w:sz w:val="20"/>
          <w:szCs w:val="20"/>
          <w:color w:val="auto"/>
        </w:rPr>
        <w:t>Share” is intended to represent the proportion of the rentable area of Building not forming part of the Leased Premises, as comprised from time to time.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1.20</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RENT</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Base Rent and the Additional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0"/>
          <w:szCs w:val="20"/>
          <w:color w:val="auto"/>
        </w:rPr>
        <w:t>- 5 -</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1.21</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TERM</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period of two (2) years and eight (8) months commencing January 1</w:t>
      </w:r>
      <w:r>
        <w:rPr>
          <w:rFonts w:ascii="Arial" w:cs="Arial" w:eastAsia="Arial" w:hAnsi="Arial"/>
          <w:sz w:val="13"/>
          <w:szCs w:val="13"/>
          <w:color w:val="auto"/>
        </w:rPr>
        <w:t>st</w:t>
      </w:r>
      <w:r>
        <w:rPr>
          <w:rFonts w:ascii="Arial" w:cs="Arial" w:eastAsia="Arial" w:hAnsi="Arial"/>
          <w:sz w:val="20"/>
          <w:szCs w:val="20"/>
          <w:color w:val="auto"/>
        </w:rPr>
        <w:t>, 2023 (the “</w:t>
      </w:r>
      <w:r>
        <w:rPr>
          <w:rFonts w:ascii="Arial" w:cs="Arial" w:eastAsia="Arial" w:hAnsi="Arial"/>
          <w:sz w:val="20"/>
          <w:szCs w:val="20"/>
          <w:b w:val="1"/>
          <w:bCs w:val="1"/>
          <w:color w:val="auto"/>
        </w:rPr>
        <w:t>Commencement</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and terminating August 30</w:t>
      </w:r>
      <w:r>
        <w:rPr>
          <w:rFonts w:ascii="Arial" w:cs="Arial" w:eastAsia="Arial" w:hAnsi="Arial"/>
          <w:sz w:val="13"/>
          <w:szCs w:val="13"/>
          <w:color w:val="auto"/>
        </w:rPr>
        <w:t>th</w:t>
      </w:r>
      <w:r>
        <w:rPr>
          <w:rFonts w:ascii="Arial" w:cs="Arial" w:eastAsia="Arial" w:hAnsi="Arial"/>
          <w:sz w:val="20"/>
          <w:szCs w:val="20"/>
          <w:color w:val="auto"/>
        </w:rPr>
        <w:t>, 2025 (the “</w:t>
      </w:r>
      <w:r>
        <w:rPr>
          <w:rFonts w:ascii="Arial" w:cs="Arial" w:eastAsia="Arial" w:hAnsi="Arial"/>
          <w:sz w:val="20"/>
          <w:szCs w:val="20"/>
          <w:b w:val="1"/>
          <w:bCs w:val="1"/>
          <w:color w:val="auto"/>
        </w:rPr>
        <w:t>Expiration of the Term</w:t>
      </w:r>
      <w:r>
        <w:rPr>
          <w:rFonts w:ascii="Arial" w:cs="Arial" w:eastAsia="Arial" w:hAnsi="Arial"/>
          <w:sz w:val="20"/>
          <w:szCs w:val="20"/>
          <w:color w:val="auto"/>
        </w:rPr>
        <w:t>”), unless terminated prior thereto under the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hereof.</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1.22</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YEAR</w:t>
      </w:r>
      <w:r>
        <w:rPr>
          <w:rFonts w:ascii="Arial" w:cs="Arial" w:eastAsia="Arial" w:hAnsi="Arial"/>
          <w:sz w:val="20"/>
          <w:szCs w:val="20"/>
          <w:i w:val="1"/>
          <w:iCs w:val="1"/>
          <w:color w:val="auto"/>
        </w:rPr>
        <w:t>”</w:t>
      </w:r>
      <w:r>
        <w:rPr>
          <w:rFonts w:ascii="Arial" w:cs="Arial" w:eastAsia="Arial" w:hAnsi="Arial"/>
          <w:sz w:val="20"/>
          <w:szCs w:val="20"/>
          <w:color w:val="auto"/>
        </w:rPr>
        <w:t xml:space="preserve"> means a calendar year occurring in whole or in part during the Term.</w:t>
      </w:r>
    </w:p>
    <w:p>
      <w:pPr>
        <w:spacing w:after="0" w:line="202" w:lineRule="exact"/>
        <w:rPr>
          <w:sz w:val="20"/>
          <w:szCs w:val="20"/>
          <w:color w:val="auto"/>
        </w:rPr>
      </w:pPr>
    </w:p>
    <w:p>
      <w:pPr>
        <w:ind w:left="5100"/>
        <w:spacing w:after="0"/>
        <w:rPr>
          <w:sz w:val="20"/>
          <w:szCs w:val="20"/>
          <w:color w:val="auto"/>
        </w:rPr>
      </w:pPr>
      <w:r>
        <w:rPr>
          <w:rFonts w:ascii="Arial" w:cs="Arial" w:eastAsia="Arial" w:hAnsi="Arial"/>
          <w:sz w:val="20"/>
          <w:szCs w:val="20"/>
          <w:b w:val="1"/>
          <w:bCs w:val="1"/>
          <w:i w:val="1"/>
          <w:iCs w:val="1"/>
          <w:u w:val="single" w:color="auto"/>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GRANT AND NET LEASE INTENT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113665</wp:posOffset>
            </wp:positionV>
            <wp:extent cx="349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8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2.1The Lessor hereby leases the Leased Premises to the Lessee, hereto present and accepting, for the Term, at the Rent, and subject to the terms and conditions herein set forth. The Lessee acknowledges that the Lease is intended to be a net net net Lease in accordance with the custom and usage prevailing for industrial buildings in the Province of Quebec </w:t>
      </w:r>
      <w:r>
        <w:rPr>
          <w:rFonts w:ascii="Arial" w:cs="Arial" w:eastAsia="Arial" w:hAnsi="Arial"/>
          <w:sz w:val="20"/>
          <w:szCs w:val="20"/>
          <w:color w:val="0F0F0F"/>
        </w:rPr>
        <w:t>and accordingly,</w:t>
      </w:r>
      <w:r>
        <w:rPr>
          <w:rFonts w:ascii="Arial" w:cs="Arial" w:eastAsia="Arial" w:hAnsi="Arial"/>
          <w:sz w:val="20"/>
          <w:szCs w:val="20"/>
          <w:color w:val="auto"/>
        </w:rPr>
        <w:t xml:space="preserve"> </w:t>
      </w:r>
      <w:r>
        <w:rPr>
          <w:rFonts w:ascii="Arial" w:cs="Arial" w:eastAsia="Arial" w:hAnsi="Arial"/>
          <w:sz w:val="20"/>
          <w:szCs w:val="20"/>
          <w:color w:val="0F0F0F"/>
        </w:rPr>
        <w:t xml:space="preserve">the Base Rent payable by the Lessee in virtue of these presents shall be completely net net net to the Lessor. The Lessor shall not, be responsible for any costs, expenses, impositions, outlays, or any other disbursements of any nature whatsoever arising from or relating to the Leased Premises, </w:t>
      </w:r>
      <w:r>
        <w:rPr>
          <w:rFonts w:ascii="Arial" w:cs="Arial" w:eastAsia="Arial" w:hAnsi="Arial"/>
          <w:sz w:val="18"/>
          <w:szCs w:val="18"/>
          <w:color w:val="0F0F0F"/>
        </w:rPr>
        <w:t>to their use or occupation, their contents or to the business conducted therein, and</w:t>
      </w:r>
      <w:r>
        <w:rPr>
          <w:rFonts w:ascii="Arial" w:cs="Arial" w:eastAsia="Arial" w:hAnsi="Arial"/>
          <w:sz w:val="20"/>
          <w:szCs w:val="20"/>
          <w:color w:val="0F0F0F"/>
        </w:rPr>
        <w:t xml:space="preserve"> the Lessee shall be responsible for all of these costs, expenses, outlays, or disbursements to the entire exoneration of the Lessor, unless expressly provided to the contrary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RENT</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3.1Subject to Section 3.11 herein, the Lessee binds and obliges itself to pay to the Lessor, in lawful money of Canada, </w:t>
      </w:r>
      <w:r>
        <w:rPr>
          <w:rFonts w:ascii="Arial" w:cs="Arial" w:eastAsia="Arial" w:hAnsi="Arial"/>
          <w:sz w:val="20"/>
          <w:szCs w:val="20"/>
          <w:color w:val="0F0F0F"/>
        </w:rPr>
        <w:t>and in</w:t>
      </w:r>
      <w:r>
        <w:rPr>
          <w:rFonts w:ascii="Arial" w:cs="Arial" w:eastAsia="Arial" w:hAnsi="Arial"/>
          <w:sz w:val="20"/>
          <w:szCs w:val="20"/>
          <w:color w:val="auto"/>
        </w:rPr>
        <w:t xml:space="preserve"> </w:t>
      </w:r>
      <w:r>
        <w:rPr>
          <w:rFonts w:ascii="Arial" w:cs="Arial" w:eastAsia="Arial" w:hAnsi="Arial"/>
          <w:sz w:val="20"/>
          <w:szCs w:val="20"/>
          <w:color w:val="0F0F0F"/>
        </w:rPr>
        <w:t xml:space="preserve">addition to any Additional Rent as may be provided for hereunder without deduction, reduction, abatement or set-off whatsoever, and without necessity of any demand therefor, the following (net net net) </w:t>
      </w:r>
      <w:r>
        <w:rPr>
          <w:rFonts w:ascii="Arial" w:cs="Arial" w:eastAsia="Arial" w:hAnsi="Arial"/>
          <w:sz w:val="19"/>
          <w:szCs w:val="19"/>
          <w:color w:val="000000"/>
        </w:rPr>
        <w:t>Base Rent:</w:t>
      </w:r>
    </w:p>
    <w:p>
      <w:pPr>
        <w:spacing w:after="0" w:line="189" w:lineRule="exact"/>
        <w:rPr>
          <w:sz w:val="20"/>
          <w:szCs w:val="20"/>
          <w:color w:val="auto"/>
        </w:rPr>
      </w:pPr>
    </w:p>
    <w:p>
      <w:pPr>
        <w:jc w:val="both"/>
        <w:ind w:left="2260" w:hanging="748"/>
        <w:spacing w:after="0" w:line="211" w:lineRule="auto"/>
        <w:tabs>
          <w:tab w:leader="none" w:pos="2240" w:val="left"/>
        </w:tabs>
        <w:rPr>
          <w:sz w:val="20"/>
          <w:szCs w:val="20"/>
          <w:color w:val="auto"/>
        </w:rPr>
      </w:pPr>
      <w:r>
        <w:rPr>
          <w:rFonts w:ascii="Arial" w:cs="Arial" w:eastAsia="Arial" w:hAnsi="Arial"/>
          <w:sz w:val="20"/>
          <w:szCs w:val="20"/>
          <w:color w:val="auto"/>
        </w:rPr>
        <w:t>3.1.1</w:t>
        <w:tab/>
        <w:t>For the First (1</w:t>
      </w:r>
      <w:r>
        <w:rPr>
          <w:rFonts w:ascii="Arial" w:cs="Arial" w:eastAsia="Arial" w:hAnsi="Arial"/>
          <w:sz w:val="26"/>
          <w:szCs w:val="26"/>
          <w:color w:val="auto"/>
          <w:vertAlign w:val="superscript"/>
        </w:rPr>
        <w:t>st</w:t>
      </w:r>
      <w:r>
        <w:rPr>
          <w:rFonts w:ascii="Arial" w:cs="Arial" w:eastAsia="Arial" w:hAnsi="Arial"/>
          <w:sz w:val="20"/>
          <w:szCs w:val="20"/>
          <w:color w:val="auto"/>
        </w:rPr>
        <w:t>) year of the Term, commencing January 1</w:t>
      </w:r>
      <w:r>
        <w:rPr>
          <w:rFonts w:ascii="Arial" w:cs="Arial" w:eastAsia="Arial" w:hAnsi="Arial"/>
          <w:sz w:val="26"/>
          <w:szCs w:val="26"/>
          <w:color w:val="auto"/>
          <w:vertAlign w:val="superscript"/>
        </w:rPr>
        <w:t>st</w:t>
      </w:r>
      <w:r>
        <w:rPr>
          <w:rFonts w:ascii="Arial" w:cs="Arial" w:eastAsia="Arial" w:hAnsi="Arial"/>
          <w:sz w:val="20"/>
          <w:szCs w:val="20"/>
          <w:color w:val="auto"/>
        </w:rPr>
        <w:t>, 2023 and terminating on December 31</w:t>
      </w:r>
      <w:r>
        <w:rPr>
          <w:rFonts w:ascii="Arial" w:cs="Arial" w:eastAsia="Arial" w:hAnsi="Arial"/>
          <w:sz w:val="26"/>
          <w:szCs w:val="26"/>
          <w:color w:val="auto"/>
          <w:vertAlign w:val="superscript"/>
        </w:rPr>
        <w:t>st</w:t>
      </w:r>
      <w:r>
        <w:rPr>
          <w:rFonts w:ascii="Arial" w:cs="Arial" w:eastAsia="Arial" w:hAnsi="Arial"/>
          <w:sz w:val="20"/>
          <w:szCs w:val="20"/>
          <w:color w:val="auto"/>
        </w:rPr>
        <w:t>, 2023, a Base Rent at the rate of twenty Dollars ($20,00) per square foot for rooms #2217, 2272, 2208A &amp; 2208B per annum, being a sum of two thousand and eight Dollars and thirty-three Cents ($2 008,33) per month, plus applicable taxes in accordance with Section 3.7 herein, payable in advance, without deduction or abatement, by way of equal and consecutive monthly instalments on the first day of each month;</w:t>
      </w:r>
    </w:p>
    <w:p>
      <w:pPr>
        <w:spacing w:after="0" w:line="205" w:lineRule="exact"/>
        <w:rPr>
          <w:sz w:val="20"/>
          <w:szCs w:val="20"/>
          <w:color w:val="auto"/>
        </w:rPr>
      </w:pPr>
    </w:p>
    <w:p>
      <w:pPr>
        <w:jc w:val="both"/>
        <w:ind w:left="2260" w:hanging="748"/>
        <w:spacing w:after="0" w:line="211" w:lineRule="auto"/>
        <w:tabs>
          <w:tab w:leader="none" w:pos="2240" w:val="left"/>
        </w:tabs>
        <w:rPr>
          <w:sz w:val="20"/>
          <w:szCs w:val="20"/>
          <w:color w:val="auto"/>
        </w:rPr>
      </w:pPr>
      <w:r>
        <w:rPr>
          <w:rFonts w:ascii="Arial" w:cs="Arial" w:eastAsia="Arial" w:hAnsi="Arial"/>
          <w:sz w:val="20"/>
          <w:szCs w:val="20"/>
          <w:color w:val="auto"/>
        </w:rPr>
        <w:t>3.1.2</w:t>
        <w:tab/>
        <w:t>For the First (1</w:t>
      </w:r>
      <w:r>
        <w:rPr>
          <w:rFonts w:ascii="Arial" w:cs="Arial" w:eastAsia="Arial" w:hAnsi="Arial"/>
          <w:sz w:val="26"/>
          <w:szCs w:val="26"/>
          <w:color w:val="auto"/>
          <w:vertAlign w:val="superscript"/>
        </w:rPr>
        <w:t>st</w:t>
      </w:r>
      <w:r>
        <w:rPr>
          <w:rFonts w:ascii="Arial" w:cs="Arial" w:eastAsia="Arial" w:hAnsi="Arial"/>
          <w:sz w:val="20"/>
          <w:szCs w:val="20"/>
          <w:color w:val="auto"/>
        </w:rPr>
        <w:t>) year of the Term, commencing January 1</w:t>
      </w:r>
      <w:r>
        <w:rPr>
          <w:rFonts w:ascii="Arial" w:cs="Arial" w:eastAsia="Arial" w:hAnsi="Arial"/>
          <w:sz w:val="26"/>
          <w:szCs w:val="26"/>
          <w:color w:val="auto"/>
          <w:vertAlign w:val="superscript"/>
        </w:rPr>
        <w:t>st</w:t>
      </w:r>
      <w:r>
        <w:rPr>
          <w:rFonts w:ascii="Arial" w:cs="Arial" w:eastAsia="Arial" w:hAnsi="Arial"/>
          <w:sz w:val="20"/>
          <w:szCs w:val="20"/>
          <w:color w:val="auto"/>
        </w:rPr>
        <w:t>, 2023 and terminating on December 31</w:t>
      </w:r>
      <w:r>
        <w:rPr>
          <w:rFonts w:ascii="Arial" w:cs="Arial" w:eastAsia="Arial" w:hAnsi="Arial"/>
          <w:sz w:val="26"/>
          <w:szCs w:val="26"/>
          <w:color w:val="auto"/>
          <w:vertAlign w:val="superscript"/>
        </w:rPr>
        <w:t>st</w:t>
      </w:r>
      <w:r>
        <w:rPr>
          <w:rFonts w:ascii="Arial" w:cs="Arial" w:eastAsia="Arial" w:hAnsi="Arial"/>
          <w:sz w:val="20"/>
          <w:szCs w:val="20"/>
          <w:color w:val="auto"/>
        </w:rPr>
        <w:t>, 2023, a Base Rent at the rate of nine Dollars and twenty-five cents ($9,25) per square foot for rooms #2215, 2216, 2218, 2219, 2220A &amp; 2220B per annum, being a sum of four hundred and ninety-seven Dollars and ninety-six Cents ($497,96) per month, plus applicable taxes in accordance with Section 3.7 herein, payable in advance, without deduction or abatement, by way of equal and consecutive monthly instalments on the first day of each month;</w:t>
      </w:r>
    </w:p>
    <w:p>
      <w:pPr>
        <w:spacing w:after="0" w:line="149"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3.1.3</w:t>
        <w:tab/>
        <w:t>For the Second (2</w:t>
      </w:r>
      <w:r>
        <w:rPr>
          <w:rFonts w:ascii="Arial" w:cs="Arial" w:eastAsia="Arial" w:hAnsi="Arial"/>
          <w:sz w:val="26"/>
          <w:szCs w:val="26"/>
          <w:color w:val="auto"/>
          <w:vertAlign w:val="superscript"/>
        </w:rPr>
        <w:t>nd</w:t>
      </w:r>
      <w:r>
        <w:rPr>
          <w:rFonts w:ascii="Arial" w:cs="Arial" w:eastAsia="Arial" w:hAnsi="Arial"/>
          <w:sz w:val="20"/>
          <w:szCs w:val="20"/>
          <w:color w:val="auto"/>
        </w:rPr>
        <w:t>) year of the Term, commencing January 1</w:t>
      </w:r>
      <w:r>
        <w:rPr>
          <w:rFonts w:ascii="Arial" w:cs="Arial" w:eastAsia="Arial" w:hAnsi="Arial"/>
          <w:sz w:val="26"/>
          <w:szCs w:val="26"/>
          <w:color w:val="auto"/>
          <w:vertAlign w:val="superscript"/>
        </w:rPr>
        <w:t>st</w:t>
      </w:r>
      <w:r>
        <w:rPr>
          <w:rFonts w:ascii="Arial" w:cs="Arial" w:eastAsia="Arial" w:hAnsi="Arial"/>
          <w:sz w:val="20"/>
          <w:szCs w:val="20"/>
          <w:color w:val="auto"/>
        </w:rPr>
        <w:t>, 2024 and terminating on December</w:t>
      </w:r>
    </w:p>
    <w:p>
      <w:pPr>
        <w:ind w:left="2260"/>
        <w:spacing w:after="0" w:line="190" w:lineRule="auto"/>
        <w:rPr>
          <w:sz w:val="20"/>
          <w:szCs w:val="20"/>
          <w:color w:val="auto"/>
        </w:rPr>
      </w:pPr>
      <w:r>
        <w:rPr>
          <w:rFonts w:ascii="Arial" w:cs="Arial" w:eastAsia="Arial" w:hAnsi="Arial"/>
          <w:sz w:val="20"/>
          <w:szCs w:val="20"/>
          <w:color w:val="auto"/>
        </w:rPr>
        <w:t>31</w:t>
      </w:r>
      <w:r>
        <w:rPr>
          <w:rFonts w:ascii="Arial" w:cs="Arial" w:eastAsia="Arial" w:hAnsi="Arial"/>
          <w:sz w:val="26"/>
          <w:szCs w:val="26"/>
          <w:color w:val="auto"/>
          <w:vertAlign w:val="superscript"/>
        </w:rPr>
        <w:t>st</w:t>
      </w:r>
      <w:r>
        <w:rPr>
          <w:rFonts w:ascii="Arial" w:cs="Arial" w:eastAsia="Arial" w:hAnsi="Arial"/>
          <w:sz w:val="20"/>
          <w:szCs w:val="20"/>
          <w:color w:val="auto"/>
        </w:rPr>
        <w:t>, 2024, a Base Rent at the rate of twenty Dollars ($20,00) per square foot for rooms #2215, 2216,</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2217, 2218, 2219, 2272, 2208A, 2208B, 2220A &amp; 2220B per annum, being a sum of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0" w:name="page181"/>
    <w:bookmarkEnd w:id="180"/>
    <w:p>
      <w:pPr>
        <w:ind w:left="4320"/>
        <w:spacing w:after="0"/>
        <w:rPr>
          <w:sz w:val="20"/>
          <w:szCs w:val="20"/>
          <w:color w:val="auto"/>
        </w:rPr>
      </w:pPr>
      <w:r>
        <w:rPr>
          <w:rFonts w:ascii="Arial" w:cs="Arial" w:eastAsia="Arial" w:hAnsi="Arial"/>
          <w:sz w:val="20"/>
          <w:szCs w:val="20"/>
          <w:color w:val="auto"/>
        </w:rPr>
        <w:t>- 6 -</w:t>
      </w:r>
    </w:p>
    <w:p>
      <w:pPr>
        <w:spacing w:after="0" w:line="203" w:lineRule="exact"/>
        <w:rPr>
          <w:sz w:val="20"/>
          <w:szCs w:val="20"/>
          <w:color w:val="auto"/>
        </w:rPr>
      </w:pPr>
    </w:p>
    <w:p>
      <w:pPr>
        <w:jc w:val="both"/>
        <w:ind w:left="1140"/>
        <w:spacing w:after="0" w:line="232" w:lineRule="auto"/>
        <w:rPr>
          <w:sz w:val="20"/>
          <w:szCs w:val="20"/>
          <w:color w:val="auto"/>
        </w:rPr>
      </w:pPr>
      <w:r>
        <w:rPr>
          <w:rFonts w:ascii="Arial" w:cs="Arial" w:eastAsia="Arial" w:hAnsi="Arial"/>
          <w:sz w:val="20"/>
          <w:szCs w:val="20"/>
          <w:color w:val="auto"/>
        </w:rPr>
        <w:t>thousand and eighty-five Dollars ($3 085,00) per month, plus applicable taxes in accordance with Section 3.7 herein, payable in advance, without deduction or abatement, by way of equal and consecutive monthly instalments on the first day of each month;</w:t>
      </w:r>
    </w:p>
    <w:p>
      <w:pPr>
        <w:spacing w:after="0" w:line="202" w:lineRule="exact"/>
        <w:rPr>
          <w:sz w:val="20"/>
          <w:szCs w:val="20"/>
          <w:color w:val="auto"/>
        </w:rPr>
      </w:pPr>
    </w:p>
    <w:p>
      <w:pPr>
        <w:jc w:val="both"/>
        <w:ind w:left="1140" w:hanging="748"/>
        <w:spacing w:after="0" w:line="221" w:lineRule="auto"/>
        <w:tabs>
          <w:tab w:leader="none" w:pos="1120" w:val="left"/>
        </w:tabs>
        <w:rPr>
          <w:sz w:val="20"/>
          <w:szCs w:val="20"/>
          <w:color w:val="auto"/>
        </w:rPr>
      </w:pPr>
      <w:r>
        <w:rPr>
          <w:rFonts w:ascii="Arial" w:cs="Arial" w:eastAsia="Arial" w:hAnsi="Arial"/>
          <w:sz w:val="20"/>
          <w:szCs w:val="20"/>
          <w:color w:val="auto"/>
        </w:rPr>
        <w:t>3.1.4</w:t>
        <w:tab/>
        <w:t>For the Third (3</w:t>
      </w:r>
      <w:r>
        <w:rPr>
          <w:rFonts w:ascii="Arial" w:cs="Arial" w:eastAsia="Arial" w:hAnsi="Arial"/>
          <w:sz w:val="26"/>
          <w:szCs w:val="26"/>
          <w:color w:val="auto"/>
          <w:vertAlign w:val="superscript"/>
        </w:rPr>
        <w:t>rd</w:t>
      </w:r>
      <w:r>
        <w:rPr>
          <w:rFonts w:ascii="Arial" w:cs="Arial" w:eastAsia="Arial" w:hAnsi="Arial"/>
          <w:sz w:val="20"/>
          <w:szCs w:val="20"/>
          <w:color w:val="auto"/>
        </w:rPr>
        <w:t>) year of the Term, commencing January 1</w:t>
      </w:r>
      <w:r>
        <w:rPr>
          <w:rFonts w:ascii="Arial" w:cs="Arial" w:eastAsia="Arial" w:hAnsi="Arial"/>
          <w:sz w:val="26"/>
          <w:szCs w:val="26"/>
          <w:color w:val="auto"/>
          <w:vertAlign w:val="superscript"/>
        </w:rPr>
        <w:t>st</w:t>
      </w:r>
      <w:r>
        <w:rPr>
          <w:rFonts w:ascii="Arial" w:cs="Arial" w:eastAsia="Arial" w:hAnsi="Arial"/>
          <w:sz w:val="20"/>
          <w:szCs w:val="20"/>
          <w:color w:val="auto"/>
        </w:rPr>
        <w:t>, 2025 and terminating on August 31</w:t>
      </w:r>
      <w:r>
        <w:rPr>
          <w:rFonts w:ascii="Arial" w:cs="Arial" w:eastAsia="Arial" w:hAnsi="Arial"/>
          <w:sz w:val="26"/>
          <w:szCs w:val="26"/>
          <w:color w:val="auto"/>
          <w:vertAlign w:val="superscript"/>
        </w:rPr>
        <w:t>st</w:t>
      </w:r>
      <w:r>
        <w:rPr>
          <w:rFonts w:ascii="Arial" w:cs="Arial" w:eastAsia="Arial" w:hAnsi="Arial"/>
          <w:sz w:val="20"/>
          <w:szCs w:val="20"/>
          <w:color w:val="auto"/>
        </w:rPr>
        <w:t>, 2025, a Base Rent at the rate of twenty Dollars and sixty Cents ($20,60) per square foot for rooms #2215, 2216, 2217, 2218, 2219, 2272, 2208A, 2208B, 2220A &amp; 2220B per annum, being a sum of three thousand one hundred and seventy-seven Dollars and fifty-five Cents ($3 177,55) per month, plus applicable taxes in accordance with Section 3.7 herein, payable in advance, without deduction or abatement, by way of equal and consecutive monthly instalments on the first day of each month;</w:t>
      </w:r>
    </w:p>
    <w:p>
      <w:pPr>
        <w:spacing w:after="0" w:line="160"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20"/>
          <w:szCs w:val="20"/>
          <w:color w:val="auto"/>
        </w:rPr>
        <w:t>3.1.5</w:t>
      </w:r>
      <w:r>
        <w:rPr>
          <w:sz w:val="20"/>
          <w:szCs w:val="20"/>
          <w:color w:val="auto"/>
        </w:rPr>
        <w:tab/>
      </w:r>
      <w:r>
        <w:rPr>
          <w:rFonts w:ascii="Arial" w:cs="Arial" w:eastAsia="Arial" w:hAnsi="Arial"/>
          <w:sz w:val="19"/>
          <w:szCs w:val="19"/>
          <w:color w:val="auto"/>
        </w:rPr>
        <w:t>For the First (1</w:t>
      </w:r>
      <w:r>
        <w:rPr>
          <w:rFonts w:ascii="Arial" w:cs="Arial" w:eastAsia="Arial" w:hAnsi="Arial"/>
          <w:sz w:val="25"/>
          <w:szCs w:val="25"/>
          <w:color w:val="auto"/>
          <w:vertAlign w:val="superscript"/>
        </w:rPr>
        <w:t>st</w:t>
      </w:r>
      <w:r>
        <w:rPr>
          <w:rFonts w:ascii="Arial" w:cs="Arial" w:eastAsia="Arial" w:hAnsi="Arial"/>
          <w:sz w:val="19"/>
          <w:szCs w:val="19"/>
          <w:color w:val="auto"/>
        </w:rPr>
        <w:t>) and Second (2</w:t>
      </w:r>
      <w:r>
        <w:rPr>
          <w:rFonts w:ascii="Arial" w:cs="Arial" w:eastAsia="Arial" w:hAnsi="Arial"/>
          <w:sz w:val="25"/>
          <w:szCs w:val="25"/>
          <w:color w:val="auto"/>
          <w:vertAlign w:val="superscript"/>
        </w:rPr>
        <w:t>nd</w:t>
      </w:r>
      <w:r>
        <w:rPr>
          <w:rFonts w:ascii="Arial" w:cs="Arial" w:eastAsia="Arial" w:hAnsi="Arial"/>
          <w:sz w:val="19"/>
          <w:szCs w:val="19"/>
          <w:color w:val="auto"/>
        </w:rPr>
        <w:t>) years of the Term, commencing January 1</w:t>
      </w:r>
      <w:r>
        <w:rPr>
          <w:rFonts w:ascii="Arial" w:cs="Arial" w:eastAsia="Arial" w:hAnsi="Arial"/>
          <w:sz w:val="25"/>
          <w:szCs w:val="25"/>
          <w:color w:val="auto"/>
          <w:vertAlign w:val="superscript"/>
        </w:rPr>
        <w:t>st</w:t>
      </w:r>
      <w:r>
        <w:rPr>
          <w:rFonts w:ascii="Arial" w:cs="Arial" w:eastAsia="Arial" w:hAnsi="Arial"/>
          <w:sz w:val="19"/>
          <w:szCs w:val="19"/>
          <w:color w:val="auto"/>
        </w:rPr>
        <w:t>, 2023 and terminating</w:t>
      </w:r>
    </w:p>
    <w:p>
      <w:pPr>
        <w:jc w:val="both"/>
        <w:ind w:left="1140"/>
        <w:spacing w:after="0" w:line="221" w:lineRule="auto"/>
        <w:rPr>
          <w:sz w:val="20"/>
          <w:szCs w:val="20"/>
          <w:color w:val="auto"/>
        </w:rPr>
      </w:pPr>
      <w:r>
        <w:rPr>
          <w:rFonts w:ascii="Arial" w:cs="Arial" w:eastAsia="Arial" w:hAnsi="Arial"/>
          <w:sz w:val="20"/>
          <w:szCs w:val="20"/>
          <w:color w:val="auto"/>
        </w:rPr>
        <w:t>on December 31</w:t>
      </w:r>
      <w:r>
        <w:rPr>
          <w:rFonts w:ascii="Arial" w:cs="Arial" w:eastAsia="Arial" w:hAnsi="Arial"/>
          <w:sz w:val="26"/>
          <w:szCs w:val="26"/>
          <w:color w:val="auto"/>
          <w:vertAlign w:val="superscript"/>
        </w:rPr>
        <w:t>st</w:t>
      </w:r>
      <w:r>
        <w:rPr>
          <w:rFonts w:ascii="Arial" w:cs="Arial" w:eastAsia="Arial" w:hAnsi="Arial"/>
          <w:sz w:val="20"/>
          <w:szCs w:val="20"/>
          <w:color w:val="auto"/>
        </w:rPr>
        <w:t>, 2024, a Base Rent at the rate of nine Dollars and twenty-five cents ($9,25) per square foot for rooms #1208, 1210 &amp; 2116 per annum, being a sum of five hundred and one Dollars and eighty-one Cents ($501,81) per month, plus applicable taxes in accordance with Section 3.7 herein, payable in advance, without deduction or abatement, by way of equal and consecutive monthly instalments on the first day of each month;</w:t>
      </w:r>
    </w:p>
    <w:p>
      <w:pPr>
        <w:spacing w:after="0" w:line="201" w:lineRule="exact"/>
        <w:rPr>
          <w:sz w:val="20"/>
          <w:szCs w:val="20"/>
          <w:color w:val="auto"/>
        </w:rPr>
      </w:pPr>
    </w:p>
    <w:p>
      <w:pPr>
        <w:jc w:val="both"/>
        <w:ind w:left="1140" w:hanging="748"/>
        <w:spacing w:after="0" w:line="221" w:lineRule="auto"/>
        <w:tabs>
          <w:tab w:leader="none" w:pos="1120" w:val="left"/>
        </w:tabs>
        <w:rPr>
          <w:sz w:val="20"/>
          <w:szCs w:val="20"/>
          <w:color w:val="auto"/>
        </w:rPr>
      </w:pPr>
      <w:r>
        <w:rPr>
          <w:rFonts w:ascii="Arial" w:cs="Arial" w:eastAsia="Arial" w:hAnsi="Arial"/>
          <w:sz w:val="20"/>
          <w:szCs w:val="20"/>
          <w:color w:val="auto"/>
        </w:rPr>
        <w:t>3.1.6</w:t>
        <w:tab/>
        <w:t>For the Third (3</w:t>
      </w:r>
      <w:r>
        <w:rPr>
          <w:rFonts w:ascii="Arial" w:cs="Arial" w:eastAsia="Arial" w:hAnsi="Arial"/>
          <w:sz w:val="26"/>
          <w:szCs w:val="26"/>
          <w:color w:val="auto"/>
          <w:vertAlign w:val="superscript"/>
        </w:rPr>
        <w:t>rd</w:t>
      </w:r>
      <w:r>
        <w:rPr>
          <w:rFonts w:ascii="Arial" w:cs="Arial" w:eastAsia="Arial" w:hAnsi="Arial"/>
          <w:sz w:val="20"/>
          <w:szCs w:val="20"/>
          <w:color w:val="auto"/>
        </w:rPr>
        <w:t>) year of the Term, commencing January 1</w:t>
      </w:r>
      <w:r>
        <w:rPr>
          <w:rFonts w:ascii="Arial" w:cs="Arial" w:eastAsia="Arial" w:hAnsi="Arial"/>
          <w:sz w:val="26"/>
          <w:szCs w:val="26"/>
          <w:color w:val="auto"/>
          <w:vertAlign w:val="superscript"/>
        </w:rPr>
        <w:t>st</w:t>
      </w:r>
      <w:r>
        <w:rPr>
          <w:rFonts w:ascii="Arial" w:cs="Arial" w:eastAsia="Arial" w:hAnsi="Arial"/>
          <w:sz w:val="20"/>
          <w:szCs w:val="20"/>
          <w:color w:val="auto"/>
        </w:rPr>
        <w:t>, 2025 and terminating on August 31</w:t>
      </w:r>
      <w:r>
        <w:rPr>
          <w:rFonts w:ascii="Arial" w:cs="Arial" w:eastAsia="Arial" w:hAnsi="Arial"/>
          <w:sz w:val="26"/>
          <w:szCs w:val="26"/>
          <w:color w:val="auto"/>
          <w:vertAlign w:val="superscript"/>
        </w:rPr>
        <w:t>st</w:t>
      </w:r>
      <w:r>
        <w:rPr>
          <w:rFonts w:ascii="Arial" w:cs="Arial" w:eastAsia="Arial" w:hAnsi="Arial"/>
          <w:sz w:val="20"/>
          <w:szCs w:val="20"/>
          <w:color w:val="auto"/>
        </w:rPr>
        <w:t>, 2025, a Base Rent at the rate of nine Dollars and fifty-three cents ($9,53) per square foot for rooms #1208, 1210 &amp; 2116 per annum, being a sum of five hundred and seventeen Dollars ($517,00) per month, plus applicable taxes in accordance with Section 3.7 herein, payable in advance, without deduction or abatement, by way of equal and consecutive monthly instalments on the first day of each month;</w:t>
      </w:r>
    </w:p>
    <w:p>
      <w:pPr>
        <w:spacing w:after="0" w:line="160"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20"/>
          <w:szCs w:val="20"/>
          <w:color w:val="auto"/>
        </w:rPr>
        <w:t>3.1.7</w:t>
      </w:r>
      <w:r>
        <w:rPr>
          <w:sz w:val="20"/>
          <w:szCs w:val="20"/>
          <w:color w:val="auto"/>
        </w:rPr>
        <w:tab/>
      </w:r>
      <w:r>
        <w:rPr>
          <w:rFonts w:ascii="Arial" w:cs="Arial" w:eastAsia="Arial" w:hAnsi="Arial"/>
          <w:sz w:val="19"/>
          <w:szCs w:val="19"/>
          <w:color w:val="auto"/>
        </w:rPr>
        <w:t>For the First (1</w:t>
      </w:r>
      <w:r>
        <w:rPr>
          <w:rFonts w:ascii="Arial" w:cs="Arial" w:eastAsia="Arial" w:hAnsi="Arial"/>
          <w:sz w:val="25"/>
          <w:szCs w:val="25"/>
          <w:color w:val="auto"/>
          <w:vertAlign w:val="superscript"/>
        </w:rPr>
        <w:t>st</w:t>
      </w:r>
      <w:r>
        <w:rPr>
          <w:rFonts w:ascii="Arial" w:cs="Arial" w:eastAsia="Arial" w:hAnsi="Arial"/>
          <w:sz w:val="19"/>
          <w:szCs w:val="19"/>
          <w:color w:val="auto"/>
        </w:rPr>
        <w:t>) and Second (2</w:t>
      </w:r>
      <w:r>
        <w:rPr>
          <w:rFonts w:ascii="Arial" w:cs="Arial" w:eastAsia="Arial" w:hAnsi="Arial"/>
          <w:sz w:val="25"/>
          <w:szCs w:val="25"/>
          <w:color w:val="auto"/>
          <w:vertAlign w:val="superscript"/>
        </w:rPr>
        <w:t>nd</w:t>
      </w:r>
      <w:r>
        <w:rPr>
          <w:rFonts w:ascii="Arial" w:cs="Arial" w:eastAsia="Arial" w:hAnsi="Arial"/>
          <w:sz w:val="19"/>
          <w:szCs w:val="19"/>
          <w:color w:val="auto"/>
        </w:rPr>
        <w:t>) years of the Term, commencing January 1</w:t>
      </w:r>
      <w:r>
        <w:rPr>
          <w:rFonts w:ascii="Arial" w:cs="Arial" w:eastAsia="Arial" w:hAnsi="Arial"/>
          <w:sz w:val="25"/>
          <w:szCs w:val="25"/>
          <w:color w:val="auto"/>
          <w:vertAlign w:val="superscript"/>
        </w:rPr>
        <w:t>st</w:t>
      </w:r>
      <w:r>
        <w:rPr>
          <w:rFonts w:ascii="Arial" w:cs="Arial" w:eastAsia="Arial" w:hAnsi="Arial"/>
          <w:sz w:val="19"/>
          <w:szCs w:val="19"/>
          <w:color w:val="auto"/>
        </w:rPr>
        <w:t>, 2023 and terminating</w:t>
      </w:r>
    </w:p>
    <w:p>
      <w:pPr>
        <w:jc w:val="both"/>
        <w:ind w:left="1140"/>
        <w:spacing w:after="0" w:line="221" w:lineRule="auto"/>
        <w:rPr>
          <w:sz w:val="20"/>
          <w:szCs w:val="20"/>
          <w:color w:val="auto"/>
        </w:rPr>
      </w:pPr>
      <w:r>
        <w:rPr>
          <w:rFonts w:ascii="Arial" w:cs="Arial" w:eastAsia="Arial" w:hAnsi="Arial"/>
          <w:sz w:val="20"/>
          <w:szCs w:val="20"/>
          <w:color w:val="auto"/>
        </w:rPr>
        <w:t>on December 31</w:t>
      </w:r>
      <w:r>
        <w:rPr>
          <w:rFonts w:ascii="Arial" w:cs="Arial" w:eastAsia="Arial" w:hAnsi="Arial"/>
          <w:sz w:val="26"/>
          <w:szCs w:val="26"/>
          <w:color w:val="auto"/>
          <w:vertAlign w:val="superscript"/>
        </w:rPr>
        <w:t>st</w:t>
      </w:r>
      <w:r>
        <w:rPr>
          <w:rFonts w:ascii="Arial" w:cs="Arial" w:eastAsia="Arial" w:hAnsi="Arial"/>
          <w:sz w:val="20"/>
          <w:szCs w:val="20"/>
          <w:color w:val="auto"/>
        </w:rPr>
        <w:t>, 2024, a Base Rent at the rate of twenty-five Dollars ($25,00) per square foot for rooms #2232, 2232A, 2233, 2243AL, 2243L &amp; 2251 per annum, being a sum of one thousand nine hundred and sixty-four Dollars and fifty-eight Cents ($1 964,58) per month, plus applicable taxes in accordance with Section 3.7 herein, payable in advance, without deduction or abatement, by way of equal and consecutive monthly instalments on the first day of each month;</w:t>
      </w:r>
    </w:p>
    <w:p>
      <w:pPr>
        <w:spacing w:after="0" w:line="201" w:lineRule="exact"/>
        <w:rPr>
          <w:sz w:val="20"/>
          <w:szCs w:val="20"/>
          <w:color w:val="auto"/>
        </w:rPr>
      </w:pPr>
    </w:p>
    <w:p>
      <w:pPr>
        <w:jc w:val="both"/>
        <w:ind w:left="1140" w:hanging="748"/>
        <w:spacing w:after="0" w:line="221" w:lineRule="auto"/>
        <w:tabs>
          <w:tab w:leader="none" w:pos="1120" w:val="left"/>
        </w:tabs>
        <w:rPr>
          <w:sz w:val="20"/>
          <w:szCs w:val="20"/>
          <w:color w:val="auto"/>
        </w:rPr>
      </w:pPr>
      <w:r>
        <w:rPr>
          <w:rFonts w:ascii="Arial" w:cs="Arial" w:eastAsia="Arial" w:hAnsi="Arial"/>
          <w:sz w:val="20"/>
          <w:szCs w:val="20"/>
          <w:color w:val="auto"/>
        </w:rPr>
        <w:t>3.1.8</w:t>
        <w:tab/>
        <w:t>For the Third (3</w:t>
      </w:r>
      <w:r>
        <w:rPr>
          <w:rFonts w:ascii="Arial" w:cs="Arial" w:eastAsia="Arial" w:hAnsi="Arial"/>
          <w:sz w:val="26"/>
          <w:szCs w:val="26"/>
          <w:color w:val="auto"/>
          <w:vertAlign w:val="superscript"/>
        </w:rPr>
        <w:t>rd</w:t>
      </w:r>
      <w:r>
        <w:rPr>
          <w:rFonts w:ascii="Arial" w:cs="Arial" w:eastAsia="Arial" w:hAnsi="Arial"/>
          <w:sz w:val="20"/>
          <w:szCs w:val="20"/>
          <w:color w:val="auto"/>
        </w:rPr>
        <w:t>) year of the Term, commencing January 1</w:t>
      </w:r>
      <w:r>
        <w:rPr>
          <w:rFonts w:ascii="Arial" w:cs="Arial" w:eastAsia="Arial" w:hAnsi="Arial"/>
          <w:sz w:val="26"/>
          <w:szCs w:val="26"/>
          <w:color w:val="auto"/>
          <w:vertAlign w:val="superscript"/>
        </w:rPr>
        <w:t>st</w:t>
      </w:r>
      <w:r>
        <w:rPr>
          <w:rFonts w:ascii="Arial" w:cs="Arial" w:eastAsia="Arial" w:hAnsi="Arial"/>
          <w:sz w:val="20"/>
          <w:szCs w:val="20"/>
          <w:color w:val="auto"/>
        </w:rPr>
        <w:t>, 2025 and terminating on August 31</w:t>
      </w:r>
      <w:r>
        <w:rPr>
          <w:rFonts w:ascii="Arial" w:cs="Arial" w:eastAsia="Arial" w:hAnsi="Arial"/>
          <w:sz w:val="26"/>
          <w:szCs w:val="26"/>
          <w:color w:val="auto"/>
          <w:vertAlign w:val="superscript"/>
        </w:rPr>
        <w:t>st</w:t>
      </w:r>
      <w:r>
        <w:rPr>
          <w:rFonts w:ascii="Arial" w:cs="Arial" w:eastAsia="Arial" w:hAnsi="Arial"/>
          <w:sz w:val="20"/>
          <w:szCs w:val="20"/>
          <w:color w:val="auto"/>
        </w:rPr>
        <w:t>, 2025, a Base Rent at the rate of twenty-five Dollars and seventy-five Cents ($25,75) per square foot for rooms #2232, 2232A, 2233, 2243AL, 2243L &amp; 2251 per annum, being a sum of two thousand and thirty-two Dollars and fifty-two Cents ($2 032,52) per month, plus applicable taxes in accordance with Section 3.7 herein, payable in advance, without deduction or abatement, by way of equal and consecutive monthly instalments on the first day of each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116205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6"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0"/>
          <w:szCs w:val="20"/>
          <w:color w:val="auto"/>
        </w:rPr>
        <w:t>- 7 -</w:t>
      </w:r>
    </w:p>
    <w:p>
      <w:pPr>
        <w:spacing w:after="0" w:line="20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3.2During the Term, the Lessee will pay to the Lessor the Rent, in advance, in equal monthly instalments, on the first day of every month during the Term. As such, the Lessee hereby authorizes the Lessor to withdraw, from the account described in Schedule A, every first (1st) day of each month during the Term the monthly instalment of the Rent. The first payment of the Rent will be made on the first day of the Term. If the Term begins on any day other than the first, or ends on any day other than the last, of a calendar month, Rent for the fractions of a month at the beginning and at the end of the Term will be adjusted pro rata, on the basis of the actual number of days in those calendar months.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3.3Subject to Section 3.12 herein, in addition to the Base Rent, the Lessee binds and obliges itself to pay to the Lessor, in lawful</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money of Canada, in each year, </w:t>
      </w:r>
      <w:r>
        <w:rPr>
          <w:rFonts w:ascii="Arial" w:cs="Arial" w:eastAsia="Arial" w:hAnsi="Arial"/>
          <w:sz w:val="20"/>
          <w:szCs w:val="20"/>
          <w:color w:val="0F0F0F"/>
        </w:rPr>
        <w:t>without deduction, reduction, abatement or set-off whatsoever, and without necessity of any</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0F0F0F"/>
        </w:rPr>
        <w:t xml:space="preserve">demand therefor, </w:t>
      </w:r>
      <w:r>
        <w:rPr>
          <w:rFonts w:ascii="Arial" w:cs="Arial" w:eastAsia="Arial" w:hAnsi="Arial"/>
          <w:sz w:val="19"/>
          <w:szCs w:val="19"/>
          <w:color w:val="000000"/>
        </w:rPr>
        <w:t>an Additional Rent being the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-25400</wp:posOffset>
            </wp:positionV>
            <wp:extent cx="361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178"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3.3.1</w:t>
        <w:tab/>
        <w:t>Lessee’s Proportionate Share of Property Taxes payable in accordance with the provisions of Section</w:t>
      </w:r>
    </w:p>
    <w:p>
      <w:pPr>
        <w:ind w:left="2260"/>
        <w:spacing w:after="0"/>
        <w:rPr>
          <w:sz w:val="20"/>
          <w:szCs w:val="20"/>
          <w:color w:val="auto"/>
        </w:rPr>
      </w:pPr>
      <w:r>
        <w:rPr>
          <w:rFonts w:ascii="Arial" w:cs="Arial" w:eastAsia="Arial" w:hAnsi="Arial"/>
          <w:sz w:val="20"/>
          <w:szCs w:val="20"/>
          <w:color w:val="auto"/>
        </w:rPr>
        <w:t>3.4 below; and</w:t>
      </w:r>
    </w:p>
    <w:p>
      <w:pPr>
        <w:spacing w:after="0" w:line="202" w:lineRule="exact"/>
        <w:rPr>
          <w:sz w:val="20"/>
          <w:szCs w:val="20"/>
          <w:color w:val="auto"/>
        </w:rPr>
      </w:pPr>
    </w:p>
    <w:p>
      <w:pPr>
        <w:ind w:left="2260" w:hanging="748"/>
        <w:spacing w:after="0" w:line="236" w:lineRule="auto"/>
        <w:tabs>
          <w:tab w:leader="none" w:pos="2240" w:val="left"/>
        </w:tabs>
        <w:rPr>
          <w:sz w:val="20"/>
          <w:szCs w:val="20"/>
          <w:color w:val="auto"/>
        </w:rPr>
      </w:pPr>
      <w:r>
        <w:rPr>
          <w:rFonts w:ascii="Arial" w:cs="Arial" w:eastAsia="Arial" w:hAnsi="Arial"/>
          <w:sz w:val="20"/>
          <w:szCs w:val="20"/>
          <w:color w:val="auto"/>
        </w:rPr>
        <w:t>3.3.2</w:t>
        <w:tab/>
        <w:t>Lessee’s Proportionate Share of the Operating Expenses for such year in accordance with Section 3.5 below.</w:t>
      </w:r>
    </w:p>
    <w:p>
      <w:pPr>
        <w:spacing w:after="0" w:line="201"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The Additional Rent for the First (1</w:t>
      </w:r>
      <w:r>
        <w:rPr>
          <w:rFonts w:ascii="Arial" w:cs="Arial" w:eastAsia="Arial" w:hAnsi="Arial"/>
          <w:sz w:val="26"/>
          <w:szCs w:val="26"/>
          <w:color w:val="auto"/>
          <w:vertAlign w:val="superscript"/>
        </w:rPr>
        <w:t>st</w:t>
      </w:r>
      <w:r>
        <w:rPr>
          <w:rFonts w:ascii="Arial" w:cs="Arial" w:eastAsia="Arial" w:hAnsi="Arial"/>
          <w:sz w:val="20"/>
          <w:szCs w:val="20"/>
          <w:color w:val="auto"/>
        </w:rPr>
        <w:t>), Second (2</w:t>
      </w:r>
      <w:r>
        <w:rPr>
          <w:rFonts w:ascii="Arial" w:cs="Arial" w:eastAsia="Arial" w:hAnsi="Arial"/>
          <w:sz w:val="26"/>
          <w:szCs w:val="26"/>
          <w:color w:val="auto"/>
          <w:vertAlign w:val="superscript"/>
        </w:rPr>
        <w:t>nd</w:t>
      </w:r>
      <w:r>
        <w:rPr>
          <w:rFonts w:ascii="Arial" w:cs="Arial" w:eastAsia="Arial" w:hAnsi="Arial"/>
          <w:sz w:val="20"/>
          <w:szCs w:val="20"/>
          <w:color w:val="auto"/>
        </w:rPr>
        <w:t>) &amp; Third (3</w:t>
      </w:r>
      <w:r>
        <w:rPr>
          <w:rFonts w:ascii="Arial" w:cs="Arial" w:eastAsia="Arial" w:hAnsi="Arial"/>
          <w:sz w:val="26"/>
          <w:szCs w:val="26"/>
          <w:color w:val="auto"/>
          <w:vertAlign w:val="superscript"/>
        </w:rPr>
        <w:t>rd</w:t>
      </w:r>
      <w:r>
        <w:rPr>
          <w:rFonts w:ascii="Arial" w:cs="Arial" w:eastAsia="Arial" w:hAnsi="Arial"/>
          <w:sz w:val="20"/>
          <w:szCs w:val="20"/>
          <w:color w:val="auto"/>
        </w:rPr>
        <w:t>) years of the Term is currently estimated at twenty-nine Dollars and eleven cents ($ 29,11) per square foot for rooms ##1208, 1210 &amp; 2116, including the management fee equal to Fifteen percent (15%) of the applicable annual Base Rent.</w:t>
      </w:r>
    </w:p>
    <w:p>
      <w:pPr>
        <w:spacing w:after="0" w:line="201"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The Additional Rent for the First (1</w:t>
      </w:r>
      <w:r>
        <w:rPr>
          <w:rFonts w:ascii="Arial" w:cs="Arial" w:eastAsia="Arial" w:hAnsi="Arial"/>
          <w:sz w:val="26"/>
          <w:szCs w:val="26"/>
          <w:color w:val="auto"/>
          <w:vertAlign w:val="superscript"/>
        </w:rPr>
        <w:t>st</w:t>
      </w:r>
      <w:r>
        <w:rPr>
          <w:rFonts w:ascii="Arial" w:cs="Arial" w:eastAsia="Arial" w:hAnsi="Arial"/>
          <w:sz w:val="20"/>
          <w:szCs w:val="20"/>
          <w:color w:val="auto"/>
        </w:rPr>
        <w:t>), Second (2</w:t>
      </w:r>
      <w:r>
        <w:rPr>
          <w:rFonts w:ascii="Arial" w:cs="Arial" w:eastAsia="Arial" w:hAnsi="Arial"/>
          <w:sz w:val="26"/>
          <w:szCs w:val="26"/>
          <w:color w:val="auto"/>
          <w:vertAlign w:val="superscript"/>
        </w:rPr>
        <w:t>nd</w:t>
      </w:r>
      <w:r>
        <w:rPr>
          <w:rFonts w:ascii="Arial" w:cs="Arial" w:eastAsia="Arial" w:hAnsi="Arial"/>
          <w:sz w:val="20"/>
          <w:szCs w:val="20"/>
          <w:color w:val="auto"/>
        </w:rPr>
        <w:t>) &amp; Third (3</w:t>
      </w:r>
      <w:r>
        <w:rPr>
          <w:rFonts w:ascii="Arial" w:cs="Arial" w:eastAsia="Arial" w:hAnsi="Arial"/>
          <w:sz w:val="26"/>
          <w:szCs w:val="26"/>
          <w:color w:val="auto"/>
          <w:vertAlign w:val="superscript"/>
        </w:rPr>
        <w:t>rd</w:t>
      </w:r>
      <w:r>
        <w:rPr>
          <w:rFonts w:ascii="Arial" w:cs="Arial" w:eastAsia="Arial" w:hAnsi="Arial"/>
          <w:sz w:val="20"/>
          <w:szCs w:val="20"/>
          <w:color w:val="auto"/>
        </w:rPr>
        <w:t>) years of the Term is currently estimated at thirty-eight Dollars and nineteen Cents ($38,19) per square foot for rooms #2232, 2233, 2251, 2232A, 2243AL &amp; 2243L, including the management fee equal to Fifteen percent (15%) of the applicable annual Base Rent.</w:t>
      </w:r>
    </w:p>
    <w:p>
      <w:pPr>
        <w:spacing w:after="0" w:line="201"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The Additional Rent for the First (1</w:t>
      </w:r>
      <w:r>
        <w:rPr>
          <w:rFonts w:ascii="Arial" w:cs="Arial" w:eastAsia="Arial" w:hAnsi="Arial"/>
          <w:sz w:val="26"/>
          <w:szCs w:val="26"/>
          <w:color w:val="auto"/>
          <w:vertAlign w:val="superscript"/>
        </w:rPr>
        <w:t>st</w:t>
      </w:r>
      <w:r>
        <w:rPr>
          <w:rFonts w:ascii="Arial" w:cs="Arial" w:eastAsia="Arial" w:hAnsi="Arial"/>
          <w:sz w:val="20"/>
          <w:szCs w:val="20"/>
          <w:color w:val="auto"/>
        </w:rPr>
        <w:t>), Second (2</w:t>
      </w:r>
      <w:r>
        <w:rPr>
          <w:rFonts w:ascii="Arial" w:cs="Arial" w:eastAsia="Arial" w:hAnsi="Arial"/>
          <w:sz w:val="26"/>
          <w:szCs w:val="26"/>
          <w:color w:val="auto"/>
          <w:vertAlign w:val="superscript"/>
        </w:rPr>
        <w:t>nd</w:t>
      </w:r>
      <w:r>
        <w:rPr>
          <w:rFonts w:ascii="Arial" w:cs="Arial" w:eastAsia="Arial" w:hAnsi="Arial"/>
          <w:sz w:val="20"/>
          <w:szCs w:val="20"/>
          <w:color w:val="auto"/>
        </w:rPr>
        <w:t>) &amp; Third (3</w:t>
      </w:r>
      <w:r>
        <w:rPr>
          <w:rFonts w:ascii="Arial" w:cs="Arial" w:eastAsia="Arial" w:hAnsi="Arial"/>
          <w:sz w:val="26"/>
          <w:szCs w:val="26"/>
          <w:color w:val="auto"/>
          <w:vertAlign w:val="superscript"/>
        </w:rPr>
        <w:t>rd</w:t>
      </w:r>
      <w:r>
        <w:rPr>
          <w:rFonts w:ascii="Arial" w:cs="Arial" w:eastAsia="Arial" w:hAnsi="Arial"/>
          <w:sz w:val="20"/>
          <w:szCs w:val="20"/>
          <w:color w:val="auto"/>
        </w:rPr>
        <w:t>) years of the Term is currently estimated at fifty-six Dollars and fifty-nine cents ($ 56.59) per square foot for rooms #2217, 2272, 2208A &amp; 2208B, including the management fee equal to Fifteen percent (15%) of the applicable annual Base Rent.</w:t>
      </w:r>
    </w:p>
    <w:p>
      <w:pPr>
        <w:spacing w:after="0" w:line="201"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The Additional Rent for the First (1</w:t>
      </w:r>
      <w:r>
        <w:rPr>
          <w:rFonts w:ascii="Arial" w:cs="Arial" w:eastAsia="Arial" w:hAnsi="Arial"/>
          <w:sz w:val="26"/>
          <w:szCs w:val="26"/>
          <w:color w:val="auto"/>
          <w:vertAlign w:val="superscript"/>
        </w:rPr>
        <w:t>st</w:t>
      </w:r>
      <w:r>
        <w:rPr>
          <w:rFonts w:ascii="Arial" w:cs="Arial" w:eastAsia="Arial" w:hAnsi="Arial"/>
          <w:sz w:val="20"/>
          <w:szCs w:val="20"/>
          <w:color w:val="auto"/>
        </w:rPr>
        <w:t>) year of the Term is currently estimated at fifty Dollars ($ 50,00) per square foot for rooms #2215, 2216, 2218, 2219, 2220A &amp; 2220B, including the management fee equal to Fifteen percent (15%) of the applicable annual Base Rent.</w:t>
      </w:r>
    </w:p>
    <w:p>
      <w:pPr>
        <w:spacing w:after="0" w:line="201"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The Additional Rent for the Second (2</w:t>
      </w:r>
      <w:r>
        <w:rPr>
          <w:rFonts w:ascii="Arial" w:cs="Arial" w:eastAsia="Arial" w:hAnsi="Arial"/>
          <w:sz w:val="26"/>
          <w:szCs w:val="26"/>
          <w:color w:val="auto"/>
          <w:vertAlign w:val="superscript"/>
        </w:rPr>
        <w:t>nd</w:t>
      </w:r>
      <w:r>
        <w:rPr>
          <w:rFonts w:ascii="Arial" w:cs="Arial" w:eastAsia="Arial" w:hAnsi="Arial"/>
          <w:sz w:val="20"/>
          <w:szCs w:val="20"/>
          <w:color w:val="auto"/>
        </w:rPr>
        <w:t>) year of the Term is currently estimated at fifty-four Dollars ($54,00) per square foot for rooms #2215, 2216, 2218, 2219, 2220A &amp; 2220B, including the management fee equal to Fifteen percent (15%) of the applicable annual Base Rent.</w:t>
      </w:r>
    </w:p>
    <w:p>
      <w:pPr>
        <w:spacing w:after="0" w:line="201"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The Additional Rent for the Third (3</w:t>
      </w:r>
      <w:r>
        <w:rPr>
          <w:rFonts w:ascii="Arial" w:cs="Arial" w:eastAsia="Arial" w:hAnsi="Arial"/>
          <w:sz w:val="26"/>
          <w:szCs w:val="26"/>
          <w:color w:val="auto"/>
          <w:vertAlign w:val="superscript"/>
        </w:rPr>
        <w:t>rd</w:t>
      </w:r>
      <w:r>
        <w:rPr>
          <w:rFonts w:ascii="Arial" w:cs="Arial" w:eastAsia="Arial" w:hAnsi="Arial"/>
          <w:sz w:val="20"/>
          <w:szCs w:val="20"/>
          <w:color w:val="auto"/>
        </w:rPr>
        <w:t>) year of the Term is currently estimated at fifty-six Dollars and fifty-nine cents ($56.59) per square foot for rooms #2215, 2216, 2218, 2219, 2220A &amp; 2220B, including the management fee equal to Fifteen percent (15%) of the applicable annual Base Rent.</w:t>
      </w:r>
    </w:p>
    <w:p>
      <w:pPr>
        <w:spacing w:after="0" w:line="196"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The foregoing estimate is provided to the Lessee for indicative purposes only and shall in no way limit, affect or otherwise circumscribe the provisions of this Lease concerning the calculation and payment of Additional Rent, and for greater certainty, it is understood that while the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0"/>
          <w:szCs w:val="20"/>
          <w:color w:val="auto"/>
        </w:rPr>
        <w:t>- 8 -</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 xml:space="preserve">management fee, which is based on applicable annual Base Rent, is determinable in advance, the other elements of Additional Rent are only known as on an </w:t>
      </w:r>
      <w:r>
        <w:rPr>
          <w:rFonts w:ascii="Arial" w:cs="Arial" w:eastAsia="Arial" w:hAnsi="Arial"/>
          <w:sz w:val="20"/>
          <w:szCs w:val="20"/>
          <w:i w:val="1"/>
          <w:iCs w:val="1"/>
          <w:color w:val="auto"/>
        </w:rPr>
        <w:t>ex post facto</w:t>
      </w:r>
      <w:r>
        <w:rPr>
          <w:rFonts w:ascii="Arial" w:cs="Arial" w:eastAsia="Arial" w:hAnsi="Arial"/>
          <w:sz w:val="20"/>
          <w:szCs w:val="20"/>
          <w:color w:val="auto"/>
        </w:rPr>
        <w:t xml:space="preserve"> basis.</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3.4</w:t>
      </w:r>
      <w:r>
        <w:rPr>
          <w:rFonts w:ascii="Arial" w:cs="Arial" w:eastAsia="Arial" w:hAnsi="Arial"/>
          <w:sz w:val="20"/>
          <w:szCs w:val="20"/>
          <w:color w:val="0F0F0F"/>
        </w:rPr>
        <w:t>Throughout the Term, Lessee shall pay, as Additional Rent, Lessee's Proportionate Share of the Property Taxes as herein</w:t>
      </w:r>
      <w:r>
        <w:rPr>
          <w:rFonts w:ascii="Arial" w:cs="Arial" w:eastAsia="Arial" w:hAnsi="Arial"/>
          <w:sz w:val="20"/>
          <w:szCs w:val="20"/>
          <w:color w:val="auto"/>
        </w:rPr>
        <w:t xml:space="preserve"> </w:t>
      </w:r>
      <w:r>
        <w:rPr>
          <w:rFonts w:ascii="Arial" w:cs="Arial" w:eastAsia="Arial" w:hAnsi="Arial"/>
          <w:sz w:val="20"/>
          <w:szCs w:val="20"/>
          <w:color w:val="0F0F0F"/>
        </w:rPr>
        <w:t>below described:</w:t>
      </w:r>
    </w:p>
    <w:p>
      <w:pPr>
        <w:spacing w:after="0" w:line="196" w:lineRule="exact"/>
        <w:rPr>
          <w:sz w:val="20"/>
          <w:szCs w:val="20"/>
          <w:color w:val="auto"/>
        </w:rPr>
      </w:pPr>
    </w:p>
    <w:p>
      <w:pPr>
        <w:jc w:val="both"/>
        <w:ind w:left="2260" w:hanging="748"/>
        <w:spacing w:after="0" w:line="227" w:lineRule="auto"/>
        <w:tabs>
          <w:tab w:leader="none" w:pos="2240" w:val="left"/>
        </w:tabs>
        <w:rPr>
          <w:sz w:val="20"/>
          <w:szCs w:val="20"/>
          <w:color w:val="auto"/>
        </w:rPr>
      </w:pPr>
      <w:r>
        <w:rPr>
          <w:rFonts w:ascii="Arial" w:cs="Arial" w:eastAsia="Arial" w:hAnsi="Arial"/>
          <w:sz w:val="20"/>
          <w:szCs w:val="20"/>
          <w:color w:val="auto"/>
        </w:rPr>
        <w:t>3.4.1</w:t>
      </w:r>
      <w:r>
        <w:rPr>
          <w:rFonts w:ascii="Arial" w:cs="Arial" w:eastAsia="Arial" w:hAnsi="Arial"/>
          <w:sz w:val="20"/>
          <w:szCs w:val="20"/>
          <w:color w:val="0F0F0F"/>
        </w:rPr>
        <w:tab/>
        <w:t>On or about the Commencement Date, Lessor shall invoice Lessee for Lessee’s Proportionate Share of the Property Taxes for the then current tax year(s) or, should actual bills not yet have been received for such taxation year(s), Lessor shall estimate the amount of the Lessee's Proportionate Share of Property Taxes for the then current taxation year(s) and shall invoice Lessee therefor in equal, consecutive, monthly instalments which Lessee shall pay to Lessor in advance on the first day of each calendar month. When actual bills for all or any portion of the Property Taxes are received, Lessor shall furnish Lessee with a statement setting forth such portion thereof that is payable by Lessee pursuant to this ARTICLE III. If such amount is greater or less than the payments on account thereof theretofore made by Lessee in respect of the applicable period pursuant to this ARTICLE III, appropriate adjustments shall be made forthwith;</w:t>
      </w:r>
    </w:p>
    <w:p>
      <w:pPr>
        <w:spacing w:after="0" w:line="206" w:lineRule="exact"/>
        <w:rPr>
          <w:sz w:val="20"/>
          <w:szCs w:val="20"/>
          <w:color w:val="auto"/>
        </w:rPr>
      </w:pPr>
    </w:p>
    <w:p>
      <w:pPr>
        <w:jc w:val="both"/>
        <w:ind w:left="2260" w:hanging="748"/>
        <w:spacing w:after="0" w:line="243" w:lineRule="auto"/>
        <w:tabs>
          <w:tab w:leader="none" w:pos="224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21"/>
          <w:szCs w:val="21"/>
          <w:color w:val="0F0F0F"/>
        </w:rPr>
        <w:t>In addition to Lessee’s obligation to pay Lessor’s invoices for Property Taxes when the actual bills are received as aforesaid, commencing with the month next following such invoicing Lessee shall make monthly instalments on account of future Property Taxes on the same basis as for the preceding tax year or on the basis of Lessor’s revised reasonable estimate, as the case may be, and so on from time to time; and</w:t>
      </w:r>
    </w:p>
    <w:p>
      <w:pPr>
        <w:spacing w:after="0" w:line="208" w:lineRule="exact"/>
        <w:rPr>
          <w:sz w:val="20"/>
          <w:szCs w:val="20"/>
          <w:color w:val="auto"/>
        </w:rPr>
      </w:pPr>
    </w:p>
    <w:p>
      <w:pPr>
        <w:jc w:val="both"/>
        <w:ind w:left="2260" w:hanging="748"/>
        <w:spacing w:after="0" w:line="245" w:lineRule="auto"/>
        <w:tabs>
          <w:tab w:leader="none" w:pos="2240" w:val="left"/>
        </w:tabs>
        <w:rPr>
          <w:sz w:val="20"/>
          <w:szCs w:val="20"/>
          <w:color w:val="auto"/>
        </w:rPr>
      </w:pPr>
      <w:r>
        <w:rPr>
          <w:rFonts w:ascii="Arial" w:cs="Arial" w:eastAsia="Arial" w:hAnsi="Arial"/>
          <w:sz w:val="20"/>
          <w:szCs w:val="20"/>
          <w:color w:val="auto"/>
        </w:rPr>
        <w:t>3.4.3</w:t>
      </w:r>
      <w:r>
        <w:rPr>
          <w:sz w:val="20"/>
          <w:szCs w:val="20"/>
          <w:color w:val="auto"/>
        </w:rPr>
        <w:tab/>
      </w:r>
      <w:r>
        <w:rPr>
          <w:rFonts w:ascii="Arial" w:cs="Arial" w:eastAsia="Arial" w:hAnsi="Arial"/>
          <w:sz w:val="21"/>
          <w:szCs w:val="21"/>
          <w:color w:val="0F0F0F"/>
        </w:rPr>
        <w:t>During the first and last years of the Term (in the event same comprise less than complete tax years), the amount Lessee is required to pay on account of Lessee’s Proportionate Share of Property Taxes shall be subject to a per diem adjustment.</w:t>
      </w:r>
    </w:p>
    <w:p>
      <w:pPr>
        <w:spacing w:after="0" w:line="20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3.5Throughout the Term, Lessee shall pay, as Additional Rent, Lessee's Proportionate Share of the Operating Expenses. Prior to the commencement of each Year, or as soon thereafter as reasonably possible, the Lessor shall furnish to the Lessee an estimate of the Lessee’s Proportionate Share of Operating Expenses. The Lessee shall pay to the Lessor on the first day of each month in advance during each Year, as Additional Rent, an amount equal to ONE-TWELFTH (1/12) of such estimated Operating Expenses applicable to such Year. Should the first year of the Term not commence on January 1</w:t>
      </w:r>
      <w:r>
        <w:rPr>
          <w:rFonts w:ascii="Arial" w:cs="Arial" w:eastAsia="Arial" w:hAnsi="Arial"/>
          <w:sz w:val="13"/>
          <w:szCs w:val="13"/>
          <w:color w:val="auto"/>
        </w:rPr>
        <w:t>st</w:t>
      </w:r>
      <w:r>
        <w:rPr>
          <w:rFonts w:ascii="Arial" w:cs="Arial" w:eastAsia="Arial" w:hAnsi="Arial"/>
          <w:sz w:val="20"/>
          <w:szCs w:val="20"/>
          <w:color w:val="auto"/>
        </w:rPr>
        <w:t>, or should the last year of the Term not terminate on December 31</w:t>
      </w:r>
      <w:r>
        <w:rPr>
          <w:rFonts w:ascii="Arial" w:cs="Arial" w:eastAsia="Arial" w:hAnsi="Arial"/>
          <w:sz w:val="13"/>
          <w:szCs w:val="13"/>
          <w:color w:val="auto"/>
        </w:rPr>
        <w:t>st</w:t>
      </w:r>
      <w:r>
        <w:rPr>
          <w:rFonts w:ascii="Arial" w:cs="Arial" w:eastAsia="Arial" w:hAnsi="Arial"/>
          <w:sz w:val="20"/>
          <w:szCs w:val="20"/>
          <w:color w:val="auto"/>
        </w:rPr>
        <w:t>, then prior to the commencement of the Term, or of the last year of the Term, as the case may be, or as soon thereafter as is reasonably possible, the Lessor shall furnish the Lessee an estimate of the Lessee’s Proportionate Share of Operating Expenses for the part of the Year in question and the Lessee shall pay to the Lessor on the first day of each month in advance during the part of the Year in question, an amount equal to such estimates divided by the number of months during the partial Year in question.</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3.6</w:t>
      </w:r>
      <w:r>
        <w:rPr>
          <w:rFonts w:ascii="Arial" w:cs="Arial" w:eastAsia="Arial" w:hAnsi="Arial"/>
          <w:sz w:val="19"/>
          <w:szCs w:val="19"/>
          <w:color w:val="0F0F0F"/>
        </w:rPr>
        <w:t>As soon as is practicable, after</w:t>
      </w:r>
      <w:r>
        <w:rPr>
          <w:rFonts w:ascii="Arial" w:cs="Arial" w:eastAsia="Arial" w:hAnsi="Arial"/>
          <w:sz w:val="19"/>
          <w:szCs w:val="19"/>
          <w:color w:val="auto"/>
        </w:rPr>
        <w:t xml:space="preserve"> the end of each Year, or after the Expiration of the Term in the case the final Year, the Lessor shall furnish the Lessee with a statement </w:t>
      </w:r>
      <w:r>
        <w:rPr>
          <w:rFonts w:ascii="Arial" w:cs="Arial" w:eastAsia="Arial" w:hAnsi="Arial"/>
          <w:sz w:val="19"/>
          <w:szCs w:val="19"/>
          <w:color w:val="0F0F0F"/>
        </w:rPr>
        <w:t>indicating the Lessee's Proportionate Share of the actual charges for Operating</w:t>
      </w:r>
      <w:r>
        <w:rPr>
          <w:rFonts w:ascii="Arial" w:cs="Arial" w:eastAsia="Arial" w:hAnsi="Arial"/>
          <w:sz w:val="19"/>
          <w:szCs w:val="19"/>
          <w:color w:val="auto"/>
        </w:rPr>
        <w:t xml:space="preserve"> </w:t>
      </w:r>
      <w:r>
        <w:rPr>
          <w:rFonts w:ascii="Arial" w:cs="Arial" w:eastAsia="Arial" w:hAnsi="Arial"/>
          <w:sz w:val="19"/>
          <w:szCs w:val="19"/>
          <w:color w:val="0F0F0F"/>
        </w:rPr>
        <w:t xml:space="preserve">Expenses incurred for such Year </w:t>
      </w:r>
      <w:r>
        <w:rPr>
          <w:rFonts w:ascii="Arial" w:cs="Arial" w:eastAsia="Arial" w:hAnsi="Arial"/>
          <w:sz w:val="19"/>
          <w:szCs w:val="19"/>
          <w:color w:val="000000"/>
        </w:rPr>
        <w:t>(or part of Year, as the case may be), accompanied by a statement of the Lessor’s chartered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color w:val="auto"/>
        </w:rPr>
        <w:t>- 9 -</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accountant confirming such amounts, for such Year (or part of Year, as the case may be). The Lessee shall pay to the Lessor forthwith an amount equal to the excess of such actual charges incurred over the amount theretofore paid by the Lessee for such Year (or part of Year, as the case may be) as Additional Rent on account of Operating Expenses. However, should the total amount paid by the Lessee to the Lessor for such Year (or part of Year, as the case may be) as Additional Rent on account of Operating Expenses exceed the Lessee’s Proportionate Share of actual charges incurred for Operating Expenses for such applicable period, the Lessee shall receive a credit, or a reimbursement in the case of the final year, for the excess. The appropriate adjustments shall be made between the parties hereto within thirty (30) days following the date on which the Lessor shall have furnished the Lessee with such statement.</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3.7Any refunds, credits or subsidies of Property Taxes for vacant premises or resulting from reductions of such taxes attributable to there being or having been vacant premises in the Property shall not be deducted from or otherwise reduce Property Taxes and the amounts of any credits (applicable against Property Taxes or other indebtedness) or reductions of such taxes for vacant premises attributable to there being or having been vacant premises on the Property shall be included in Property Taxes, as if such refunds, credits, subsidies or reductions had not been granted, it being the intention of the parties that such refunds, credits, reductions and subsidies shall be for the sole benefit of the Lessor.</w:t>
      </w:r>
    </w:p>
    <w:p>
      <w:pPr>
        <w:spacing w:after="0" w:line="19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3.8The Lessee undertakes to pay to the Lessor concurrently with the payment in respect of which such taxes are assessed, all goods and services tax (G.S.T.) and Quebec sales taxes (Q.S.T.), and all other goods and services and value added taxes in respect of the Rent, and all other sums payable by the Lessee pursuant to the Lease. </w:t>
      </w:r>
      <w:r>
        <w:rPr>
          <w:rFonts w:ascii="Arial" w:cs="Arial" w:eastAsia="Arial" w:hAnsi="Arial"/>
          <w:sz w:val="20"/>
          <w:szCs w:val="20"/>
          <w:color w:val="0F0F0F"/>
        </w:rPr>
        <w:t>Such amounts shall not be considered as</w:t>
      </w:r>
      <w:r>
        <w:rPr>
          <w:rFonts w:ascii="Arial" w:cs="Arial" w:eastAsia="Arial" w:hAnsi="Arial"/>
          <w:sz w:val="20"/>
          <w:szCs w:val="20"/>
          <w:color w:val="auto"/>
        </w:rPr>
        <w:t xml:space="preserve"> </w:t>
      </w:r>
      <w:r>
        <w:rPr>
          <w:rFonts w:ascii="Arial" w:cs="Arial" w:eastAsia="Arial" w:hAnsi="Arial"/>
          <w:sz w:val="20"/>
          <w:szCs w:val="20"/>
          <w:color w:val="0F0F0F"/>
        </w:rPr>
        <w:t>forming consideration for the rental of space or the provision by the Lessor of any service under this Lease, but shall be deemed for all other purposes to be Rent and the Lessor shall have all of the same remedies for and rights of recovery of such amounts as it has for the recovery of Rent under this Lease.</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3.9The Lessee agrees that it shall have no right to claim any set off, compensation or deduction in respect of any Rent, or any other sums payable by the Lessee to the Lessor pursuant to the Lease, for any reason whatsoever.</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3.10It is the intention of the parties that the lease of the Leased Premises to the Lessee pursuant to this Lease and the Rent payable by the Lessee hereunder shall be free and clear of all taxes, costs and charges arising from or relating to the Leased Premises and the Lessee shall pay all costs, charges and expenses of every kind and nature regarding the Lessee’s operations in the Leased Premises or any part of the Property. For greater certainty, but without limiting the generality of the foregoing, the Lessee shall be responsible for the payment, to the complete exoneration of the Lessor, of all business taxes, if any, relating to the business carried on by the Lessee in the Leased Premises or any other similar replacement taxes and/or rates which may be levied or imposed upon the business carried on in the Leased Premises or which may be payable by the Lessee as occupant thereof, whether so levied or imposed on the Lessee or the Lessor, as well as water taxes or any other tax assessed directly to, and paid for by, tenants of the Building and not the Lessor. If the mode of collecting such taxes be so altered as to make the Lessor liable therefor instead of the Lessee, the Lessee undertakes to reimburse the Lessor the amounts to be paid by the Lessor as Additional Rent on demand.</w:t>
      </w:r>
    </w:p>
    <w:p>
      <w:pPr>
        <w:spacing w:after="0" w:line="19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3.11The Lessee agrees that should its bank refuse to honour and pay any cheque which the Lessee may have given to the Lessor in respect of any Rent, or any other sums payable by the Lessee to the Lessor pursuant to the Lease, or for any reason whatsoever, then the Lessor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0"/>
          <w:szCs w:val="20"/>
          <w:color w:val="auto"/>
        </w:rPr>
        <w:t>- 10 -</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have the right to charge the Lessee for a service charge to cover the cost and inconvenience suffered by the Lessor, which the parties hereto fix at Fifty Dollars ($50.00) for the first cheque which has not been honoured and paid, One Hundred Dollars ($100.00) for the second cheque which has not been honoured and paid, and One Hundred and Fifty Dollars ($150.00) for each cheque thereafter which has not been honoured and paid.</w:t>
      </w:r>
    </w:p>
    <w:p>
      <w:pPr>
        <w:spacing w:after="0" w:line="19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3.12The Lessee’s obligation to pay Rent shall survive the expiration or earlier termination of this Lease. Any Rent or other sum received or accepted by the Lessor and paid by anyone other than the Lessee on behalf of the Lessee shall not release or in any way affect the covenants of the Lessee set out in this Lease and shall not be deemed to constitute or evidence the Lessor’s consent to a sublease or assignment under ARTICLE VIII herein. Any Rent or other sum received by the Lessor from or for the account of the Lessee while the Lessee is in default under this Lease may be applied at the Lessor’s option to the satisfaction in whole or in part of any of the obligations of the Lessee then due under this Lease in such manner as the Lessor sees fit regardless of any designation or instruction of the Lessee to the contrary.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IV</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ACCEPTANCE OF LEASED PREMISES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4.1The Lessee accepts the Leased Premises “as is” and “where is”, save only for the Lessor’s work, as set out in Schedule “D” attached hereto (“</w:t>
      </w:r>
      <w:r>
        <w:rPr>
          <w:rFonts w:ascii="Arial" w:cs="Arial" w:eastAsia="Arial" w:hAnsi="Arial"/>
          <w:sz w:val="19"/>
          <w:szCs w:val="19"/>
          <w:b w:val="1"/>
          <w:bCs w:val="1"/>
          <w:color w:val="auto"/>
        </w:rPr>
        <w:t>Lessor’s Work</w:t>
      </w:r>
      <w:r>
        <w:rPr>
          <w:rFonts w:ascii="Arial" w:cs="Arial" w:eastAsia="Arial" w:hAnsi="Arial"/>
          <w:sz w:val="19"/>
          <w:szCs w:val="19"/>
          <w:color w:val="auto"/>
        </w:rPr>
        <w:t>”). The Lessor’s Work shall be completed by the Lessor, at its own cost, on or prior to the Commencement Date. The Lessor’s Work shall be deemed to be complete on the date that all Lessor’s Work has been performed, other than any details of construction, mechanical adjustment or any other similar matter, the non-completion of which does not materially interfere with the performance by Lessee of its work. However, and notwithstanding the foregoing, the Lessor shall not be liable for damages in the event Lessor's Work, if any, in the Leased Premises has not been completed by a particular date, it being understood that this Lease shall remain in full force and effect except that Base Rent and all other sums payable hereunder shall be calculated as and from the date that the Lessor's Work has been substantially completed or would have been substantially completed had the Lessee not delayed the Lessor in the completion of Lessor's Work. The Lessor shall use commercial reasonable efforts to complete the Lessor’s Work with all due dispatch prior to the Commencement Date. The Lessee shall allow the Lessor to execute the Lessor’s Work during the Fixturing Period (as defined below) without interference.</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4.2The Lessee acknowledges that the Lease is intended to be a net net net lease in which the Lessee is obligated to pay for and maintain the Leased Premises in the manner herein provided.</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4.3Subject to the provisions herein, the Lessee acknowledges having seen and examined the Leased Premises and declares itself to be fully content and satisfied therewith, and save and except for the completion of the Lessor’s Work, the Lessee accepts the Property in its present state and condition, "as is" and "where is" and all repairs, renovations, demisements, alterations, improvements and replacements to the Leased Premises (except for Lessor’s Repairs) as the Lessee may require from time to time during the Term, including such repairs as may be required or may be deemed advisable or necessary to enable the Lessee to obtain or maintain the permits referred to in Section ARTICLE VII below, shall be performed by the Lessor but at the sole cost and expense of the Lessee for which the Lessor will invoice the cost thereof plus an administration fee of fifteen percent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5" w:name="page186"/>
    <w:bookmarkEnd w:id="185"/>
    <w:p>
      <w:pPr>
        <w:ind w:left="5400"/>
        <w:spacing w:after="0"/>
        <w:rPr>
          <w:sz w:val="20"/>
          <w:szCs w:val="20"/>
          <w:color w:val="auto"/>
        </w:rPr>
      </w:pPr>
      <w:r>
        <w:rPr>
          <w:rFonts w:ascii="Arial" w:cs="Arial" w:eastAsia="Arial" w:hAnsi="Arial"/>
          <w:sz w:val="20"/>
          <w:szCs w:val="20"/>
          <w:color w:val="auto"/>
        </w:rPr>
        <w:t>- 11 -</w:t>
      </w:r>
    </w:p>
    <w:p>
      <w:pPr>
        <w:spacing w:after="0" w:line="178" w:lineRule="exact"/>
        <w:rPr>
          <w:sz w:val="20"/>
          <w:szCs w:val="20"/>
          <w:color w:val="auto"/>
        </w:rPr>
      </w:pPr>
    </w:p>
    <w:p>
      <w:pPr>
        <w:ind w:left="5100"/>
        <w:spacing w:after="0"/>
        <w:rPr>
          <w:sz w:val="20"/>
          <w:szCs w:val="20"/>
          <w:color w:val="auto"/>
        </w:rPr>
      </w:pPr>
      <w:r>
        <w:rPr>
          <w:rFonts w:ascii="Arial" w:cs="Arial" w:eastAsia="Arial" w:hAnsi="Arial"/>
          <w:sz w:val="20"/>
          <w:szCs w:val="20"/>
          <w:b w:val="1"/>
          <w:bCs w:val="1"/>
          <w:i w:val="1"/>
          <w:iCs w:val="1"/>
          <w:u w:val="single" w:color="auto"/>
          <w:color w:val="auto"/>
        </w:rPr>
        <w:t>ARTICLE V</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PLACE OF PAYMENT AND ELECTION OF DOMICILE</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5.1The Lessee shall pay the Rent, and all other sums which may be owing by the Lessee to the Lessor pursuant to the Lease, without notice, demand or formality whatsoever, at the office of the Lessor, at 7171, Frederick-Banting, City of Montreal, Province of Quebec, H4S 1Z9, or as directed by the Lessor. All notices to be given to either of the parties hereto pursuant to the Lease shall be in writing and shall be validly given if either delivered personally or sent by prepaid certified mail addressed, in the case of the Lessor, at the above mentioned address, together with a copy to the Attention of Matthew Carlyle, and, to the Lessee, to the Attention: Christopher Kendall at 7210, Frederick-Banting, Suite #100, City of Montreal, Province of Quebec, H4S 2A1. Any such notice, if so mailed, shall be deemed to have been given on the fifth (5</w:t>
      </w:r>
      <w:r>
        <w:rPr>
          <w:rFonts w:ascii="Arial" w:cs="Arial" w:eastAsia="Arial" w:hAnsi="Arial"/>
          <w:sz w:val="13"/>
          <w:szCs w:val="13"/>
          <w:color w:val="auto"/>
        </w:rPr>
        <w:t>th</w:t>
      </w:r>
      <w:r>
        <w:rPr>
          <w:rFonts w:ascii="Arial" w:cs="Arial" w:eastAsia="Arial" w:hAnsi="Arial"/>
          <w:sz w:val="20"/>
          <w:szCs w:val="20"/>
          <w:color w:val="auto"/>
        </w:rPr>
        <w:t>) Business Day following the date of the mailing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VI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HEATING, AIR-CONDITIONING AND UTILITIES</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6.1The Lessor shall be responsible for the heating and air-conditioning of the Leased Premises and for all gas, electricity and other utilities (excluding telephone) consumed in respect of the heating of the Leased Premises and for making necessary arrangements for the supply thereof. The Lessor shall pay directly to all utilities suppliers, including without limitation, Hydro-Quebec and Energir, or to any electric utility, natural gas supplier and supplier of any other utilities or, as the case may be, to their respective succeeding company, for all electricity, gas and other utilities consumed within the Leased Premises, the cost of which shall, for greater certainty, form part of Operating Expenses.</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6.2The Lessor shall maintain, repair and from time to time replace the equipment relating to such utilities, the cost of which shall, for greater certainty form part of Operating Expenses.</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6.3The Lessor shall heat and air-condition the Leased Premises during Normal Business Hours, excluding holidays to a reasonable degree of temperature during the appropriate seasons, but the Lessee shall hold the Lessor free and harmless from all damages, costs, losses or expenses caused directly or indirectly to the property or operations of the Lessee on the Leased Premises caused from any failure or lack of heat or air-conditioning in the Leased Premises. The Lessor must however maintain the heating and air conditioning equipment in good working order and take necessary measures to repair same when notified by the Lessee.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VII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USE</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7.1The Leased Premises shall be used and occupied by the Lessee only for </w:t>
      </w:r>
      <w:r>
        <w:rPr>
          <w:rFonts w:ascii="Arial" w:cs="Arial" w:eastAsia="Arial" w:hAnsi="Arial"/>
          <w:sz w:val="20"/>
          <w:szCs w:val="20"/>
          <w:b w:val="1"/>
          <w:bCs w:val="1"/>
          <w:color w:val="auto"/>
        </w:rPr>
        <w:t>scientific research, development activities</w:t>
      </w:r>
      <w:r>
        <w:rPr>
          <w:rFonts w:ascii="Arial" w:cs="Arial" w:eastAsia="Arial" w:hAnsi="Arial"/>
          <w:sz w:val="20"/>
          <w:szCs w:val="20"/>
          <w:color w:val="auto"/>
        </w:rPr>
        <w:t xml:space="preserve"> </w:t>
      </w:r>
      <w:r>
        <w:rPr>
          <w:rFonts w:ascii="Arial" w:cs="Arial" w:eastAsia="Arial" w:hAnsi="Arial"/>
          <w:sz w:val="20"/>
          <w:szCs w:val="20"/>
          <w:b w:val="1"/>
          <w:bCs w:val="1"/>
          <w:color w:val="auto"/>
        </w:rPr>
        <w:t>and/or office space in connection thereof including marketing and market development</w:t>
      </w:r>
      <w:r>
        <w:rPr>
          <w:rFonts w:ascii="Arial" w:cs="Arial" w:eastAsia="Arial" w:hAnsi="Arial"/>
          <w:sz w:val="20"/>
          <w:szCs w:val="20"/>
          <w:color w:val="auto"/>
        </w:rPr>
        <w:t>, the whole in compliance with and</w:t>
      </w:r>
      <w:r>
        <w:rPr>
          <w:rFonts w:ascii="Arial" w:cs="Arial" w:eastAsia="Arial" w:hAnsi="Arial"/>
          <w:sz w:val="20"/>
          <w:szCs w:val="20"/>
          <w:b w:val="1"/>
          <w:bCs w:val="1"/>
          <w:color w:val="auto"/>
        </w:rPr>
        <w:t xml:space="preserve"> </w:t>
      </w:r>
      <w:r>
        <w:rPr>
          <w:rFonts w:ascii="Arial" w:cs="Arial" w:eastAsia="Arial" w:hAnsi="Arial"/>
          <w:sz w:val="20"/>
          <w:szCs w:val="20"/>
          <w:color w:val="auto"/>
        </w:rPr>
        <w:t>in conformity to all applicable governmental rules, regulations and by-laws. The Lessee shall not use the Leased Premises, nor allow the same to be used, for any purpose other than that mentioned above, without receiving the prior written consent of the Lessor, which consent shall not be unreasonably delayed or withheld. The Lessee declares that it has obtained, and shall be solely responsible for obtaining of all necessary permits to enable it to operate in the Leased Premises, and it releases and discharges the Lessor from any and all obligations in respect thereof. Nothing herein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0"/>
          <w:szCs w:val="20"/>
          <w:color w:val="auto"/>
        </w:rPr>
        <w:t>- 12 -</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be so interpreted as to imply that this Lease is in any way conditional upon the Lessee obtaining any permits or licenses for the exploitation of such business from any municipal, provincial or other authority or that the Leased Premises may otherwise be used for or be suitable for same, the Lessor making no representation and expressly disclaiming any responsibility with respect to same, and the Lessee acknowledging that the risks related to all such matters are being borne exclusively by the Lessee and at own risk and peril. The Lessee agrees and acknowledges that neither it nor any person, firm, corporation, employee, contractor or sub-contractor, whose services are retained by the Lessee, will carry on any activity in, on or about the Leased Premises that would be contrary to or in derogation from any and all federal, provincial or municipal laws, rules, regulations or by-laws including, but not restricted to, all applicable Environmental Laws.</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7.2Notwithstanding any provision to the contrary, the Lessee shall not run any business or use, allow or tolerate the use of the Leased Premises or any part thereof for any activity that in the opinion of the Lessor would tarnish the character, quality or reputation of the Lessor or the Property, or for any fraudulent or immoral practice, or carry out in the Leased Premises any activity that would be dangerous or harmful or would do anything whatsoever that could hinder the peaceable enjoyment of the other lessees or occupants of the Property or make noise or create foul odours that could inconvenience the other lessee or occupants or neighbours, or create or tolerate any losses or damages, alteration or deterioration of the Leased Premises or the Property or overload the floors in such a way as to jeopardize the structure of the Building. The Lessee, shall not, in any manner whatsoever, hold the Lessor liable for any damages or inconveniences that the Lessee may suffer due to the fault or actions of any other lessee or occupant of the Building, and the Lessee expressly waives all claims and recourses it may or could have in respect of the Lessor pursuant to Sections 1859 and 1861 of the Civil Code of Quebec.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VIII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SUB-LEASE AND ASSIGNMENT</w:t>
      </w:r>
    </w:p>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8.1Should the Lessee desire to sub-lease the Leased Premises or any part thereof, or to assign any of its rights under this Lease, then and so often as such event shall occur, the Lessee shall give to the Lessor written notice of such desire accompanied by a copy of the offer to sub-lease, or a copy of the offer to assign, together in all cases with such financial or other information in respect of the proposed sub-lessee or assignee as the Lessor may so request. The Lessor shall, acting reasonably, within thirty (30) days of receiving all the foregoing notify the Lessee in writing either (i) that it consents to such sub-lease or assignment, or (ii) that it does not consent to such sub-lease or assignment, or (iii) that it elects to terminate the Lease as of a date being ninety (90) days following the date of the Lessor’s notification to the Lessee. In such latter event, the Lease shall be deemed to have terminated as of the expiration of such ninety (90) day period, unless, within ten (10) days next following the Lessor’s notice electing to terminate, the Lessee shall have withdrawn, by way of written notice to such effect to the Lessor, its request to sublease or assign. Where the Lessee shall have withdrawn its request as aforesaid, the Lease shall continue in force unamended. </w:t>
      </w:r>
      <w:r>
        <w:rPr>
          <w:rFonts w:ascii="Arial" w:cs="Arial" w:eastAsia="Arial" w:hAnsi="Arial"/>
          <w:sz w:val="20"/>
          <w:szCs w:val="20"/>
          <w:color w:val="0F0F0F"/>
        </w:rPr>
        <w:t>Where any request for sublease or assignment relates to a portion only of the Leased Premises,</w:t>
      </w:r>
      <w:r>
        <w:rPr>
          <w:rFonts w:ascii="Arial" w:cs="Arial" w:eastAsia="Arial" w:hAnsi="Arial"/>
          <w:sz w:val="20"/>
          <w:szCs w:val="20"/>
          <w:color w:val="auto"/>
        </w:rPr>
        <w:t xml:space="preserve"> </w:t>
      </w:r>
      <w:r>
        <w:rPr>
          <w:rFonts w:ascii="Arial" w:cs="Arial" w:eastAsia="Arial" w:hAnsi="Arial"/>
          <w:sz w:val="20"/>
          <w:szCs w:val="20"/>
          <w:color w:val="0F0F0F"/>
        </w:rPr>
        <w:t>then, in such a case, where the Lessor shall exercise his option to terminate the present Lease as aforesaid, then the Lease shall be terminated only with respect to that portion of the Leased Premises to which the proposed sublease or assignment related. It is expressly agreed and understood that the rights so conferred to the Lessor have been freely given to the Lessor by the Lessee for valid commercial reasons. Conversely, in such circumstances where the Lessor does not elect to exercise its termination rights pursuant to subparagraph (iii) of the present section, Lessor agrees that in its consent to any request of the Lessee to a sublet or assignment pursuant to the present section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0"/>
          <w:szCs w:val="20"/>
          <w:color w:val="auto"/>
        </w:rPr>
        <w:t>- 13 -</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8.2Save as stipulated in Section 8.3, if, at any time during the Term, effective control of the Lessee is acquired or exercised by any person(s) or entity(ies) not having effective control of the Lessee on the date of execution of this Lease, whether pursuant to a sale of shares or other transaction or by operation of law, same shall be deemed an assignment of lease and shall be subject to the provisions of Section 8.1.</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8.3Provided that the Lessee is Repare Therapeutics Inc. or a Permitted Transferee (as defined below) thereof, that it is operating its business in the whole Leased Premises in accordance with the terms of this Lease and that it is not in default thereunder (save for a default of minor importance within the meaning of Article 1604 of the Civil Code of Québec), the Lessee will have the right to sublease all or any portion of the Leased Premises and/or to assign the Lease to any entity which (i) is and thereafter remains for the remainder of the Term and any extension or renewal thereof, an affiliate of the Lessee, or of the Lessee's parent company (as “affiliate” and “parent company” are defined in the </w:t>
      </w:r>
      <w:r>
        <w:rPr>
          <w:rFonts w:ascii="Arial" w:cs="Arial" w:eastAsia="Arial" w:hAnsi="Arial"/>
          <w:sz w:val="20"/>
          <w:szCs w:val="20"/>
          <w:i w:val="1"/>
          <w:iCs w:val="1"/>
          <w:color w:val="auto"/>
        </w:rPr>
        <w:t>Canada Business Corporations Act</w:t>
      </w:r>
      <w:r>
        <w:rPr>
          <w:rFonts w:ascii="Arial" w:cs="Arial" w:eastAsia="Arial" w:hAnsi="Arial"/>
          <w:sz w:val="20"/>
          <w:szCs w:val="20"/>
          <w:color w:val="auto"/>
        </w:rPr>
        <w:t xml:space="preserve">) or (ii) the resulting entity following a merger, amalgamation or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reorganization of the Lessee pursuant to which such resulting entity is the successor in and to all or substantially all of the Lessee’s assets and activities in Canada or (iii) purchases all or substantially all of the Lessee’s shares or assets in Canada (each, a “</w:t>
      </w:r>
      <w:r>
        <w:rPr>
          <w:rFonts w:ascii="Arial" w:cs="Arial" w:eastAsia="Arial" w:hAnsi="Arial"/>
          <w:sz w:val="20"/>
          <w:szCs w:val="20"/>
          <w:b w:val="1"/>
          <w:bCs w:val="1"/>
          <w:color w:val="auto"/>
        </w:rPr>
        <w:t>Permitted Transferee</w:t>
      </w:r>
      <w:r>
        <w:rPr>
          <w:rFonts w:ascii="Arial" w:cs="Arial" w:eastAsia="Arial" w:hAnsi="Arial"/>
          <w:sz w:val="20"/>
          <w:szCs w:val="20"/>
          <w:color w:val="auto"/>
        </w:rPr>
        <w:t>”), without the Lessor's consent, provided the following conditions are met:</w:t>
      </w:r>
    </w:p>
    <w:p>
      <w:pPr>
        <w:spacing w:after="0" w:line="201"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 written notice is given to the Lessor within fifteen (15) days of the effective date of assignment or sublease;</w:t>
      </w:r>
    </w:p>
    <w:p>
      <w:pPr>
        <w:spacing w:after="0" w:line="202" w:lineRule="exact"/>
        <w:rPr>
          <w:rFonts w:ascii="Arial" w:cs="Arial" w:eastAsia="Arial" w:hAnsi="Arial"/>
          <w:sz w:val="20"/>
          <w:szCs w:val="20"/>
          <w:color w:val="auto"/>
        </w:rPr>
      </w:pPr>
    </w:p>
    <w:p>
      <w:pPr>
        <w:ind w:left="600" w:right="20" w:hanging="592"/>
        <w:spacing w:after="0" w:line="236" w:lineRule="auto"/>
        <w:tabs>
          <w:tab w:leader="none" w:pos="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Lessee provides the Lessor with all relevant and reasonable documentation and information the Lessor may ask and that is available, demonstrating that the proposed assignee or sublessee complies with the foregoing conditions;</w:t>
      </w:r>
    </w:p>
    <w:p>
      <w:pPr>
        <w:spacing w:after="0" w:line="195" w:lineRule="exact"/>
        <w:rPr>
          <w:rFonts w:ascii="Arial" w:cs="Arial" w:eastAsia="Arial" w:hAnsi="Arial"/>
          <w:sz w:val="20"/>
          <w:szCs w:val="20"/>
          <w:color w:val="auto"/>
        </w:rPr>
      </w:pPr>
    </w:p>
    <w:p>
      <w:pPr>
        <w:ind w:left="600" w:right="20" w:hanging="592"/>
        <w:spacing w:after="0" w:line="236" w:lineRule="auto"/>
        <w:tabs>
          <w:tab w:leader="none" w:pos="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Lessee and assignee or sublessee execute an agreement with the Lessor, satisfactory to the Lessor, setting forth the terms and conditions of the assignment or sublease;</w:t>
      </w:r>
    </w:p>
    <w:p>
      <w:pPr>
        <w:spacing w:after="0" w:line="195" w:lineRule="exact"/>
        <w:rPr>
          <w:rFonts w:ascii="Arial" w:cs="Arial" w:eastAsia="Arial" w:hAnsi="Arial"/>
          <w:sz w:val="20"/>
          <w:szCs w:val="20"/>
          <w:color w:val="auto"/>
        </w:rPr>
      </w:pPr>
    </w:p>
    <w:p>
      <w:pPr>
        <w:ind w:left="600" w:hanging="592"/>
        <w:spacing w:after="0"/>
        <w:tabs>
          <w:tab w:leader="none" w:pos="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Lessee provides the Lessor with a copy of any such sublease or assignment to the Permitted Transferee;</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Lessor will not have the right, in the circumstances of such assignment or sublet to a Permitted Transferee, to (i) recapture any portion of the Leased Premises; (ii) to delay the Lessee's subleasing efforts; (iii) sublease the Leased Premises for the Lessee; or (iv) set any other conditions that may serve to interfere with the Lessee's rights to mitigate damages, or otherwise unreasonably inhibit the Lessee's ability to sublease or assign the Lease to such Permitted Transferee.</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8.4Where the Lessor fails to respond to the Lessee’s request to an assignment or a sublet, the Lessor shall be deemed to have refused consent.</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8.5In the case of any assignment of this Lease, the assignee must unconditionally and irrevocably assume all of the Lessee’s obligations under this Lease. In the case of any sublease granted for all or a portion of the Leased Premises, the sublessee must unconditionally and irrevocably assume all of the Lessee’s obligations under this Lease as they apply to the portion of the Leased Premises to be sublet, for the term of such sublease. Notwithstanding the assignment or subletting, the Lessee shall remain solidarily responsible with the assignee or sublessee, without benefit of division or discussion, for the payment of the Rent and the performance of all the other obligations of the Lessee under this Lease. In no case shall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0"/>
          <w:szCs w:val="20"/>
          <w:color w:val="auto"/>
        </w:rPr>
        <w:t>- 14 -</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assignment of this Lease effect novation or release the assigning Lessee from its obligations hereunder, even if the assignment is consented to by the Lessor. At the Lessor’s sole option, effective whenever the Lessor gives written notice to such effect to the Lessee and to the assignee or sublessee, as the case may be, and without any further formality, all rentals, sub-rentals and other amounts payable by the assignee or sublessee to the Lessee, shall be irrevocably and unconditionally assigned to the Lessor such that all sums shall be paid directly to the Lessor by the assignee or sublessee and the amount so paid will be credited against the Lessee’s Rent under this Lease. It is understood and agreed, however, that if the Lessor does not collect any such rentals, sub-rentals or other amounts from any assignee or sublessee, the Lessee will have no claim or defense against the Lessor in any manner whatsoever.</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If this Lease is repudiated, disclaimed, disavowed, resiliated or otherwise terminated by whomsoever in connection with or as a result of the bankruptcy or insolvency of the original Lessee or any assignee or sublessee, the original Lessee and any assignee or sublessee, other than the bankrupt or insolvent person or entity, will enter into a lease upon notice from the Lessor given within sixty (60) days of the Lessor’s knowledge of such repudiation, disclaimer, disavowal, resiliation or other termination, for a term expiring on the date this Lease would have expired but for the repudiation, disclaimer, disavowal, resiliation or other termination and upon the terms and conditions which would have applied during the remainder of the Term had this Lease not been repudiated, disclaimed, disavowed, resiliated or otherwise terminated.</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8.6Any assignment of this Lease, agreed to by the Lessor, must be prepared by the Lessor or its attorneys, and all legal fees relating to this assignment must be assumed by the Lessee.</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8.7Lessee hereby waives the provisions of Articles 1871, 1872 and 1873 of the </w:t>
      </w:r>
      <w:r>
        <w:rPr>
          <w:rFonts w:ascii="Arial" w:cs="Arial" w:eastAsia="Arial" w:hAnsi="Arial"/>
          <w:sz w:val="20"/>
          <w:szCs w:val="20"/>
          <w:i w:val="1"/>
          <w:iCs w:val="1"/>
          <w:color w:val="auto"/>
        </w:rPr>
        <w:t>Civil Code of Quebec</w:t>
      </w:r>
      <w:r>
        <w:rPr>
          <w:rFonts w:ascii="Arial" w:cs="Arial" w:eastAsia="Arial" w:hAnsi="Arial"/>
          <w:sz w:val="20"/>
          <w:szCs w:val="20"/>
          <w:color w:val="auto"/>
        </w:rPr>
        <w:t xml:space="preserve"> together with the provisions of Article 1870 of the </w:t>
      </w:r>
      <w:r>
        <w:rPr>
          <w:rFonts w:ascii="Arial" w:cs="Arial" w:eastAsia="Arial" w:hAnsi="Arial"/>
          <w:sz w:val="20"/>
          <w:szCs w:val="20"/>
          <w:i w:val="1"/>
          <w:iCs w:val="1"/>
          <w:color w:val="auto"/>
        </w:rPr>
        <w:t>Civil Code of Quebec,</w:t>
      </w:r>
      <w:r>
        <w:rPr>
          <w:rFonts w:ascii="Arial" w:cs="Arial" w:eastAsia="Arial" w:hAnsi="Arial"/>
          <w:sz w:val="20"/>
          <w:szCs w:val="20"/>
          <w:color w:val="auto"/>
        </w:rPr>
        <w:t xml:space="preserve"> but in this latter case, only to the extent of any inconsistency with the provisions of the present Lease.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IX</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i w:val="1"/>
          <w:iCs w:val="1"/>
          <w:u w:val="single" w:color="auto"/>
          <w:color w:val="auto"/>
        </w:rPr>
        <w:t>MAINTENANCE, REPAIRS AND ALTERATIONS</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9.1The Lessee shall protect all water, drain and gas pipes, water closets, sinks and accessories thereof, in and about the Leased Premises from all and any damage that the same may be subject to from any cause whatsoever; the Lessee shall keep the same free from all un-cleanliness or obstruction that might prevent the good working of the same. The Lessee shall ensure that the water-closets, sinks, drains and other sanitary conveniences of the Leased Premises shall be used only for those purposes for which each of said facilities were designed, and for no other purpose.</w:t>
      </w:r>
    </w:p>
    <w:p>
      <w:pPr>
        <w:spacing w:after="0" w:line="19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9.2The Lessee shall deploy all reasonable commercial efforts to ensure that all equipment shall be kept at a sufficient distance from all walls, columns, doors, electrical panels and thermostats and shall further ensure that all exit doors and utility rooms are readily accessible at all times.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9.3The Lessee shall ensure that it shall not render any portion of the Property in contravention of any of the governmental rules, regulations and by-laws, laws, orders, decisions, ordinances and rulings. The Lessee covenants and agrees to indemnify and hold the Lessor free and harmless from any penalty imposed for, or damages arising from, the breach of any of such rules, regulations and by-laws, laws, orders, decisions, ordinances, rulings by the Lessee or those for whom the Lessee is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0"/>
          <w:szCs w:val="20"/>
          <w:color w:val="auto"/>
        </w:rPr>
        <w:t>- 15 -</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9.4The Lessor, its agents and representatives shall have the right at all reasonable times, upon twenty-four (24) hours’ written notice, during the Term to enter the Leased Premises to examine the condition thereof or for any other reasons the Lessor deems necessary, acting reasonably.</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9.5The Lessee shall not make any alterations, improvements or additions to the Leased Premises. Any alterations, improvements or additions that may be required by the Lessee shall be performed by the Lessor and its contractors and the costs thereof plus an administration fee of fifteen percent (15%) of the aggregate of such costs shall be charged to Lessee as Additional Rent and shall be paid to the Lessor within ten (10) Business Days of Lessor’s demand to that effect.</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9.6Should any Lessor’s Repairs be deemed necessary at any time during the Term by the Lessor, the Lessor shall make and complete the same with all due diligence, and the Lessee shall permit the same to be performed without demanding any reduction of the Rent, and without any claim for damages or compensation, provided that such repairs be effected and completed with due diligence and in a manner so as to minimize disruption to the Lessee’s operations.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9.7The Lessee upon becoming aware of any repairs and maintenance to the Leased Premises, which shall be necessary, shall promptly furnish the Lessor with written notification thereof.</w:t>
      </w:r>
    </w:p>
    <w:p>
      <w:pPr>
        <w:spacing w:after="0" w:line="19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9.8Should any repairs and maintenance to the Leased Premises be required by the fault or negligence of the Lessee or those for whom it is in law responsible, the Lessee shall reimburse the Lessor as Additional Rent the cost of all such Lessor’s Repairs plus an administration fee of fifteen percent (15%) of the aggregate of all such costs, within ten (10) Business Days of Lessor’s demand to that effect.</w:t>
      </w:r>
    </w:p>
    <w:p>
      <w:pPr>
        <w:spacing w:after="0" w:line="19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9.9The Lessee agrees that should any alarm (including, but not limited to, fire alarm, any sprinkler alarm or the sprinkler system) within the Leased Premises go off due to the fault or negligence of the Lessee, then the Lessee shall be responsible for, and shall indemnify and reimburse the Lessor for, all costs, expenses, fines, charges or otherwise resulting therefrom.</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9.10Upon Expiration or earlier termination of the Lease, the Lessee shall surrender vacant possession of the Leased Premises to the Lessor in good condition, reasonable wear and tear only excepted, in clean broom-swept condition, free of all effects of the Lessee.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GARBAGE REMOVAL AND EXTERMINATORS</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10.1The Lessee shall not place or leave, or permit to be placed or left, in or upon any part of the exterior of the Leased Premises or the Parking Area, any debris, garbage or refuse except as allowed by the Lessor at specific times of pick up and deposited in areas indicated by the Lessor in proper receptacles provided and placed for that purpose by the Lessee. In the case of perishable refuse or garbage, the same shall be kept in a properly refrigerated area provided by the Lessee. The Lessee shall pay for the cost of any garbage, debris and refuse removal service that may be required other than that provided by the municipality without charge should the municipality provide such a service. In the event that the Lessee fails to comply with the foregoing provisions, the Lessor, subject to Section 23.1, may rectify the situation and collect all expenses and disbursements from the Lessee as Additional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0" w:name="page191"/>
    <w:bookmarkEnd w:id="190"/>
    <w:p>
      <w:pPr>
        <w:ind w:left="5400"/>
        <w:spacing w:after="0"/>
        <w:rPr>
          <w:sz w:val="20"/>
          <w:szCs w:val="20"/>
          <w:color w:val="auto"/>
        </w:rPr>
      </w:pPr>
      <w:r>
        <w:rPr>
          <w:rFonts w:ascii="Arial" w:cs="Arial" w:eastAsia="Arial" w:hAnsi="Arial"/>
          <w:sz w:val="20"/>
          <w:szCs w:val="20"/>
          <w:color w:val="auto"/>
        </w:rPr>
        <w:t>- 16 -</w:t>
      </w:r>
    </w:p>
    <w:p>
      <w:pPr>
        <w:spacing w:after="0" w:line="178" w:lineRule="exact"/>
        <w:rPr>
          <w:sz w:val="20"/>
          <w:szCs w:val="20"/>
          <w:color w:val="auto"/>
        </w:rPr>
      </w:pPr>
    </w:p>
    <w:p>
      <w:pPr>
        <w:ind w:left="5080"/>
        <w:spacing w:after="0"/>
        <w:rPr>
          <w:sz w:val="20"/>
          <w:szCs w:val="20"/>
          <w:color w:val="auto"/>
        </w:rPr>
      </w:pPr>
      <w:r>
        <w:rPr>
          <w:rFonts w:ascii="Arial" w:cs="Arial" w:eastAsia="Arial" w:hAnsi="Arial"/>
          <w:sz w:val="20"/>
          <w:szCs w:val="20"/>
          <w:b w:val="1"/>
          <w:bCs w:val="1"/>
          <w:i w:val="1"/>
          <w:iCs w:val="1"/>
          <w:u w:val="single" w:color="auto"/>
          <w:color w:val="auto"/>
        </w:rPr>
        <w:t>ARTICLE XI</w:t>
      </w:r>
    </w:p>
    <w:p>
      <w:pPr>
        <w:spacing w:after="0" w:line="10" w:lineRule="exact"/>
        <w:rPr>
          <w:sz w:val="20"/>
          <w:szCs w:val="20"/>
          <w:color w:val="auto"/>
        </w:rPr>
      </w:pPr>
    </w:p>
    <w:p>
      <w:pPr>
        <w:ind w:left="4180"/>
        <w:spacing w:after="0"/>
        <w:rPr>
          <w:sz w:val="20"/>
          <w:szCs w:val="20"/>
          <w:color w:val="auto"/>
        </w:rPr>
      </w:pPr>
      <w:r>
        <w:rPr>
          <w:rFonts w:ascii="Arial" w:cs="Arial" w:eastAsia="Arial" w:hAnsi="Arial"/>
          <w:sz w:val="20"/>
          <w:szCs w:val="20"/>
          <w:b w:val="1"/>
          <w:bCs w:val="1"/>
          <w:i w:val="1"/>
          <w:iCs w:val="1"/>
          <w:u w:val="single" w:color="auto"/>
          <w:color w:val="auto"/>
        </w:rPr>
        <w:t>ENVIRONMENTAL CONCERNS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11.1The Lessee undertakes, with respect to the Leased Premises:</w:t>
      </w:r>
    </w:p>
    <w:p>
      <w:pPr>
        <w:spacing w:after="0" w:line="202" w:lineRule="exact"/>
        <w:rPr>
          <w:sz w:val="20"/>
          <w:szCs w:val="20"/>
          <w:color w:val="auto"/>
        </w:rPr>
      </w:pPr>
    </w:p>
    <w:p>
      <w:pPr>
        <w:jc w:val="both"/>
        <w:ind w:left="2380" w:hanging="853"/>
        <w:spacing w:after="0" w:line="237" w:lineRule="auto"/>
        <w:tabs>
          <w:tab w:leader="none" w:pos="2360" w:val="left"/>
        </w:tabs>
        <w:rPr>
          <w:sz w:val="20"/>
          <w:szCs w:val="20"/>
          <w:color w:val="auto"/>
        </w:rPr>
      </w:pPr>
      <w:r>
        <w:rPr>
          <w:rFonts w:ascii="Arial" w:cs="Arial" w:eastAsia="Arial" w:hAnsi="Arial"/>
          <w:sz w:val="20"/>
          <w:szCs w:val="20"/>
          <w:color w:val="auto"/>
        </w:rPr>
        <w:t>11.1.1</w:t>
        <w:tab/>
        <w:t>To comply with the Environmental Laws and to ensure on a regular basis the respect of such laws by its employees, agents, representatives and other persons or entities for whom it is responsible at law, and its suppliers, customers, representatives, invitees and other persons or entities who have access to the Leased Premises or any part thereof;</w:t>
      </w:r>
    </w:p>
    <w:p>
      <w:pPr>
        <w:spacing w:after="0" w:line="199" w:lineRule="exact"/>
        <w:rPr>
          <w:sz w:val="20"/>
          <w:szCs w:val="20"/>
          <w:color w:val="auto"/>
        </w:rPr>
      </w:pPr>
    </w:p>
    <w:p>
      <w:pPr>
        <w:jc w:val="both"/>
        <w:ind w:left="2380" w:hanging="853"/>
        <w:spacing w:after="0" w:line="239" w:lineRule="auto"/>
        <w:tabs>
          <w:tab w:leader="none" w:pos="236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9"/>
          <w:szCs w:val="19"/>
          <w:color w:val="auto"/>
        </w:rPr>
        <w:t>That neither it nor its employees, agents, representatives and other persons or entities for whom it is responsible at law, nor its suppliers, customers, invitees or other or other persons or entities who have access to the Leased Premises or any part thereof shall place, keep or store in, on, under or about the Leased Premises, except in compliance with Environmental Laws, any hazardous materials or any toxic, dangerous or radioactive substances, including any chemical or other products included in the definition of “hazardous materials,” “hazardous waste,” “highly hazardous waste,” “quasi-hazardous waste,” “toxic substances,” “toxic pollutants,” “contaminants,” “pollutants,” “harmful products,” or terms with similar meanings in any Environmental Law (hereinafter referred to as “</w:t>
      </w:r>
      <w:r>
        <w:rPr>
          <w:rFonts w:ascii="Arial" w:cs="Arial" w:eastAsia="Arial" w:hAnsi="Arial"/>
          <w:sz w:val="19"/>
          <w:szCs w:val="19"/>
          <w:b w:val="1"/>
          <w:bCs w:val="1"/>
          <w:color w:val="auto"/>
        </w:rPr>
        <w:t>Hazardous Materials</w:t>
      </w:r>
      <w:r>
        <w:rPr>
          <w:rFonts w:ascii="Arial" w:cs="Arial" w:eastAsia="Arial" w:hAnsi="Arial"/>
          <w:sz w:val="19"/>
          <w:szCs w:val="19"/>
          <w:color w:val="auto"/>
        </w:rPr>
        <w:t>”), that are brought onto the Leased Premises after the Commencement Date.</w:t>
      </w:r>
    </w:p>
    <w:p>
      <w:pPr>
        <w:spacing w:after="0" w:line="202" w:lineRule="exact"/>
        <w:rPr>
          <w:sz w:val="20"/>
          <w:szCs w:val="20"/>
          <w:color w:val="auto"/>
        </w:rPr>
      </w:pPr>
    </w:p>
    <w:p>
      <w:pPr>
        <w:jc w:val="both"/>
        <w:ind w:left="2380" w:hanging="853"/>
        <w:spacing w:after="0" w:line="229" w:lineRule="auto"/>
        <w:tabs>
          <w:tab w:leader="none" w:pos="2360" w:val="left"/>
        </w:tabs>
        <w:rPr>
          <w:sz w:val="20"/>
          <w:szCs w:val="20"/>
          <w:color w:val="auto"/>
        </w:rPr>
      </w:pPr>
      <w:r>
        <w:rPr>
          <w:rFonts w:ascii="Arial" w:cs="Arial" w:eastAsia="Arial" w:hAnsi="Arial"/>
          <w:sz w:val="20"/>
          <w:szCs w:val="20"/>
          <w:color w:val="auto"/>
        </w:rPr>
        <w:t>11.1.3</w:t>
        <w:tab/>
        <w:t>That it, its employees, agents, representatives and other persons or entities for whom it is responsible at law, and its suppliers, customers, invitees or other persons or entities who have access to the Leased Premises or any part thereof shall take all necessary and reasonable preventive measures in accordance with Environmental Laws to minimize the risk of leaks or spills from any Hazardous Materials used, generated, manufactured or stored in the Leased Premises by the Lessee which may in any way contaminate the Leased Premises;</w:t>
      </w:r>
    </w:p>
    <w:p>
      <w:pPr>
        <w:spacing w:after="0" w:line="195" w:lineRule="exact"/>
        <w:rPr>
          <w:sz w:val="20"/>
          <w:szCs w:val="20"/>
          <w:color w:val="auto"/>
        </w:rPr>
      </w:pPr>
    </w:p>
    <w:p>
      <w:pPr>
        <w:jc w:val="both"/>
        <w:ind w:left="2380" w:hanging="853"/>
        <w:spacing w:after="0" w:line="236" w:lineRule="auto"/>
        <w:tabs>
          <w:tab w:leader="none" w:pos="2360" w:val="left"/>
        </w:tabs>
        <w:rPr>
          <w:sz w:val="20"/>
          <w:szCs w:val="20"/>
          <w:color w:val="auto"/>
        </w:rPr>
      </w:pPr>
      <w:r>
        <w:rPr>
          <w:rFonts w:ascii="Arial" w:cs="Arial" w:eastAsia="Arial" w:hAnsi="Arial"/>
          <w:sz w:val="20"/>
          <w:szCs w:val="20"/>
          <w:color w:val="auto"/>
        </w:rPr>
        <w:t>11.1.4</w:t>
        <w:tab/>
        <w:t>That it shall submit the list of Hazardous Materials used in carrying out its activities, if any, at the Commencement Date and updates thereto to the Lessor for approval once a year;</w:t>
      </w:r>
    </w:p>
    <w:p>
      <w:pPr>
        <w:spacing w:after="0" w:line="196" w:lineRule="exact"/>
        <w:rPr>
          <w:sz w:val="20"/>
          <w:szCs w:val="20"/>
          <w:color w:val="auto"/>
        </w:rPr>
      </w:pPr>
    </w:p>
    <w:p>
      <w:pPr>
        <w:jc w:val="both"/>
        <w:ind w:left="2380" w:hanging="853"/>
        <w:spacing w:after="0" w:line="228" w:lineRule="auto"/>
        <w:tabs>
          <w:tab w:leader="none" w:pos="2360" w:val="left"/>
        </w:tabs>
        <w:rPr>
          <w:sz w:val="20"/>
          <w:szCs w:val="20"/>
          <w:color w:val="auto"/>
        </w:rPr>
      </w:pPr>
      <w:r>
        <w:rPr>
          <w:rFonts w:ascii="Arial" w:cs="Arial" w:eastAsia="Arial" w:hAnsi="Arial"/>
          <w:sz w:val="20"/>
          <w:szCs w:val="20"/>
          <w:color w:val="auto"/>
        </w:rPr>
        <w:t>11.1.5</w:t>
        <w:tab/>
        <w:t>That if it produces or introduces in or around the Leased Premises, any Hazardous Materials whatsoever or if the conduct of its business entails the production or presence of any Hazardous Materials whatsoever in and around the Leased Premises, then, and notwithstanding any provision to the contrary in this Lease or the law, such Hazardous Materials will be and remain its exclusive property or the exclusive property of its customers on behalf of whom it provides services and shall not become the property of the Lessor, notwithstanding the extent to which the Hazardous Materials or products containing Hazardous Materials are integrated into the Leased Premises and notwithstanding the expiration or early termination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1" w:name="page192"/>
    <w:bookmarkEnd w:id="191"/>
    <w:p>
      <w:pPr>
        <w:ind w:left="4280"/>
        <w:spacing w:after="0"/>
        <w:rPr>
          <w:sz w:val="20"/>
          <w:szCs w:val="20"/>
          <w:color w:val="auto"/>
        </w:rPr>
      </w:pPr>
      <w:r>
        <w:rPr>
          <w:rFonts w:ascii="Arial" w:cs="Arial" w:eastAsia="Arial" w:hAnsi="Arial"/>
          <w:sz w:val="20"/>
          <w:szCs w:val="20"/>
          <w:color w:val="auto"/>
        </w:rPr>
        <w:t>- 17 -</w:t>
      </w:r>
    </w:p>
    <w:p>
      <w:pPr>
        <w:spacing w:after="0" w:line="202" w:lineRule="exact"/>
        <w:rPr>
          <w:sz w:val="20"/>
          <w:szCs w:val="20"/>
          <w:color w:val="auto"/>
        </w:rPr>
      </w:pPr>
    </w:p>
    <w:p>
      <w:pPr>
        <w:jc w:val="both"/>
        <w:ind w:left="1260" w:hanging="853"/>
        <w:spacing w:after="0" w:line="232" w:lineRule="auto"/>
        <w:tabs>
          <w:tab w:leader="none" w:pos="1240" w:val="left"/>
        </w:tabs>
        <w:rPr>
          <w:sz w:val="20"/>
          <w:szCs w:val="20"/>
          <w:color w:val="auto"/>
        </w:rPr>
      </w:pPr>
      <w:r>
        <w:rPr>
          <w:rFonts w:ascii="Arial" w:cs="Arial" w:eastAsia="Arial" w:hAnsi="Arial"/>
          <w:sz w:val="20"/>
          <w:szCs w:val="20"/>
          <w:color w:val="auto"/>
        </w:rPr>
        <w:t>11.1.6</w:t>
        <w:tab/>
        <w:t>That upon expiration or early termination of the Lease, it shall, at its expense, remove and dispose of all Hazardous Materials and all storage and other containers, in accordance with the Environmental Laws to the extent required by the Lessor;</w:t>
      </w:r>
    </w:p>
    <w:p>
      <w:pPr>
        <w:spacing w:after="0" w:line="197" w:lineRule="exact"/>
        <w:rPr>
          <w:sz w:val="20"/>
          <w:szCs w:val="20"/>
          <w:color w:val="auto"/>
        </w:rPr>
      </w:pPr>
    </w:p>
    <w:p>
      <w:pPr>
        <w:jc w:val="both"/>
        <w:ind w:left="1260" w:hanging="853"/>
        <w:spacing w:after="0" w:line="230" w:lineRule="auto"/>
        <w:tabs>
          <w:tab w:leader="none" w:pos="1240" w:val="left"/>
        </w:tabs>
        <w:rPr>
          <w:sz w:val="20"/>
          <w:szCs w:val="20"/>
          <w:color w:val="auto"/>
        </w:rPr>
      </w:pPr>
      <w:r>
        <w:rPr>
          <w:rFonts w:ascii="Arial" w:cs="Arial" w:eastAsia="Arial" w:hAnsi="Arial"/>
          <w:sz w:val="20"/>
          <w:szCs w:val="20"/>
          <w:color w:val="auto"/>
        </w:rPr>
        <w:t>11.1.7</w:t>
        <w:tab/>
        <w:t xml:space="preserve">That neither it nor its employees, agents, representatives and other persons or entities for whom it is responsible at law, nor its suppliers, customers, invitees or other persons or entities who have access to the Leased Premises or any part thereof shall </w:t>
      </w:r>
      <w:r>
        <w:rPr>
          <w:rFonts w:ascii="Arial" w:cs="Arial" w:eastAsia="Arial" w:hAnsi="Arial"/>
          <w:sz w:val="20"/>
          <w:szCs w:val="20"/>
          <w:color w:val="0F0F0F"/>
        </w:rPr>
        <w:t>in any way contaminate the Leased Premises in</w:t>
      </w:r>
      <w:r>
        <w:rPr>
          <w:rFonts w:ascii="Arial" w:cs="Arial" w:eastAsia="Arial" w:hAnsi="Arial"/>
          <w:sz w:val="20"/>
          <w:szCs w:val="20"/>
          <w:color w:val="auto"/>
        </w:rPr>
        <w:t xml:space="preserve"> </w:t>
      </w:r>
      <w:r>
        <w:rPr>
          <w:rFonts w:ascii="Arial" w:cs="Arial" w:eastAsia="Arial" w:hAnsi="Arial"/>
          <w:sz w:val="20"/>
          <w:szCs w:val="20"/>
          <w:color w:val="0F0F0F"/>
        </w:rPr>
        <w:t>violation of Environmental Laws;</w:t>
      </w:r>
    </w:p>
    <w:p>
      <w:pPr>
        <w:spacing w:after="0" w:line="198" w:lineRule="exact"/>
        <w:rPr>
          <w:sz w:val="20"/>
          <w:szCs w:val="20"/>
          <w:color w:val="auto"/>
        </w:rPr>
      </w:pPr>
    </w:p>
    <w:p>
      <w:pPr>
        <w:jc w:val="both"/>
        <w:ind w:left="1260" w:hanging="853"/>
        <w:spacing w:after="0" w:line="230" w:lineRule="auto"/>
        <w:tabs>
          <w:tab w:leader="none" w:pos="1240" w:val="left"/>
        </w:tabs>
        <w:rPr>
          <w:sz w:val="20"/>
          <w:szCs w:val="20"/>
          <w:color w:val="auto"/>
        </w:rPr>
      </w:pPr>
      <w:r>
        <w:rPr>
          <w:rFonts w:ascii="Arial" w:cs="Arial" w:eastAsia="Arial" w:hAnsi="Arial"/>
          <w:sz w:val="20"/>
          <w:szCs w:val="20"/>
          <w:color w:val="auto"/>
        </w:rPr>
        <w:t>11.1.8</w:t>
        <w:tab/>
        <w:t>To notify the Lessor in writing of any contravention of the Environmental Laws that is in any way related to the environmental condition or quality of the Leased Premises and of any situation which, with the passage of time or otherwise, would be reasonably susceptible of leading to such a contravention, with all due dispatch in each case after the Lessee becomes aware of same;</w:t>
      </w:r>
    </w:p>
    <w:p>
      <w:pPr>
        <w:spacing w:after="0" w:line="198" w:lineRule="exact"/>
        <w:rPr>
          <w:sz w:val="20"/>
          <w:szCs w:val="20"/>
          <w:color w:val="auto"/>
        </w:rPr>
      </w:pPr>
    </w:p>
    <w:p>
      <w:pPr>
        <w:jc w:val="both"/>
        <w:ind w:left="1260" w:hanging="853"/>
        <w:spacing w:after="0" w:line="229" w:lineRule="auto"/>
        <w:tabs>
          <w:tab w:leader="none" w:pos="1240" w:val="left"/>
        </w:tabs>
        <w:rPr>
          <w:sz w:val="20"/>
          <w:szCs w:val="20"/>
          <w:color w:val="auto"/>
        </w:rPr>
      </w:pPr>
      <w:r>
        <w:rPr>
          <w:rFonts w:ascii="Arial" w:cs="Arial" w:eastAsia="Arial" w:hAnsi="Arial"/>
          <w:sz w:val="20"/>
          <w:szCs w:val="20"/>
          <w:color w:val="auto"/>
        </w:rPr>
        <w:t>11.1.9</w:t>
        <w:tab/>
        <w:t>To remedy without delay any situation for which Lessee, or its employees, agents, representatives, or other persons or entities for whom it is responsible at law, or its suppliers, customers, invitees and other persons or entities who have access to the Leased Premises or any part thereof, are responsible, and which constitutes, or, which with the passage of time or otherwise, would be reasonably susceptible of leading to, a violation of Environmental Laws;</w:t>
      </w:r>
    </w:p>
    <w:p>
      <w:pPr>
        <w:spacing w:after="0" w:line="199" w:lineRule="exact"/>
        <w:rPr>
          <w:sz w:val="20"/>
          <w:szCs w:val="20"/>
          <w:color w:val="auto"/>
        </w:rPr>
      </w:pPr>
    </w:p>
    <w:p>
      <w:pPr>
        <w:jc w:val="both"/>
        <w:ind w:left="1260" w:hanging="853"/>
        <w:spacing w:after="0" w:line="230" w:lineRule="auto"/>
        <w:tabs>
          <w:tab w:leader="none" w:pos="1240" w:val="left"/>
        </w:tabs>
        <w:rPr>
          <w:sz w:val="20"/>
          <w:szCs w:val="20"/>
          <w:color w:val="auto"/>
        </w:rPr>
      </w:pPr>
      <w:r>
        <w:rPr>
          <w:rFonts w:ascii="Arial" w:cs="Arial" w:eastAsia="Arial" w:hAnsi="Arial"/>
          <w:sz w:val="20"/>
          <w:szCs w:val="20"/>
          <w:color w:val="auto"/>
        </w:rPr>
        <w:t>11.1.10</w:t>
        <w:tab/>
        <w:t>To provide the Lessor, upon request, with any available information and any documents relating to the Lessee’s compliance with Environmental Laws as it pertains to the environmental condition or quality of the Leased Premises, including, without limitation, any relevant compliance report that is available to the Lessee;</w:t>
      </w:r>
    </w:p>
    <w:p>
      <w:pPr>
        <w:spacing w:after="0" w:line="198" w:lineRule="exact"/>
        <w:rPr>
          <w:sz w:val="20"/>
          <w:szCs w:val="20"/>
          <w:color w:val="auto"/>
        </w:rPr>
      </w:pPr>
    </w:p>
    <w:p>
      <w:pPr>
        <w:jc w:val="both"/>
        <w:ind w:left="1260" w:hanging="853"/>
        <w:spacing w:after="0" w:line="229" w:lineRule="auto"/>
        <w:tabs>
          <w:tab w:leader="none" w:pos="1240" w:val="left"/>
        </w:tabs>
        <w:rPr>
          <w:sz w:val="20"/>
          <w:szCs w:val="20"/>
          <w:color w:val="auto"/>
        </w:rPr>
      </w:pPr>
      <w:r>
        <w:rPr>
          <w:rFonts w:ascii="Arial" w:cs="Arial" w:eastAsia="Arial" w:hAnsi="Arial"/>
          <w:sz w:val="20"/>
          <w:szCs w:val="20"/>
          <w:color w:val="auto"/>
        </w:rPr>
        <w:t>11.1.11</w:t>
        <w:tab/>
        <w:t>To give the Lessor or a representative designated by the Lessor free access to the Leased Premises upon reasonable prior notice so that the Lessor may verify, subject to the obligation of the Lessor to minimize any inconvenience to the Lessee’s activities and operations as may be caused thereby and subject to the duration and frequency of such access visits being reasonable, the Lessee’s complying with the obligations stipulated herein; and</w:t>
      </w:r>
    </w:p>
    <w:p>
      <w:pPr>
        <w:spacing w:after="0" w:line="199" w:lineRule="exact"/>
        <w:rPr>
          <w:sz w:val="20"/>
          <w:szCs w:val="20"/>
          <w:color w:val="auto"/>
        </w:rPr>
      </w:pPr>
    </w:p>
    <w:p>
      <w:pPr>
        <w:jc w:val="both"/>
        <w:ind w:left="1260" w:hanging="853"/>
        <w:spacing w:after="0" w:line="228" w:lineRule="auto"/>
        <w:tabs>
          <w:tab w:leader="none" w:pos="1240" w:val="left"/>
        </w:tabs>
        <w:rPr>
          <w:sz w:val="20"/>
          <w:szCs w:val="20"/>
          <w:color w:val="auto"/>
        </w:rPr>
      </w:pPr>
      <w:r>
        <w:rPr>
          <w:rFonts w:ascii="Arial" w:cs="Arial" w:eastAsia="Arial" w:hAnsi="Arial"/>
          <w:sz w:val="20"/>
          <w:szCs w:val="20"/>
          <w:color w:val="auto"/>
        </w:rPr>
        <w:t>11.1.12</w:t>
        <w:tab/>
        <w:t>To indemnify and hold the Lessor harmless against aIl costs, liabilities, demands and penalties as may be incurred by the Lessor and relating directly or indirectly to any noncompliance with any Environmental Laws, or relating directly or indirectly to any breach of this ARTICLE XI, by the Lessee, its employees, agents, representatives, or other persons or entities for whom it is responsible at law, or its suppliers , customers, invitees and other persons or entities who have access to the Leased Premises or any part thereof, including, without limitation, legal costs (judicial and extra-judicial) expert fees, penalties, fines, damages and the cost of remedial work needed to conform to the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114300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6"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20"/>
          <w:szCs w:val="20"/>
          <w:color w:val="auto"/>
        </w:rPr>
        <w:t>- 18 -</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11.2 The </w:t>
      </w:r>
      <w:r>
        <w:rPr>
          <w:rFonts w:ascii="Arial" w:cs="Arial" w:eastAsia="Arial" w:hAnsi="Arial"/>
          <w:sz w:val="19"/>
          <w:szCs w:val="19"/>
          <w:b w:val="1"/>
          <w:bCs w:val="1"/>
          <w:color w:val="auto"/>
        </w:rPr>
        <w:t>Lessee</w:t>
      </w:r>
      <w:r>
        <w:rPr>
          <w:rFonts w:ascii="Arial" w:cs="Arial" w:eastAsia="Arial" w:hAnsi="Arial"/>
          <w:sz w:val="19"/>
          <w:szCs w:val="19"/>
          <w:color w:val="auto"/>
        </w:rPr>
        <w:t xml:space="preserve"> shall indemnify, defend and save harmless the </w:t>
      </w:r>
      <w:r>
        <w:rPr>
          <w:rFonts w:ascii="Arial" w:cs="Arial" w:eastAsia="Arial" w:hAnsi="Arial"/>
          <w:sz w:val="19"/>
          <w:szCs w:val="19"/>
          <w:b w:val="1"/>
          <w:bCs w:val="1"/>
          <w:color w:val="auto"/>
        </w:rPr>
        <w:t>Lessor</w:t>
      </w:r>
      <w:r>
        <w:rPr>
          <w:rFonts w:ascii="Arial" w:cs="Arial" w:eastAsia="Arial" w:hAnsi="Arial"/>
          <w:sz w:val="19"/>
          <w:szCs w:val="19"/>
          <w:color w:val="auto"/>
        </w:rPr>
        <w:t xml:space="preserve"> for and against any and all costs, claims, proceedings, liabilities, obligations, losses, demands, penalties, legal costs (judicial and extra-judicial) expert fees, penalties, fines, damages and the cost of remedial work of any kind or any nature whatsoever in connection therewith asserted against or incurred by the </w:t>
      </w:r>
      <w:r>
        <w:rPr>
          <w:rFonts w:ascii="Arial" w:cs="Arial" w:eastAsia="Arial" w:hAnsi="Arial"/>
          <w:sz w:val="19"/>
          <w:szCs w:val="19"/>
          <w:b w:val="1"/>
          <w:bCs w:val="1"/>
          <w:color w:val="auto"/>
        </w:rPr>
        <w:t xml:space="preserve">Lessor </w:t>
      </w:r>
      <w:r>
        <w:rPr>
          <w:rFonts w:ascii="Arial" w:cs="Arial" w:eastAsia="Arial" w:hAnsi="Arial"/>
          <w:sz w:val="19"/>
          <w:szCs w:val="19"/>
          <w:color w:val="auto"/>
        </w:rPr>
        <w:t>with respect to any order, decision, decree, judgment, ruling, claim or the like from or by any governmental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any Environmental Laws or other third party claims, in each case to the extent relating to, arising from, or in connection with any environmental conditions at, on, within, about, adjacent to, near, concerning, or affecting the Leased Premises, including but not limited to any Hazardous Materials or contamination and/or release or migration occurring at, on, upon, into, within, under, migrating to or from, about, adjacent to, near, or affecting the Leased Premises and that first occurred at any time from and after the Commencement Date and during the Term that is caused or permitted by the </w:t>
      </w:r>
      <w:r>
        <w:rPr>
          <w:rFonts w:ascii="Arial" w:cs="Arial" w:eastAsia="Arial" w:hAnsi="Arial"/>
          <w:sz w:val="19"/>
          <w:szCs w:val="19"/>
          <w:b w:val="1"/>
          <w:bCs w:val="1"/>
          <w:color w:val="auto"/>
        </w:rPr>
        <w:t>Lessee</w:t>
      </w:r>
      <w:r>
        <w:rPr>
          <w:rFonts w:ascii="Arial" w:cs="Arial" w:eastAsia="Arial" w:hAnsi="Arial"/>
          <w:sz w:val="19"/>
          <w:szCs w:val="19"/>
          <w:color w:val="auto"/>
        </w:rPr>
        <w:t xml:space="preserve"> or the operations of the </w:t>
      </w:r>
      <w:r>
        <w:rPr>
          <w:rFonts w:ascii="Arial" w:cs="Arial" w:eastAsia="Arial" w:hAnsi="Arial"/>
          <w:sz w:val="19"/>
          <w:szCs w:val="19"/>
          <w:b w:val="1"/>
          <w:bCs w:val="1"/>
          <w:color w:val="auto"/>
        </w:rPr>
        <w:t xml:space="preserve">Lessee </w:t>
      </w:r>
      <w:r>
        <w:rPr>
          <w:rFonts w:ascii="Arial" w:cs="Arial" w:eastAsia="Arial" w:hAnsi="Arial"/>
          <w:sz w:val="19"/>
          <w:szCs w:val="19"/>
          <w:color w:val="auto"/>
        </w:rPr>
        <w:t>or its employees, agents, contractors and those for whom it is responsible or those acting under its authority or control.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PARKING AREA</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12.1The Lessee may occupy nine (9) parking spaces in the zone indicated in Schedule “C”, and one (1) parking space in the front parking spaces of the NEOMED INSTITUTE, for its employees and visitors. The front parking space will have to be paid for by the Lessee as Additional Rent at a cost of five hundred Dollars ($500) per month during the Term.</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20"/>
          <w:szCs w:val="20"/>
          <w:b w:val="1"/>
          <w:bCs w:val="1"/>
          <w:i w:val="1"/>
          <w:iCs w:val="1"/>
          <w:u w:val="single" w:color="auto"/>
          <w:color w:val="auto"/>
        </w:rPr>
        <w:t>ARTICLE XIII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13.1Throughout the Term, the Lessee shall take out and keep in force at its sole cost and expense:</w:t>
      </w:r>
    </w:p>
    <w:p>
      <w:pPr>
        <w:spacing w:after="0" w:line="202" w:lineRule="exact"/>
        <w:rPr>
          <w:sz w:val="20"/>
          <w:szCs w:val="20"/>
          <w:color w:val="auto"/>
        </w:rPr>
      </w:pPr>
    </w:p>
    <w:p>
      <w:pPr>
        <w:jc w:val="both"/>
        <w:ind w:left="2260" w:hanging="748"/>
        <w:spacing w:after="0" w:line="229" w:lineRule="auto"/>
        <w:tabs>
          <w:tab w:leader="none" w:pos="2240" w:val="left"/>
        </w:tabs>
        <w:rPr>
          <w:sz w:val="20"/>
          <w:szCs w:val="20"/>
          <w:color w:val="auto"/>
        </w:rPr>
      </w:pPr>
      <w:r>
        <w:rPr>
          <w:rFonts w:ascii="Arial" w:cs="Arial" w:eastAsia="Arial" w:hAnsi="Arial"/>
          <w:sz w:val="20"/>
          <w:szCs w:val="20"/>
          <w:color w:val="auto"/>
        </w:rPr>
        <w:t>13.1.1</w:t>
        <w:tab/>
        <w:t>An “all risks” insurance policy for two million dollars ($2,000,000) against fire, equipment breakage, operating losses and other claims generally covered by such a policy, at all times covering the full replacement value of the Lessee’s assets in the Leased Premises, leasehold and other improvements made by the Lessee to the Leased Premises as well as any other asset for which the Lessee is legally responsible or assets installed by the Lessee or on its behalf on the Property.</w:t>
      </w:r>
    </w:p>
    <w:p>
      <w:pPr>
        <w:spacing w:after="0" w:line="199" w:lineRule="exact"/>
        <w:rPr>
          <w:sz w:val="20"/>
          <w:szCs w:val="20"/>
          <w:color w:val="auto"/>
        </w:rPr>
      </w:pPr>
    </w:p>
    <w:p>
      <w:pPr>
        <w:jc w:val="both"/>
        <w:ind w:left="2260" w:hanging="748"/>
        <w:spacing w:after="0" w:line="230" w:lineRule="auto"/>
        <w:tabs>
          <w:tab w:leader="none" w:pos="2240" w:val="left"/>
        </w:tabs>
        <w:rPr>
          <w:sz w:val="20"/>
          <w:szCs w:val="20"/>
          <w:color w:val="auto"/>
        </w:rPr>
      </w:pPr>
      <w:r>
        <w:rPr>
          <w:rFonts w:ascii="Arial" w:cs="Arial" w:eastAsia="Arial" w:hAnsi="Arial"/>
          <w:sz w:val="20"/>
          <w:szCs w:val="20"/>
          <w:color w:val="auto"/>
        </w:rPr>
        <w:t>13.1.2</w:t>
        <w:tab/>
        <w:t>A public liability insurance policy covering bodily injury, property damage, any liability assumed by the Lessee pursuant hereto and any liability arising from activities carried out by the Lessee and any other person in the Leased Premises, and work performed by the Lessee or by any other person, including persons for whom the Lessee is legally responsible, in any part of the Property.</w:t>
      </w:r>
    </w:p>
    <w:p>
      <w:pPr>
        <w:spacing w:after="0" w:line="198" w:lineRule="exact"/>
        <w:rPr>
          <w:sz w:val="20"/>
          <w:szCs w:val="20"/>
          <w:color w:val="auto"/>
        </w:rPr>
      </w:pPr>
    </w:p>
    <w:p>
      <w:pPr>
        <w:jc w:val="both"/>
        <w:ind w:left="2260" w:right="20"/>
        <w:spacing w:after="0" w:line="232" w:lineRule="auto"/>
        <w:rPr>
          <w:sz w:val="20"/>
          <w:szCs w:val="20"/>
          <w:color w:val="auto"/>
        </w:rPr>
      </w:pPr>
      <w:r>
        <w:rPr>
          <w:rFonts w:ascii="Arial" w:cs="Arial" w:eastAsia="Arial" w:hAnsi="Arial"/>
          <w:sz w:val="20"/>
          <w:szCs w:val="20"/>
          <w:color w:val="auto"/>
        </w:rPr>
        <w:t>This policy shall be taken out for an inclusive limit of no less than two million dollars ($2,000,000) for each claim involving bodily injury, death or property damage, or for a higher amount, which amount the Lessor may reasonably require, from time to time.</w:t>
      </w:r>
    </w:p>
    <w:p>
      <w:pPr>
        <w:spacing w:after="0" w:line="157" w:lineRule="exact"/>
        <w:rPr>
          <w:sz w:val="20"/>
          <w:szCs w:val="20"/>
          <w:color w:val="auto"/>
        </w:rPr>
      </w:pPr>
    </w:p>
    <w:p>
      <w:pPr>
        <w:ind w:left="2260" w:hanging="748"/>
        <w:spacing w:after="0" w:line="236" w:lineRule="auto"/>
        <w:tabs>
          <w:tab w:leader="none" w:pos="2240" w:val="left"/>
        </w:tabs>
        <w:rPr>
          <w:sz w:val="20"/>
          <w:szCs w:val="20"/>
          <w:color w:val="auto"/>
        </w:rPr>
      </w:pPr>
      <w:r>
        <w:rPr>
          <w:rFonts w:ascii="Arial" w:cs="Arial" w:eastAsia="Arial" w:hAnsi="Arial"/>
          <w:sz w:val="20"/>
          <w:szCs w:val="20"/>
          <w:color w:val="auto"/>
        </w:rPr>
        <w:t>13.1.3</w:t>
        <w:tab/>
        <w:t>A business interruption insurance in such amounts as will reimburse the Lessee for direct or indirect loss of earnings attributable to all perils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0"/>
          <w:szCs w:val="20"/>
          <w:color w:val="auto"/>
        </w:rPr>
        <w:t>- 19 -</w:t>
      </w:r>
    </w:p>
    <w:p>
      <w:pPr>
        <w:spacing w:after="0" w:line="202" w:lineRule="exact"/>
        <w:rPr>
          <w:sz w:val="20"/>
          <w:szCs w:val="20"/>
          <w:color w:val="auto"/>
        </w:rPr>
      </w:pPr>
    </w:p>
    <w:p>
      <w:pPr>
        <w:ind w:left="2260"/>
        <w:spacing w:after="0" w:line="236" w:lineRule="auto"/>
        <w:rPr>
          <w:sz w:val="20"/>
          <w:szCs w:val="20"/>
          <w:color w:val="auto"/>
        </w:rPr>
      </w:pPr>
      <w:r>
        <w:rPr>
          <w:rFonts w:ascii="Arial" w:cs="Arial" w:eastAsia="Arial" w:hAnsi="Arial"/>
          <w:sz w:val="20"/>
          <w:szCs w:val="20"/>
          <w:color w:val="auto"/>
        </w:rPr>
        <w:t>against by the Lessee hereunder, including without limitation loss of Rent for a minimum period of indemnity of three (3) months.</w:t>
      </w:r>
    </w:p>
    <w:p>
      <w:pPr>
        <w:spacing w:after="0" w:line="196"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13.1.4</w:t>
      </w:r>
      <w:r>
        <w:rPr>
          <w:sz w:val="20"/>
          <w:szCs w:val="20"/>
          <w:color w:val="auto"/>
        </w:rPr>
        <w:tab/>
      </w:r>
      <w:r>
        <w:rPr>
          <w:rFonts w:ascii="Arial" w:cs="Arial" w:eastAsia="Arial" w:hAnsi="Arial"/>
          <w:sz w:val="19"/>
          <w:szCs w:val="19"/>
          <w:color w:val="auto"/>
        </w:rPr>
        <w:t>All insurance required to cover environmental risks.</w:t>
      </w:r>
    </w:p>
    <w:p>
      <w:pPr>
        <w:spacing w:after="0" w:line="202"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13.1.5</w:t>
      </w:r>
      <w:r>
        <w:rPr>
          <w:sz w:val="20"/>
          <w:szCs w:val="20"/>
          <w:color w:val="auto"/>
        </w:rPr>
        <w:tab/>
      </w:r>
      <w:r>
        <w:rPr>
          <w:rFonts w:ascii="Arial" w:cs="Arial" w:eastAsia="Arial" w:hAnsi="Arial"/>
          <w:sz w:val="19"/>
          <w:szCs w:val="19"/>
          <w:color w:val="auto"/>
        </w:rPr>
        <w:t>Any other insurance policy that the Lessor may reasonably require, from time to time.</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13.2All insurance policies shall (i) be in form satisfactory to the Lessor, (ii) be placed with insurers reasonably acceptable to the Lessor, and (iii) provide that they will not be modified, cancelled or permitted to lapse unless the insurer notifies the Lessor in writing at least thirty (30) days prior to the date of modification, cancellation or lapse.</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13.3Each insurance policy shall name the Lessor and any other party required by the Lessor as an additional insured, as its/their interest may appear. Each comprehensive general liability insurance policy shall contain a provision of cross-liability and severability of interests as between Lessor and Lessee. All other insurance policies including, without limitation, the Lessee’s all risk property damage insurance shall contain a waiver of subrogation rights which the Lessee’s insurers may have against the Lessor, the Lessor’s insurers, and persons under the Lessor’s care and control. The Lessee hereby releases and waives any and all claims against the Lessor and those for whom the Lessor is in law responsible with respect to occurrences required to be insured against by the Lessee hereunder or otherwise insured by Lessee. The Lessee shall from time to time furnish the Lessor, upon the Lessor’s request, with certificates of insurance reflecting (or, where the Lessor specifically requires, certified copies of) all such insurance policies and renewals thereof.</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13.4The Lessee agrees that should the Lessee fail to take out or keep in force such insurance at any time during the Term, the Lessor shall have the right to do so and to pay the premiums therefor. In such event, the Lessee shall reimburse the Lessor the amounts paid as premiums and applicable taxes thereon as Additional Rent on demand.</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13.5Notwithstanding the express or implicit obligation of the Lessor to insure and notwithstanding any obligation on the part of the Lessee to contribute to the payment of Lessor’s premiums as contemplated by the provisions of this Lease, Lessee acknowledges that no insurable interest is conferred upon the Lessee under any of the Lessor's insurance policies and that the Lessee shall have no right to recover any proceeds thereunder or to claim any right or title to such proceeds.</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13.6The Lessee shall not keep, use or store, or allow to be kept, used or stored, in the Leased Premises any materials, nor shall the Lessee commit or allow to be committed any acts, which will increase the cost or rate of insurance on the Property against fire or other perils. Should the cost or rate of insurance on the Property or any portion thereof be increased by reason of the Lessee’s use or occupation of the Leased Premises or by reason of any violation of any of the foregoing provisions, the Lessee undertakes to reimburse the Lessor an amount equal to such increase and applicable taxes thereon. The Lessee further undertakes to indemnify the Lessor from all demands made by any lessee of the Property should their cost or rate of insurance be increased by reason of the Lessee’s use or occupation of the Leased Premises or by reason of any violation of the foregoing by the Lessee. All monies payable by the Lessee to the Lessor pursuant hereto shall be deemed Additional Rent payable on demand.</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13.7If the occupancy of the Leased Premises or the conduct of business therein or any acts or omissions of the Lessee in the Leased Premises or any part thereof, causes or results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20"/>
          <w:szCs w:val="20"/>
          <w:color w:val="auto"/>
        </w:rPr>
        <w:t>- 20 -</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increase in premiums of the insurance carried from time to time by the Lessor with respect to the Property, the Lessee shall pay any such increase in premiums and applicable taxes thereon as Additional Rent ten (10) Business Days after invoices for such additional premiums and applicable taxes thereon are rendered by the Lessor. In determining whether increased premiums are caused by or result from the use and occupancy of the Leased Premises, a schedule issued by the organization computing the insurance rate on the Property showing the various components of such rate shall be conclusive evidence of the several items and charges which make up such rate. The Lessee shall comply promptly with all requirements and recommendations of the Insurer’s Advisory Organization of Canada (or any successor thereof), or of any insurer now or hereafter in effect pertaining to or affecting the Leased Premises and the Property. The Lessee hereby acknowledges that said payment does not form part of the fixed Operating Expenses as per these presents.</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13.8The Lessee will indemnify the Lessor and save it harmless from any and all losses or claims, actions, demands, liabilities and expenses in connection with loss of life, personal injury and/or damage to or loss of property: (a) occasioned or caused wholly or in part by any act or omission of the Lessee or anyone for whom it is in law responsible; or (b) arising from any breach by the Lessee of any provisions of this Lease.</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13.9The Lessor will indemnify the Lessee and save it harmless from any and all losses or claims, actions, demands, liabilities and expenses in connection with loss of life, personal injury and/or damage to or loss of property: (a) occasional or caused wholly or in part by any act or omission of the Lessor or anyone for whom it is in law responsible; or (b) arising from any breach by the Lessor of any provisions of this Lease.</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13.10Each of the Lessor and the Lessee releases the other and waives all claims against the other and those for whom the other is in law responsible with respect to occurrences insured against or required to be insured against by the releasing party, whether any such claims arise as a result of the negligence or otherwise of the other or those for whom it is in law responsible, subject to the following:</w:t>
      </w:r>
    </w:p>
    <w:p>
      <w:pPr>
        <w:spacing w:after="0" w:line="198" w:lineRule="exact"/>
        <w:rPr>
          <w:sz w:val="20"/>
          <w:szCs w:val="20"/>
          <w:color w:val="auto"/>
        </w:rPr>
      </w:pPr>
    </w:p>
    <w:p>
      <w:pPr>
        <w:jc w:val="both"/>
        <w:ind w:left="2260" w:hanging="748"/>
        <w:spacing w:after="0" w:line="229" w:lineRule="auto"/>
        <w:rPr>
          <w:sz w:val="20"/>
          <w:szCs w:val="20"/>
          <w:color w:val="auto"/>
        </w:rPr>
      </w:pPr>
      <w:r>
        <w:rPr>
          <w:rFonts w:ascii="Arial" w:cs="Arial" w:eastAsia="Arial" w:hAnsi="Arial"/>
          <w:sz w:val="20"/>
          <w:szCs w:val="20"/>
          <w:color w:val="auto"/>
        </w:rPr>
        <w:t>13.10.1 such release and waiver shall be effective only to the extent of proceeds of insurance received by the releasing party or proceeds which would have been received if the releasing party had obtained all insurance required to be obtained by it under this Lease (whichever is greater) and, for this purpose, the Lessee’s or the Lessor’s deductible amounts under the Lessee’s or Lessor’s insurance shall be deemed to be proceeds of insurance received; and</w:t>
      </w:r>
    </w:p>
    <w:p>
      <w:pPr>
        <w:spacing w:after="0" w:line="199" w:lineRule="exact"/>
        <w:rPr>
          <w:sz w:val="20"/>
          <w:szCs w:val="20"/>
          <w:color w:val="auto"/>
        </w:rPr>
      </w:pPr>
    </w:p>
    <w:p>
      <w:pPr>
        <w:jc w:val="both"/>
        <w:ind w:left="2260" w:right="20" w:hanging="748"/>
        <w:spacing w:after="0" w:line="236" w:lineRule="auto"/>
        <w:rPr>
          <w:sz w:val="20"/>
          <w:szCs w:val="20"/>
          <w:color w:val="auto"/>
        </w:rPr>
      </w:pPr>
      <w:r>
        <w:rPr>
          <w:rFonts w:ascii="Arial" w:cs="Arial" w:eastAsia="Arial" w:hAnsi="Arial"/>
          <w:sz w:val="20"/>
          <w:szCs w:val="20"/>
          <w:color w:val="auto"/>
        </w:rPr>
        <w:t>13.10.2 to the extent that both parties have insurance or are required to have insurance for any occurrence, the Lessee’s insurance shall be primary.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XIV</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DAMAGE OR DESTRUCTION</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Provided, and it is hereby expressly agreed that if and whenever during the Term hereby leased, or any renewal thereof, the Property or the Leased Premises shall be destroyed or damaged by fire, lightning or tempest, or any of the other perils required to be insured against under the provisions of this Lease, then and in every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0"/>
          <w:szCs w:val="20"/>
          <w:color w:val="auto"/>
        </w:rPr>
        <w:t>- 21 -</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14.1If the damage or destruction is such that the Leased Premises, or the Property, is rendered wholly or partially unfit for occupancy or it is impossible or unsafe to use and occupy and if in either event the damage in the opinion of the Lessor, notice of which is to be given to the Lessee within thirty (30) days of the Lessor being given access to the affected portions of the Property by the competent authorities following the happening of such damage or destruction, cannot be repaired with reasonable diligence within two hundred and seventy (270) days from the happening of such damage or destruction, then either the Lessor or the Lessee may within ten (10) days next succeeding the giving of the aforementioned notice by the Lessor, terminate this Lease by giving to the other notice in writing of such termination, in which event this Lease and the term hereby leased shall cease and be at an end as of the date of such destruction or damage and the Rent and all other payments for which the Lessee is liable under the terms of this Lease shall be apportioned and paid in full to the date of such destruction or damage. In the event that neither the Lessor nor the Lessee so terminate this Lease, the Lessor shall repair the Property with all reasonable speed and the Rent hereby reserved shall abate from the date of the happening of the damage until the damage shall be made good to the extent of enabling the Lessee to use and occupy the Leased Premises.</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14.2If the damage be such that the Leased Premises is wholly unfit for occupancy, or if it is impossible or unsafe to use or occupy it, but, if in either event, the damage, in the opinion of the Lessor, can be repaired with reasonable diligence within two hundred and seventy (270) days of the happening of such damage, the Lessor is to give notice of its decision to repair to the Lessee within thirty (30) days from the Lessor being given access to the affected portions of the Property by the competent authorities following the happening of such damage and the Rent hereby reserved shall abate from the date of the happening of such damage until the damage shall be made good to the extent of enabling the Lessee to use and occupy the Leased Premises and the Lessor shall repair the damage with all reasonable speed unless the damage or destruction is due to the acts or omissions of the Lessee or for those whom the Lessee is at law responsible in which case there shall be no abatement of Rent.</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14.3If, in the opinion of the Lessor, the damage can be made good, as aforesaid, within two hundred and seventy (270) days of the happening of such destruction or damage and the damage is such that the Leased Premises are capable of being partially used for the purposes for which it is hereby leased, then until such damage has been repaired the Rent shall abate in the proportion that the Leased Premises is rendered unfit for occupancy bears to the whole of the Leased Premises and the Lessor shall repair the damage with all reasonable speed unless the damage or destruction is due to the acts or omissions of the Lessee or for those whom the Lessee is at law responsible in which case there shall be no abatement of Rent. Nothing herein contained shall be construed to oblige the Lessor to repair or reconstruct any alterations, improvements or property of the Lessee. On the contrary, all other improvements in and to the Leased Premises shall be the responsibility of Lessee who shall be obliged to repair and re-fixture to a standard at least equivalent to that which existed prior to the date of damage or destruction, to the extent of the proceeds of insurance received by Lessee in respect to its property and improvements.</w:t>
      </w:r>
    </w:p>
    <w:p>
      <w:pPr>
        <w:spacing w:after="0" w:line="20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14.4Should any hypothecary creditor who may have an interest in any insurance proceeds refuse to permit the use of such proceeds for the repair, replacement, rebuilding and/or restoration as hereinabove provided and for the payment of amounts expended for such purposes, then the Lessor's obligation to repair or rebuild as provided for hereinabove shall cease and shall be null and void and the Lease shall be cancelled effective as of the date of the damage, unless the Lessor, at the Lessor's sole option, chooses to repair and rebuild in which latter event, Rent shall abate from the date of the happening of such damage, until the damage shall be made good to the extent of enabling the Lessee to use and occupy the 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0"/>
          <w:szCs w:val="20"/>
          <w:color w:val="auto"/>
        </w:rPr>
        <w:t>- 22 -</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14.5Should the Lessor fail to complete such repair or restoration to the Leased Premises for any reason whatsoever within the delay set forth in Paragraph 14.1 above, the Lessee may terminate the Lease by written notification to the Lessor to be given within thirty (30) days following the expiration of the two hundred and seventy (270) day period mentioned above, which termination shall become effective at the expiry of such thirty (30) days unless the repair/restoration shall have then been substantially completed.</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14.6In no event shall the Lessor be liable to the Lessee for any loss or damage caused by damage or destruction, or caused by any delay in the restoration or repair, subject to Lessee’s right to terminate the Lease pursuant to section 14.5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XV</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u w:val="single" w:color="auto"/>
          <w:color w:val="auto"/>
        </w:rPr>
        <w:t>SIGNS</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15.1The Lessee has no right to install any sign on the exterior of the Building or on any part of the Property. The Lessee shall have the right from time to time during the Term to display and maintain a sign at the entrance of its Leased Premises to advertise its business, subject to the Lessor’s prior written approval with respect to the appearance, construction and size of the sign, and which approval shall not be unreasonably withheld. Any such sign shall be dignified in appearance and shall comply with all applicable laws, by-laws, rules and regulations. The Lessor will remove the sign at the termination of the Lease, and the costs of any repair resulting from the removal of such sign shall be at the sole cost of the Tenant.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XVI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INTEREST</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16.1The Lessee shall pay to the Lessor interest calculated at the Interest Rate on all overdue payments of Base Rent, of Additional Rent, and of all other sums which may be owing by the Lessee to the Lessor pursuant to the Lease, calculated from the due date of the amount in question to the date of payment, compounded monthly. Overdue interest shall also bear interest at the Interest Rate.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XVII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NO TACIT RENEWAL</w:t>
      </w:r>
    </w:p>
    <w:p>
      <w:pPr>
        <w:spacing w:after="0" w:line="1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17.1Subject to the Lessee’s option to renew provided herein, the Lease shall terminate </w:t>
      </w:r>
      <w:r>
        <w:rPr>
          <w:rFonts w:ascii="Arial" w:cs="Arial" w:eastAsia="Arial" w:hAnsi="Arial"/>
          <w:sz w:val="20"/>
          <w:szCs w:val="20"/>
          <w:i w:val="1"/>
          <w:iCs w:val="1"/>
          <w:color w:val="auto"/>
        </w:rPr>
        <w:t>ipso facto</w:t>
      </w:r>
      <w:r>
        <w:rPr>
          <w:rFonts w:ascii="Arial" w:cs="Arial" w:eastAsia="Arial" w:hAnsi="Arial"/>
          <w:sz w:val="20"/>
          <w:szCs w:val="20"/>
          <w:color w:val="auto"/>
        </w:rPr>
        <w:t xml:space="preserve"> without notice or demand at the Expiration of the Term or upon earlier termination in accordance with this Lease, and any continued occupation of the Leased Premises by the Lessee shall not have the effect of extending the Term or renewing the Lease for any period of time, the whole notwithstanding the provisions of Article 1879 of the </w:t>
      </w:r>
      <w:r>
        <w:rPr>
          <w:rFonts w:ascii="Arial" w:cs="Arial" w:eastAsia="Arial" w:hAnsi="Arial"/>
          <w:sz w:val="20"/>
          <w:szCs w:val="20"/>
          <w:i w:val="1"/>
          <w:iCs w:val="1"/>
          <w:color w:val="auto"/>
        </w:rPr>
        <w:t>Civil Code of Quebec</w:t>
      </w:r>
      <w:r>
        <w:rPr>
          <w:rFonts w:ascii="Arial" w:cs="Arial" w:eastAsia="Arial" w:hAnsi="Arial"/>
          <w:sz w:val="20"/>
          <w:szCs w:val="20"/>
          <w:color w:val="auto"/>
        </w:rPr>
        <w:t>. Should the Lessee continue occupation of the Leased Premises beyond the Expiration of the Term, the Lessee shall be presumed to occupy the Leased Premises under a tenancy from month to month in consideration of a monthly Rent equal to the aggregate of (i) Two Hundred (200%) of the monthly Base Rent payable by the Lessee to the Lessor during the last month of the Term, plus (ii) the Additional Rent payable by the Lessee to the Lessor during the last month of the Term, plus (iii) all other sums payable by the Lessee to the Lessor pursuant to the provisions of the Lease. The foregoing month to month tenancy is without prejudice to the Lessor’s rights to evict the Lessee by force, by injunctive proceedings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7" w:name="page198"/>
    <w:bookmarkEnd w:id="197"/>
    <w:p>
      <w:pPr>
        <w:ind w:left="5400"/>
        <w:spacing w:after="0"/>
        <w:rPr>
          <w:sz w:val="20"/>
          <w:szCs w:val="20"/>
          <w:color w:val="auto"/>
        </w:rPr>
      </w:pPr>
      <w:r>
        <w:rPr>
          <w:rFonts w:ascii="Arial" w:cs="Arial" w:eastAsia="Arial" w:hAnsi="Arial"/>
          <w:sz w:val="20"/>
          <w:szCs w:val="20"/>
          <w:color w:val="auto"/>
        </w:rPr>
        <w:t>- 23 -</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20"/>
          <w:szCs w:val="20"/>
          <w:b w:val="1"/>
          <w:bCs w:val="1"/>
          <w:i w:val="1"/>
          <w:iCs w:val="1"/>
          <w:u w:val="single" w:color="auto"/>
          <w:color w:val="auto"/>
        </w:rPr>
        <w:t>ARTICLE XVIII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OVERLOADING</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18.1The Lessee shall not bring or cause to be brought into the Leased Premises any machinery, equipment or other effects that by reason of their weight, size or otherwise might damage the Leased Premises or overload the electrical, mechanical or plumbing systems of the Leased Premises, or the floors, ceilings, walls, columns, or any other part of the Leased Premises. The Lessee hereby assumes responsibility for all damage resulting therefrom.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XIX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GLASS AND WINDOW PANES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19.1The Lessor shall replace any glass or window panes in the Leased Premises that may be broken, cracked or damaged during the Term and the cost thereof shall be included in the Operating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NO ABATEMENT OR REDUCTION OF RENT</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20.1There shall be no abatement from, nor reduction of, nor compensation of any kind or nature whatsoever, with respect to the Base Rent, the Additional Rent, or any other sums payable by the Lessee to the Lessor pursuant to the Lease by reason of (i) partial or temporary interruption, failure or stoppage of light, plumbing service, sprinkler service, electric service, wiring, or anything whatsoever in and about the Leased Premises resulting from any cause whatsoever, (ii) gas, fire, water, steam, smoke, rain or snow leaking or flowing in or flooding the Leased Premises, or (iii) any delays with respect to snow removal; whether the same result to the Lessee, its employees, suppliers, customers, or to any other person, or to any property belonging to the Lessee or any other person, in or about the Leased Premises, provided the Lessor diligently proceeds to remedy the situation in question where it is its obliged to do so.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NON-RESPONSIBILITY OF LESSOR</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21.1Except for the Lessor’s fault or negligence and to the extent permitted by law, the Lessor shall not be liable for any damages, consequential or otherwise, injury or death, and the Lessee agrees to indemnify and keep the Lessor free and harmless from any damages, losses and costs in respect of any claims for damage to property or injury or death to persons occurring in, upon or about the Leased Premises, sustained by the Lessee, its employees, agents, representatives, or other persons or entities for whom it is responsible at law, or its suppliers, customers, invitees and other persons or entities who have access to the Leased Premises or any part thereof, resulting from (i) the causes mentioned in Section 20.1 above. The Lessee agrees not to hold the Lessor in any way responsible for any damage or annoyance which the Lessee may sustain through the negligence, misconduct, or otherwise of any lessees or occupants who may occupy any other premises forming part of the Property.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ENTRY INTO THE LEASED PREMISES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22.1The Lessee agrees to allow prospective purchasers and prospective hypothecary creditors to visit the Leased Premises during Business Hours upon twenty-four (24) hours’ written notice except in cases of emergency, whereupon entry shall be immediate. During the last twelve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0"/>
          <w:szCs w:val="20"/>
          <w:color w:val="auto"/>
        </w:rPr>
        <w:t>- 24 -</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months of the Term, the Lessee agrees to allow person or persons who may be desirous of leasing the Leased Premises to visit the same during Business Hours upon twenty-four (24) hours’ written notice, and to allow for rent signs or notices to be posted on or near the Leased Premises.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DEFAULT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23.1Should the Lessee fail to fulfil any covenant or obligation incurred or assumed by it in this Lease, after having received a ten</w:t>
      </w:r>
    </w:p>
    <w:p>
      <w:pPr>
        <w:jc w:val="both"/>
        <w:ind w:firstLine="8"/>
        <w:spacing w:after="0" w:line="228" w:lineRule="auto"/>
        <w:tabs>
          <w:tab w:leader="none" w:pos="411" w:val="left"/>
        </w:tabs>
        <w:numPr>
          <w:ilvl w:val="0"/>
          <w:numId w:val="75"/>
        </w:numPr>
        <w:rPr>
          <w:rFonts w:ascii="Arial" w:cs="Arial" w:eastAsia="Arial" w:hAnsi="Arial"/>
          <w:sz w:val="20"/>
          <w:szCs w:val="20"/>
          <w:color w:val="auto"/>
        </w:rPr>
      </w:pPr>
      <w:r>
        <w:rPr>
          <w:rFonts w:ascii="Arial" w:cs="Arial" w:eastAsia="Arial" w:hAnsi="Arial"/>
          <w:sz w:val="20"/>
          <w:szCs w:val="20"/>
          <w:color w:val="auto"/>
        </w:rPr>
        <w:t>day prior written notice from the Lessor to such effect, or should same not be capable of being remedied in ten (10) days, if the Lessee does not diligently commence to remedy same within the ten (10) day delay or does not complete such rectification thereafter in a diligent manner, the Lessor shall have the right to cure the default on behalf of the Lessee and to charge Lessee for all sums so paid plus an administration fee of Fifteen percent (15%) on all such incurred costs, and Lessee shall forthwith repay them to the Lessor as Additional Rent. The Lessor, in addition to any other rights, shall have the same remedies and may take the same steps for the recovery of all sums which the Lessee is to pay or reimburse the Lessor pursuant to the Lease, as it may have for the recovery of rental arrears under the terms of this Lease.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23.2In any of the following events, namely:</w:t>
      </w:r>
    </w:p>
    <w:p>
      <w:pPr>
        <w:spacing w:after="0" w:line="202" w:lineRule="exact"/>
        <w:rPr>
          <w:sz w:val="20"/>
          <w:szCs w:val="20"/>
          <w:color w:val="auto"/>
        </w:rPr>
      </w:pPr>
    </w:p>
    <w:p>
      <w:pPr>
        <w:jc w:val="both"/>
        <w:ind w:left="2260" w:hanging="748"/>
        <w:spacing w:after="0" w:line="228" w:lineRule="auto"/>
        <w:tabs>
          <w:tab w:leader="none" w:pos="2240" w:val="left"/>
        </w:tabs>
        <w:rPr>
          <w:sz w:val="20"/>
          <w:szCs w:val="20"/>
          <w:color w:val="auto"/>
        </w:rPr>
      </w:pPr>
      <w:r>
        <w:rPr>
          <w:rFonts w:ascii="Arial" w:cs="Arial" w:eastAsia="Arial" w:hAnsi="Arial"/>
          <w:sz w:val="20"/>
          <w:szCs w:val="20"/>
          <w:color w:val="auto"/>
        </w:rPr>
        <w:t>23.2.1</w:t>
        <w:tab/>
        <w:t>If the Lessee shall fail to pay to the Lessor any instalment of Base Rent or Additional Rent or any other monies owing by the Lessee to the Lessor pursuant to the Lease (it being understood that the Lessee shall no longer be entitled to the benefit of any notice of non-payment as contemplated by section 23.1 in the event that Lessee has failed to pay any such amount to Lessor when due on two (2) or more occasions falling within any period of three hundred and sixty-five (365) consecutive days, and shall on any subsequent occasion be considered in default hereunder on any subsequent occurrence of non-payment without any grace or cure period in respect thereof);</w:t>
      </w:r>
    </w:p>
    <w:p>
      <w:pPr>
        <w:spacing w:after="0" w:line="199" w:lineRule="exact"/>
        <w:rPr>
          <w:sz w:val="20"/>
          <w:szCs w:val="20"/>
          <w:color w:val="auto"/>
        </w:rPr>
      </w:pPr>
    </w:p>
    <w:p>
      <w:pPr>
        <w:jc w:val="both"/>
        <w:ind w:left="2260" w:hanging="748"/>
        <w:spacing w:after="0" w:line="229" w:lineRule="auto"/>
        <w:tabs>
          <w:tab w:leader="none" w:pos="2240" w:val="left"/>
        </w:tabs>
        <w:rPr>
          <w:sz w:val="20"/>
          <w:szCs w:val="20"/>
          <w:color w:val="auto"/>
        </w:rPr>
      </w:pPr>
      <w:r>
        <w:rPr>
          <w:rFonts w:ascii="Arial" w:cs="Arial" w:eastAsia="Arial" w:hAnsi="Arial"/>
          <w:sz w:val="20"/>
          <w:szCs w:val="20"/>
          <w:color w:val="auto"/>
        </w:rPr>
        <w:t>23.2.2</w:t>
        <w:tab/>
        <w:t>If the Lessee be declared dissolved, bankrupt, or wound-up, or shall make any general assignment for the benefit of its creditors, or take or attempt to take the benefit of any insolvency, winding-up or bankruptcy legislation, or if a petition in bankruptcy or in winding-up, or for reorganization be filed by or against the Lessee, or if a receiver or trustee be appointed for or enter into physical possession of the property of the Lessee, or any part thereof, and if such receiver or trustee is not removed within ten (10) days of his appointment;</w:t>
      </w:r>
    </w:p>
    <w:p>
      <w:pPr>
        <w:spacing w:after="0" w:line="195" w:lineRule="exact"/>
        <w:rPr>
          <w:sz w:val="20"/>
          <w:szCs w:val="20"/>
          <w:color w:val="auto"/>
        </w:rPr>
      </w:pPr>
    </w:p>
    <w:p>
      <w:pPr>
        <w:jc w:val="both"/>
        <w:ind w:left="2260" w:hanging="748"/>
        <w:spacing w:after="0" w:line="236" w:lineRule="auto"/>
        <w:tabs>
          <w:tab w:leader="none" w:pos="2240" w:val="left"/>
        </w:tabs>
        <w:rPr>
          <w:sz w:val="20"/>
          <w:szCs w:val="20"/>
          <w:color w:val="auto"/>
        </w:rPr>
      </w:pPr>
      <w:r>
        <w:rPr>
          <w:rFonts w:ascii="Arial" w:cs="Arial" w:eastAsia="Arial" w:hAnsi="Arial"/>
          <w:sz w:val="20"/>
          <w:szCs w:val="20"/>
          <w:color w:val="auto"/>
        </w:rPr>
        <w:t>23.2.3</w:t>
        <w:tab/>
        <w:t>If the Lessee shall assign, sublease or permit the use of the Leased Premises by others except in the manner as herein permitted;</w:t>
      </w:r>
    </w:p>
    <w:p>
      <w:pPr>
        <w:spacing w:after="0" w:line="196" w:lineRule="exact"/>
        <w:rPr>
          <w:sz w:val="20"/>
          <w:szCs w:val="20"/>
          <w:color w:val="auto"/>
        </w:rPr>
      </w:pPr>
    </w:p>
    <w:p>
      <w:pPr>
        <w:jc w:val="both"/>
        <w:ind w:left="2260" w:hanging="748"/>
        <w:spacing w:after="0" w:line="236" w:lineRule="auto"/>
        <w:tabs>
          <w:tab w:leader="none" w:pos="2240" w:val="left"/>
        </w:tabs>
        <w:rPr>
          <w:sz w:val="20"/>
          <w:szCs w:val="20"/>
          <w:color w:val="auto"/>
        </w:rPr>
      </w:pPr>
      <w:r>
        <w:rPr>
          <w:rFonts w:ascii="Arial" w:cs="Arial" w:eastAsia="Arial" w:hAnsi="Arial"/>
          <w:sz w:val="20"/>
          <w:szCs w:val="20"/>
          <w:color w:val="auto"/>
        </w:rPr>
        <w:t>23.2.4</w:t>
        <w:tab/>
        <w:t>If the Lessee shall fail to take possession of the Leased Premises, or if the Lessee shall abandon the Leased Premises;</w:t>
      </w:r>
    </w:p>
    <w:p>
      <w:pPr>
        <w:spacing w:after="0" w:line="196" w:lineRule="exact"/>
        <w:rPr>
          <w:sz w:val="20"/>
          <w:szCs w:val="20"/>
          <w:color w:val="auto"/>
        </w:rPr>
      </w:pPr>
    </w:p>
    <w:p>
      <w:pPr>
        <w:jc w:val="both"/>
        <w:ind w:left="2260" w:right="20" w:hanging="748"/>
        <w:spacing w:after="0" w:line="232" w:lineRule="auto"/>
        <w:tabs>
          <w:tab w:leader="none" w:pos="2240" w:val="left"/>
        </w:tabs>
        <w:rPr>
          <w:sz w:val="20"/>
          <w:szCs w:val="20"/>
          <w:color w:val="auto"/>
        </w:rPr>
      </w:pPr>
      <w:r>
        <w:rPr>
          <w:rFonts w:ascii="Arial" w:cs="Arial" w:eastAsia="Arial" w:hAnsi="Arial"/>
          <w:sz w:val="20"/>
          <w:szCs w:val="20"/>
          <w:color w:val="auto"/>
        </w:rPr>
        <w:t>23.2.5</w:t>
        <w:tab/>
        <w:t>If any insurance carried by the Lessor or by any lessee of the Property be cancelled in consequence of the business carried on by the Lessee or in consequence of anything brought into or stored in the Leased Premises by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9" w:name="page200"/>
    <w:bookmarkEnd w:id="199"/>
    <w:p>
      <w:pPr>
        <w:ind w:left="5400"/>
        <w:spacing w:after="0"/>
        <w:rPr>
          <w:sz w:val="20"/>
          <w:szCs w:val="20"/>
          <w:color w:val="auto"/>
        </w:rPr>
      </w:pPr>
      <w:r>
        <w:rPr>
          <w:rFonts w:ascii="Arial" w:cs="Arial" w:eastAsia="Arial" w:hAnsi="Arial"/>
          <w:sz w:val="20"/>
          <w:szCs w:val="20"/>
          <w:color w:val="auto"/>
        </w:rPr>
        <w:t>- 25 -</w:t>
      </w:r>
    </w:p>
    <w:p>
      <w:pPr>
        <w:spacing w:after="0" w:line="202"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23.2.6</w:t>
      </w:r>
      <w:r>
        <w:rPr>
          <w:sz w:val="20"/>
          <w:szCs w:val="20"/>
          <w:color w:val="auto"/>
        </w:rPr>
        <w:tab/>
      </w:r>
      <w:r>
        <w:rPr>
          <w:rFonts w:ascii="Arial" w:cs="Arial" w:eastAsia="Arial" w:hAnsi="Arial"/>
          <w:sz w:val="19"/>
          <w:szCs w:val="19"/>
          <w:color w:val="auto"/>
        </w:rPr>
        <w:t>If the Lessee shall default in the performance of any of its other obligations under the Lease;</w:t>
      </w:r>
    </w:p>
    <w:p>
      <w:pPr>
        <w:spacing w:after="0" w:line="202" w:lineRule="exact"/>
        <w:rPr>
          <w:sz w:val="20"/>
          <w:szCs w:val="20"/>
          <w:color w:val="auto"/>
        </w:rPr>
      </w:pPr>
    </w:p>
    <w:p>
      <w:pPr>
        <w:jc w:val="both"/>
        <w:ind w:left="2260" w:hanging="748"/>
        <w:spacing w:after="0" w:line="230" w:lineRule="auto"/>
        <w:tabs>
          <w:tab w:leader="none" w:pos="2240" w:val="left"/>
        </w:tabs>
        <w:rPr>
          <w:sz w:val="20"/>
          <w:szCs w:val="20"/>
          <w:color w:val="auto"/>
        </w:rPr>
      </w:pPr>
      <w:r>
        <w:rPr>
          <w:rFonts w:ascii="Arial" w:cs="Arial" w:eastAsia="Arial" w:hAnsi="Arial"/>
          <w:sz w:val="20"/>
          <w:szCs w:val="20"/>
          <w:color w:val="auto"/>
        </w:rPr>
        <w:t>23.2.7</w:t>
        <w:tab/>
        <w:t>If any execution be issued against the property of the Lessee in or on the Property pursuant to a judgment against the Lessee unless Lessee has taken steps to satisfy the judgment or is bona fide contesting such execution and such execution has been finally satisfied, stayed or quashed within thirty (30) days from its issuance;</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Lease, may be terminated forthwith at the option of the Lessor upon written notice to the Lessee. It is expressly agreed that such right of termination is without prejudice to Lessor’s other rights and recourses in the circumstances. In such event, the Lease shall expire and be at an end, and anything herein before to the contrary notwithstanding, as of the date set forth in the Lessor’s aforementioned written notice, and the then current month’s Base Rent and Additional Rent, plus the next ensuing twelve (12) months’ Base Rent and Additional Rent shall thereupon immediately become due and payable, without prejudice to the Lessor’s other rights and recourses in the circumstances, including without limitation, the Lessor’s right to obtain greater damages. Furthermore, in such event, the Lessor without any further formality or judgment, may re-enter and take possession of the Leased Premises as though the Lessee or its employees, agents or representatives, or such other occupant or occupants of the Leased Premises were over-holding lessees and, to remove therefrom any persons or property occupying the Leased Premises, and to bolt the Leased Premises and change the locks thereof. The Lessor shall have the right to re-let the Leased Premises to whomsoever it may choose without further notice or demand being necessary, and may recover from the Lessee all expenses of such re-letting (including any repairs or improvements necessitated thereby), in addition to the amounts mentioned above.</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23.3In addition to the foregoing and without prejudice to the Lessor’s other rights and recourses hereunder, in the event of the bankruptcy of the Lessee, there shall immediately become due and exigible in favour of the Lessor, on account of accelerated rent, an amount equal to Base Rent and Additional Ren for a period of three (3) months next following the bankruptcy or for such longer period of time as may be allowed by any applicable bankruptcy or insolvency legislation in force from time to time. Furthermore, in the event of Lessee's continued occupancy of the Leased Premises after the filing of a proposal or a notice of intention to file a proposal pursuant to the provisions of the Bankruptcy and Insolvency Act, and any amendments thereto or replacements therefore or under any other insolvency legislation and said continued occupancy commences on a day which is not the first day of any calendar month, any Rent or other amounts payable on a monthly basis hereunder for such month and for any other partial month of the Term shall be calculated on a per diem basis and be paid in advance.</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23.4In the event that the Lessor is required to retain the services of a solicitor to enforce the fulfilment by the Lessee of any obligation undertaken by it under the Lease, then in each such event the Lessor shall be entitled to demand from the Lessee, in addition to and without prejudice to judicial costs otherwise payable by the Lessee, and whether or not judicial proceedings are in fact instituted, an amount equal to all reasonable legal costs, expenses and disbursements incurred by the Lessor to enforce the fulfilment by the Lessee of any such obligation plus the cost of all inspections and environmental assessments, plus all costs incurred to enforce the fulfilment of any such obligation, plus an indemnity equal to FIFTEEN PERCENT (15%) of the amount otherwise owing by the Lessee to the Lessor. Such indemnity is to indemnify the Lessor for additional administrative expenses incurred in connection with the enforced fulfilment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20"/>
          <w:szCs w:val="20"/>
          <w:color w:val="auto"/>
        </w:rPr>
        <w:t>- 26 -</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Lessee of its obligations hereunder. Such legal costs, expenses and disbursements, and such indemnity shall be payable on demand as Additional Rent.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23.5The Lessee hereby waives the provisions of Article 1883 of the </w:t>
      </w:r>
      <w:r>
        <w:rPr>
          <w:rFonts w:ascii="Arial" w:cs="Arial" w:eastAsia="Arial" w:hAnsi="Arial"/>
          <w:sz w:val="20"/>
          <w:szCs w:val="20"/>
          <w:i w:val="1"/>
          <w:iCs w:val="1"/>
          <w:color w:val="auto"/>
        </w:rPr>
        <w:t>Civil Code of Quebec</w:t>
      </w:r>
      <w:r>
        <w:rPr>
          <w:rFonts w:ascii="Arial" w:cs="Arial" w:eastAsia="Arial" w:hAnsi="Arial"/>
          <w:sz w:val="20"/>
          <w:szCs w:val="20"/>
          <w:color w:val="auto"/>
        </w:rPr>
        <w:t>.</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20"/>
          <w:szCs w:val="20"/>
          <w:b w:val="1"/>
          <w:bCs w:val="1"/>
          <w:i w:val="1"/>
          <w:iCs w:val="1"/>
          <w:u w:val="single" w:color="auto"/>
          <w:color w:val="auto"/>
        </w:rPr>
        <w:t>ARTICLE XXIV</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EXPROPRIATION</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24.1If during the Term, the whole or a substantial portion of the Leased Premises is expropriated which renders the remainder of the Leased Premises unsuitable for the purpose intended in this Lease, the Lease shall cease and terminate as of the date on which vacant occupancy of the Leased Premises or the portion thereof in question is required by the expropriating party, and the Lessee shall pay to the Lessor the Rent and all other sums which may be owing by the Lessee to the Lessor pursuant to the Lease to such date.</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24.2In the event that Thirty percent (30%) or more of the Property be expropriated, whether or not the Leased Premises are affected, then the Lessor shall have the right to terminate the Lease as of the date on which vacant occupancy of the Property or the portion thereof in question is required by the expropriating party, provided the Lessor furnishes the Lessee with a one hundred and eighty (180) day prior written notice of such termination. In such event, the Lease shall terminate as of such date and the Lessee shall pay to the Lessor the Rent and all other sums which may be owing by the Lessee to the Lessor pursuant to the Lease to such date. Should the Lessor fail to furnish the Lessee with the aforementioned notice, the Lease shall continue in full force and effect.</w:t>
      </w:r>
    </w:p>
    <w:p>
      <w:pPr>
        <w:spacing w:after="0" w:line="19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24.3If the expropriation of a part of the Leased Premises does not render the remainder of the Leased Premises unsuitable for the purpose intended in this Lease, then the Rent and all other sums payable by the Lessee to the Lessor pursuant to this Lease shall abate from the date on which occupancy of the portion so expropriated is taken by the expropriating party, in the proportion that the area of the part of the Leased Premises so expropriated bears to the area of the entire Leased Premises.</w:t>
      </w:r>
    </w:p>
    <w:p>
      <w:pPr>
        <w:spacing w:after="0" w:line="19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24.4The Lessor and Lessee agree that the entire expropriation proceeds payable in respect of the expropriation of the Leased Premises or any part thereof, or payable in respect of the expropriation of the Property or any part thereof, shall be paid and belong to the Lessor, subject to the provisions of section 24.5 below which may be awarded or recoverable by the Lessee.</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24.5In the event that the expropriation affects the Leased Premises but does not result in the termination of the Lease but yet requires the reconstruction or replacement of some portion of the Leased Premises, such reconstruction or replacement shall be carried out by the Lessor at its expense in a good and workmanlike manner, and as expeditiously as reasonably practical, provided that the cost thereof does not exceed the amount of compensation award payable to the Lessor in respect of the cost of such reconstruction or replacement. The Lessee hereby expressly waives any right or claim to any part thereof. The Lessee shall have the right to claim and to recover from the expropriating authority (though not from the Lessor) such compensation as may be separately awarded or recoverable by the Lessee in its own right on account of any and all damages to the Lessee’s business by reason of such expropriation or on account of any and all costs, losses, disbursements or otherwise which the Lessee may suffer as the result of such expropriation.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0"/>
          <w:szCs w:val="20"/>
          <w:color w:val="auto"/>
        </w:rPr>
        <w:t>- 27 -</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24.6In no event shall the Lessor be liable to the Lessee for any loss or damage caused by expropriation for any reason whatsoever.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XXV</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SECURITY</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25.1The Lessee clearly acknowledges and understands that any security services engaged by the Lessor at the Property are strictly and exclusively for the Lessor itself. Consequently, the Lessee acknowledges that any security services at the Property may be altered or eliminated at any time during the Term and the Lessee acknowledges and agrees that the Lessor shall not in any way be liable for any damages, costs or losses of any nature whatsoever, however caused, including but not limited to due to the fault or negligence of the Lessor or any person for whom it is responsible at law and resulting from any deficiency or failure in the security services in effect for the Property or due to the lack thereof.</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25.2The Lessee undertakes and agrees not to temper with, alter, remove or otherwise disable any and all security equipment in the Leased Premises and in the Property, including, but not limited to fire prevention and detection equipment.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XXVI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RULES AND REGULATIONS</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26.1The Lessee undertakes to observe and apply the regulation appended hereto as Schedule “E”. The Lessor shall have the right, at any time and from time to time, to make or vary such reasonable rules and regulations as may be desirable, in the sole opinion of the Lessor (but not inconsistent with the provisions of this Lease), for the safety, care, cleanliness, operation and maintenance of the Leased Premises, the Parking Area, and the Property, and for the preservation of good order therein provided that such rules and regulations apply to all of the lessees of the Property. The Lessor shall furnish the Lessee with written notice of such rules and regulations, and all such rules and regulations shall be faithfully observed and performed by the Lessee, its employees, agents and representatives. The Lessor shall not be responsible to the Lessee for the non-observance or violation of any such rules or regulations by any other lessee.</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26.2The Lessee covenants with the Lessor that it will not do, or omit to do, or permit to be done or omitted, anything upon or in respect of the Leased Premises, the doing or omission of which (as the case may be) shall be or result in any nuisance, noise, disturbance or discomfort to other lessees, nor shall it create any noxious odours, unreasonable noise, dust, fumes or smoke.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26.3Notwithstanding the foregoing, the Lessor shall ensure that the quiet and peaceful enjoyment of the Leased Premises by the Lessee is not interrupted, disturbed or hindered by demands or claims from the Lessor or from any party for whom the Lessor is in law responsible.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XXVII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MORTGAGES AND SUBORDINATION</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27.1The Lease and all the rights of the Lessee hereunder are and shall be subject and subordinate at all times to any and all mortgages, hypothecs or trust deeds affecting the Property which have been executed or which may at any time hereafter be executed, and any and all extensions and renewals thereof and substitutions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0"/>
          <w:szCs w:val="20"/>
          <w:color w:val="auto"/>
        </w:rPr>
        <w:t>- 28 -</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27.2The Lessee covenants and agrees that if, by reason of default by the Lessor under any hypothec, trust deed or other charge to which the Lease is subject or subordinate, the Lessor’s title is terminated, the Lessee will attorn to the hypothecary creditor or trustee or the acquirer of the Property pursuant to any action taken under any such hypothec, trust deed or other charge and the Lessee will recognize such person as the Lessee’s Lessor under this Lease.</w:t>
      </w:r>
    </w:p>
    <w:p>
      <w:pPr>
        <w:spacing w:after="0" w:line="19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27.3The Lessee agrees to execute and deliver, at any time and from time to time, upon the request of the Lessor or of the holder of any such hypothec, trust deed or other charge, any instrument which may be necessary or appropriate to evidence such attornment. Notwithstanding the foregoing, Lessee’s obligation to execute any such attornment instrument requested by the holder of any such hypothec, trust deed or other charge, shall be conditioned upon Lessee’s receipt of a commercially reasonable non-disturbance agreement.</w:t>
      </w:r>
    </w:p>
    <w:p>
      <w:pPr>
        <w:spacing w:after="0" w:line="19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27.4The Lessee shall upon request of the Lessor furnish to each creditor under a hypothec, trust deed or other charge, a written statement that the Lease is in full force and effect and that the Lessor has complied with all its obligations under the Lease (or state those with which it has not complied) and any other reasonable written statement, document or estoppel certificate requested by any such creditor.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XXVIII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RELEASE OF LESSOR</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28.1In the event of any sale or other alienation of Lessor’s rights in the Property to an arm’s length third party acquirer, the Lessor shall be entirely released and relieved of all covenants and obligations of the Lessor hereunder as of the date of such sale/alienation, provided such acquirer agrees to assume and carry out any and all covenants and obligations of the Lessor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XXIX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AMENDMENT OF LEASE</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29.1No assent or consent to changes in or waiver of any part of this Lease shall be deemed or taken as made unless the same be done in writing and attached or endorsed hereon by the Lessor and the Lessee. No covenant or term of the Lease stipulated in favour of a party hereto shall be waived, except by express written consent of such party, whose forbearance or indulgence in any regard whatsoever shall not constitute a waiver of the covenant, term or condition to be performed by the other party and until complete performance by a party of such covenant, term or condition, the other party shall be entitled to invoke any remedies available under the Lease or by law despite forbearance or indulgence.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NO REPRESENTATIONS OR WARRANTIES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30.1The Lessee agrees that the Lessor has made no representations or warranties to the Lessee whatsoever except as may be provided for in the Lease, and that the Lease constitutes the total agreement between the parties hereto.</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30.2The Lessee acknowledges that the Lease has been freely negotiated by the Lessee, and that it has had the opportunity to engage legal counsel to review the Lease and to advise it prior to the Lessee’s execution of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0"/>
          <w:szCs w:val="20"/>
          <w:color w:val="auto"/>
        </w:rPr>
        <w:t>- 29 -</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30.3Notwithstanding the foregoing, the Lessor hereby represents and guarantees that that the Leased Premises and all building systems therein shall as at the Commencement Date be in good working order and condition.</w:t>
      </w:r>
    </w:p>
    <w:p>
      <w:pPr>
        <w:spacing w:after="0" w:line="19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30.4The signatories hereby declare being duly authorized to sign the present Lease Agreement and bind the company that they represent.</w:t>
      </w:r>
    </w:p>
    <w:p>
      <w:pPr>
        <w:spacing w:after="0" w:line="172" w:lineRule="exact"/>
        <w:rPr>
          <w:sz w:val="20"/>
          <w:szCs w:val="20"/>
          <w:color w:val="auto"/>
        </w:rPr>
      </w:pPr>
    </w:p>
    <w:p>
      <w:pPr>
        <w:ind w:left="4940"/>
        <w:spacing w:after="0"/>
        <w:rPr>
          <w:sz w:val="20"/>
          <w:szCs w:val="20"/>
          <w:color w:val="auto"/>
        </w:rPr>
      </w:pPr>
      <w:r>
        <w:rPr>
          <w:rFonts w:ascii="Arial" w:cs="Arial" w:eastAsia="Arial" w:hAnsi="Arial"/>
          <w:sz w:val="20"/>
          <w:szCs w:val="20"/>
          <w:b w:val="1"/>
          <w:bCs w:val="1"/>
          <w:i w:val="1"/>
          <w:iCs w:val="1"/>
          <w:u w:val="single" w:color="auto"/>
          <w:color w:val="auto"/>
        </w:rPr>
        <w:t>ARTICLE XXXI</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20"/>
          <w:szCs w:val="20"/>
          <w:b w:val="1"/>
          <w:bCs w:val="1"/>
          <w:i w:val="1"/>
          <w:iCs w:val="1"/>
          <w:u w:val="single" w:color="auto"/>
          <w:color w:val="auto"/>
        </w:rPr>
        <w:t>SEVERABILITY</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31.1Should any term or provision of the Lease be deemed illegal, unenforceable, or contrary to public order and good morals, under the laws of the Province of Quebec, such provision(s) shall be considered severable, and the remainder of this Lease and its conditions shall remain in full force and effect as though such provision(s) had never been included.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XXXII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SUCCESSORS AND ASSIGNS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32.1The Lease shall be binding upon, and inure to the benefit of, the respective heirs, successors, administrators and assigns of the Lessor and the Lessee, provided that nothing in this Article shall be construed as permitting the Lessee to sublet, assign or transfer any interest in the Lease other than as specifically provided in the Lease.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XXXIII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FORCE MAJEURE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33.1In the event that either the Lessor or the Lessee shall be delayed or hindered in or prevented from the performance of any act required hereunder by reason of causes beyond the reasonable control of the performing party, including without limitation, strikes; lock-outs; labour troubles; inability to procure materials; failure of power; pandemics; epidemics; restrictive governmental laws or regulations; declarations of a state of emergency by the applicable governmental authority which prevent the Leased Premises from being open; public health emergencies where the Leased Premises are required or recommended by the applicable governmental authority or public health agency having jurisdiction to close along with the closure of other similar businesses within the municipality in which the Leased Premises are located; riots; insurrection; war or acts of war (a “</w:t>
      </w:r>
      <w:r>
        <w:rPr>
          <w:rFonts w:ascii="Arial" w:cs="Arial" w:eastAsia="Arial" w:hAnsi="Arial"/>
          <w:sz w:val="19"/>
          <w:szCs w:val="19"/>
          <w:b w:val="1"/>
          <w:bCs w:val="1"/>
          <w:color w:val="auto"/>
        </w:rPr>
        <w:t>Force</w:t>
      </w:r>
      <w:r>
        <w:rPr>
          <w:rFonts w:ascii="Arial" w:cs="Arial" w:eastAsia="Arial" w:hAnsi="Arial"/>
          <w:sz w:val="19"/>
          <w:szCs w:val="19"/>
          <w:color w:val="auto"/>
        </w:rPr>
        <w:t xml:space="preserve"> </w:t>
      </w:r>
      <w:r>
        <w:rPr>
          <w:rFonts w:ascii="Arial" w:cs="Arial" w:eastAsia="Arial" w:hAnsi="Arial"/>
          <w:sz w:val="19"/>
          <w:szCs w:val="19"/>
          <w:b w:val="1"/>
          <w:bCs w:val="1"/>
          <w:color w:val="auto"/>
        </w:rPr>
        <w:t>Majeure Event</w:t>
      </w:r>
      <w:r>
        <w:rPr>
          <w:rFonts w:ascii="Arial" w:cs="Arial" w:eastAsia="Arial" w:hAnsi="Arial"/>
          <w:sz w:val="19"/>
          <w:szCs w:val="19"/>
          <w:color w:val="auto"/>
        </w:rPr>
        <w:t>”), then performance of such act shall be excused for the period of the delay caused by the Force Majeure Event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period for the performance of any such act shall be extended for a period equivalent to the period of such delay caused by the Force Majeure Event. However, in no event shall financial inability be considered to be a cause of Force Majeure nor shall it permit any delay or waiver of the payment of Base Rent or Additional Rent. Moreover, in the event that the Lessee’s fixturing is delayed due to a Force Majeure for a period of up to 90 days, and provided that the Lessee notifies the Lessor of the Force Majeure Event and takes commercially reasonable action to mitigate any delay, the Fixturing Period shall be extended on a day for day basis, and the Commencement Date and Expiration of the Term (and the dates provided increases in Base Rent as contemplated in section 3.1) shall be extended accordingly. An event or circumstance contemplated in this Section 34.1 shall be deemed not to be an eviction or disturbance of the Lessee’s enjoyment of the Leased Premises and the occurrence thereof shall not render the Lessor liable in damages to the Lessee or entitle the Lessee to claim any diminution in Rent but, upon such occurrence, the Lessor shall without delay take all reasonable steps to terminate the event or circumstance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4" w:name="page205"/>
    <w:bookmarkEnd w:id="204"/>
    <w:p>
      <w:pPr>
        <w:ind w:left="5400"/>
        <w:spacing w:after="0"/>
        <w:rPr>
          <w:sz w:val="20"/>
          <w:szCs w:val="20"/>
          <w:color w:val="auto"/>
        </w:rPr>
      </w:pPr>
      <w:r>
        <w:rPr>
          <w:rFonts w:ascii="Arial" w:cs="Arial" w:eastAsia="Arial" w:hAnsi="Arial"/>
          <w:sz w:val="20"/>
          <w:szCs w:val="20"/>
          <w:color w:val="auto"/>
        </w:rPr>
        <w:t>- 30 -</w:t>
      </w:r>
    </w:p>
    <w:p>
      <w:pPr>
        <w:spacing w:after="0" w:line="178" w:lineRule="exact"/>
        <w:rPr>
          <w:sz w:val="20"/>
          <w:szCs w:val="20"/>
          <w:color w:val="auto"/>
        </w:rPr>
      </w:pPr>
    </w:p>
    <w:p>
      <w:pPr>
        <w:ind w:left="4860"/>
        <w:spacing w:after="0"/>
        <w:rPr>
          <w:sz w:val="20"/>
          <w:szCs w:val="20"/>
          <w:color w:val="auto"/>
        </w:rPr>
      </w:pPr>
      <w:r>
        <w:rPr>
          <w:rFonts w:ascii="Arial" w:cs="Arial" w:eastAsia="Arial" w:hAnsi="Arial"/>
          <w:sz w:val="20"/>
          <w:szCs w:val="20"/>
          <w:b w:val="1"/>
          <w:bCs w:val="1"/>
          <w:i w:val="1"/>
          <w:iCs w:val="1"/>
          <w:u w:val="single" w:color="auto"/>
          <w:color w:val="auto"/>
        </w:rPr>
        <w:t>ARTICLE XXXIV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APPROVAL OF LESSOR</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34.1Wherever the Lessor's consent is required to be given hereunder or wherever the Lessor must approve any act or performance by the Lessee, such consent or approval, as the case may be, shall be given in writing by the Lessor before same shall be deemed to be effective and, shall not be unreasonably withheld, conditioned or delayed.</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u w:val="single" w:color="auto"/>
          <w:color w:val="auto"/>
        </w:rPr>
        <w:t>ARTICLE XXXV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TIME TO BE OF THE ESSENCE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35.1Time shall be of the essence of this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XXXVI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PUBLICATION OF LEASE</w:t>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36.1This Lease shall not be published at length but only by notice pursuant to the provisions of the </w:t>
      </w:r>
      <w:r>
        <w:rPr>
          <w:rFonts w:ascii="Arial" w:cs="Arial" w:eastAsia="Arial" w:hAnsi="Arial"/>
          <w:sz w:val="20"/>
          <w:szCs w:val="20"/>
          <w:i w:val="1"/>
          <w:iCs w:val="1"/>
          <w:color w:val="auto"/>
        </w:rPr>
        <w:t>Civil Code of Quebec</w:t>
      </w:r>
      <w:r>
        <w:rPr>
          <w:rFonts w:ascii="Arial" w:cs="Arial" w:eastAsia="Arial" w:hAnsi="Arial"/>
          <w:sz w:val="20"/>
          <w:szCs w:val="20"/>
          <w:color w:val="auto"/>
        </w:rPr>
        <w:t xml:space="preserve"> and then only if the form and the terms of such notice have first been approved by the Lessor in writing, which approval shall not be unreasonable withheld. The form shall not contain any financial provisions or conditions. All costs of publication shall be assumed by the Lessee. The Lessee shall, at the expiration or earlier termination of this Lease, radiate all registrations of any such notice of lease failing which the Lessor will have the right to cause such radiation and to charge to the Lessee the cost thereof.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XXXVII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SCHEDULES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37.1The Schedules attached to this Lease are included in and form an integral part of this Lease.</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37.2This Lease and such rules and regulations as may be adopted and promulgated by the Lessor and provided to the Lessee, from time to time constitute the entire agreement between the parties.</w:t>
      </w:r>
    </w:p>
    <w:p>
      <w:pPr>
        <w:spacing w:after="0" w:line="172" w:lineRule="exact"/>
        <w:rPr>
          <w:sz w:val="20"/>
          <w:szCs w:val="20"/>
          <w:color w:val="auto"/>
        </w:rPr>
      </w:pPr>
    </w:p>
    <w:p>
      <w:pPr>
        <w:ind w:left="4820"/>
        <w:spacing w:after="0"/>
        <w:rPr>
          <w:sz w:val="20"/>
          <w:szCs w:val="20"/>
          <w:color w:val="auto"/>
        </w:rPr>
      </w:pPr>
      <w:r>
        <w:rPr>
          <w:rFonts w:ascii="Arial" w:cs="Arial" w:eastAsia="Arial" w:hAnsi="Arial"/>
          <w:sz w:val="20"/>
          <w:szCs w:val="20"/>
          <w:b w:val="1"/>
          <w:bCs w:val="1"/>
          <w:i w:val="1"/>
          <w:iCs w:val="1"/>
          <w:u w:val="single" w:color="auto"/>
          <w:color w:val="auto"/>
        </w:rPr>
        <w:t>ARTICLE XXXVIII</w:t>
      </w:r>
    </w:p>
    <w:p>
      <w:pPr>
        <w:spacing w:after="0" w:line="10" w:lineRule="exact"/>
        <w:rPr>
          <w:sz w:val="20"/>
          <w:szCs w:val="20"/>
          <w:color w:val="auto"/>
        </w:rPr>
      </w:pPr>
    </w:p>
    <w:p>
      <w:pPr>
        <w:ind w:left="4780"/>
        <w:spacing w:after="0"/>
        <w:rPr>
          <w:sz w:val="20"/>
          <w:szCs w:val="20"/>
          <w:color w:val="auto"/>
        </w:rPr>
      </w:pPr>
      <w:r>
        <w:rPr>
          <w:rFonts w:ascii="Arial" w:cs="Arial" w:eastAsia="Arial" w:hAnsi="Arial"/>
          <w:sz w:val="20"/>
          <w:szCs w:val="20"/>
          <w:b w:val="1"/>
          <w:bCs w:val="1"/>
          <w:i w:val="1"/>
          <w:iCs w:val="1"/>
          <w:u w:val="single" w:color="auto"/>
          <w:color w:val="auto"/>
        </w:rPr>
        <w:t>INTERPRETATION</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38.1The singular number shall be deemed to include the plural and any gender shall be deemed to include the neuter, masculine or feminine where required. Where there is more than one Lessee, they shall be jointly and solidarily bound to the fulfilment of their obligations hereunder. The headings herein are for convenience only and shall not constitute a part of the Lease. The definition of any words used in any Article of the Lease shall apply to such words when used in any other Article hereof whenever the context is consistent.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XXXIX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GOVERNING LAW</w:t>
      </w:r>
    </w:p>
    <w:p>
      <w:pPr>
        <w:spacing w:after="0" w:line="202"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39.1The Lease shall be construed and governed by the laws of the Province of Quebec and the Parties irrevocably submit to the exclusive jurisdiction of the courts of the Province of Quebec for the settlement of any dispute that may arise in connection with the present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5" w:name="page206"/>
    <w:bookmarkEnd w:id="205"/>
    <w:p>
      <w:pPr>
        <w:ind w:left="5400"/>
        <w:spacing w:after="0"/>
        <w:rPr>
          <w:sz w:val="20"/>
          <w:szCs w:val="20"/>
          <w:color w:val="auto"/>
        </w:rPr>
      </w:pPr>
      <w:r>
        <w:rPr>
          <w:rFonts w:ascii="Arial" w:cs="Arial" w:eastAsia="Arial" w:hAnsi="Arial"/>
          <w:sz w:val="20"/>
          <w:szCs w:val="20"/>
          <w:color w:val="auto"/>
        </w:rPr>
        <w:t>- 31 -</w:t>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20"/>
          <w:szCs w:val="20"/>
          <w:b w:val="1"/>
          <w:bCs w:val="1"/>
          <w:i w:val="1"/>
          <w:iCs w:val="1"/>
          <w:u w:val="single" w:color="auto"/>
          <w:color w:val="auto"/>
        </w:rPr>
        <w:t>ARTICLE XL</w:t>
      </w:r>
    </w:p>
    <w:p>
      <w:pPr>
        <w:spacing w:after="0" w:line="10" w:lineRule="exact"/>
        <w:rPr>
          <w:sz w:val="20"/>
          <w:szCs w:val="20"/>
          <w:color w:val="auto"/>
        </w:rPr>
      </w:pPr>
    </w:p>
    <w:p>
      <w:pPr>
        <w:ind w:left="3260"/>
        <w:spacing w:after="0"/>
        <w:rPr>
          <w:sz w:val="20"/>
          <w:szCs w:val="20"/>
          <w:color w:val="auto"/>
        </w:rPr>
      </w:pPr>
      <w:r>
        <w:rPr>
          <w:rFonts w:ascii="Arial" w:cs="Arial" w:eastAsia="Arial" w:hAnsi="Arial"/>
          <w:sz w:val="20"/>
          <w:szCs w:val="20"/>
          <w:b w:val="1"/>
          <w:bCs w:val="1"/>
          <w:i w:val="1"/>
          <w:iCs w:val="1"/>
          <w:u w:val="single" w:color="auto"/>
          <w:color w:val="auto"/>
        </w:rPr>
        <w:t>LEGAL COSTS AND BROKERAGE COMMISSIONS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40.1The Lessor and the Lessee shall each pay their own legal fees in respect of the negotiation and execution of this Lease.</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40.2The Lessee represents and warrants that no broker, agent or other intermediary was involved in this transaction and in the negotiation and preparation of this Lease. Consequently, the Lessee shall indemnify and hold the Lessor harmless from any action instituted by brokers or agents for payments of fees or commissions associated with the transaction.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XLI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CIVIL CODE WAIVERS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41.1The Lessee hereby waives any rights which it may have or enjoy at any time pursuant to Article 1854 (2</w:t>
      </w:r>
      <w:r>
        <w:rPr>
          <w:rFonts w:ascii="Arial" w:cs="Arial" w:eastAsia="Arial" w:hAnsi="Arial"/>
          <w:sz w:val="13"/>
          <w:szCs w:val="13"/>
          <w:color w:val="auto"/>
        </w:rPr>
        <w:t>nd</w:t>
      </w:r>
      <w:r>
        <w:rPr>
          <w:rFonts w:ascii="Arial" w:cs="Arial" w:eastAsia="Arial" w:hAnsi="Arial"/>
          <w:sz w:val="20"/>
          <w:szCs w:val="20"/>
          <w:color w:val="auto"/>
        </w:rPr>
        <w:t xml:space="preserve"> paragraph), 1859, 1861, 1867 (second paragraph, </w:t>
      </w:r>
      <w:r>
        <w:rPr>
          <w:rFonts w:ascii="Arial" w:cs="Arial" w:eastAsia="Arial" w:hAnsi="Arial"/>
          <w:sz w:val="20"/>
          <w:szCs w:val="20"/>
          <w:i w:val="1"/>
          <w:iCs w:val="1"/>
          <w:color w:val="auto"/>
        </w:rPr>
        <w:t>in</w:t>
      </w:r>
      <w:r>
        <w:rPr>
          <w:rFonts w:ascii="Arial" w:cs="Arial" w:eastAsia="Arial" w:hAnsi="Arial"/>
          <w:sz w:val="20"/>
          <w:szCs w:val="20"/>
          <w:color w:val="auto"/>
        </w:rPr>
        <w:t xml:space="preserve"> fine), 1868 (second paragraph, </w:t>
      </w:r>
      <w:r>
        <w:rPr>
          <w:rFonts w:ascii="Arial" w:cs="Arial" w:eastAsia="Arial" w:hAnsi="Arial"/>
          <w:sz w:val="20"/>
          <w:szCs w:val="20"/>
          <w:i w:val="1"/>
          <w:iCs w:val="1"/>
          <w:color w:val="auto"/>
        </w:rPr>
        <w:t>in</w:t>
      </w:r>
      <w:r>
        <w:rPr>
          <w:rFonts w:ascii="Arial" w:cs="Arial" w:eastAsia="Arial" w:hAnsi="Arial"/>
          <w:sz w:val="20"/>
          <w:szCs w:val="20"/>
          <w:color w:val="auto"/>
        </w:rPr>
        <w:t xml:space="preserve"> fine), 1881 and 1883 of the </w:t>
      </w:r>
      <w:r>
        <w:rPr>
          <w:rFonts w:ascii="Arial" w:cs="Arial" w:eastAsia="Arial" w:hAnsi="Arial"/>
          <w:sz w:val="20"/>
          <w:szCs w:val="20"/>
          <w:i w:val="1"/>
          <w:iCs w:val="1"/>
          <w:color w:val="auto"/>
        </w:rPr>
        <w:t>Civil Code of Quebec</w:t>
      </w:r>
      <w:r>
        <w:rPr>
          <w:rFonts w:ascii="Arial" w:cs="Arial" w:eastAsia="Arial" w:hAnsi="Arial"/>
          <w:sz w:val="20"/>
          <w:szCs w:val="20"/>
          <w:color w:val="auto"/>
        </w:rPr>
        <w:t xml:space="preserve"> or any replacement legislation.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ARTICLE XLII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CONTESTATION OF TAXES</w:t>
      </w:r>
    </w:p>
    <w:p>
      <w:pPr>
        <w:spacing w:after="0" w:line="202"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42.1The Lessor shall have no obligation to contest, appeal, object to or litigate the levying or imposition of any Property Taxes and/or any valuation imposed with respect thereto, and Lessor may settle, compromise, consent to, waive or otherwise determine, in its sole discretion, all matters and things relating thereto.</w:t>
      </w:r>
    </w:p>
    <w:p>
      <w:pPr>
        <w:spacing w:after="0" w:line="173" w:lineRule="exact"/>
        <w:rPr>
          <w:sz w:val="20"/>
          <w:szCs w:val="20"/>
          <w:color w:val="auto"/>
        </w:rPr>
      </w:pPr>
    </w:p>
    <w:p>
      <w:pPr>
        <w:ind w:left="4940"/>
        <w:spacing w:after="0"/>
        <w:rPr>
          <w:sz w:val="20"/>
          <w:szCs w:val="20"/>
          <w:color w:val="auto"/>
        </w:rPr>
      </w:pPr>
      <w:r>
        <w:rPr>
          <w:rFonts w:ascii="Arial" w:cs="Arial" w:eastAsia="Arial" w:hAnsi="Arial"/>
          <w:sz w:val="20"/>
          <w:szCs w:val="20"/>
          <w:b w:val="1"/>
          <w:bCs w:val="1"/>
          <w:i w:val="1"/>
          <w:iCs w:val="1"/>
          <w:u w:val="single" w:color="auto"/>
          <w:color w:val="auto"/>
        </w:rPr>
        <w:t>ARTICLE XLIII</w:t>
      </w:r>
    </w:p>
    <w:p>
      <w:pPr>
        <w:spacing w:after="0" w:line="24" w:lineRule="exact"/>
        <w:rPr>
          <w:sz w:val="20"/>
          <w:szCs w:val="20"/>
          <w:color w:val="auto"/>
        </w:rPr>
      </w:pPr>
    </w:p>
    <w:p>
      <w:pPr>
        <w:ind w:left="4740"/>
        <w:spacing w:after="0"/>
        <w:rPr>
          <w:sz w:val="20"/>
          <w:szCs w:val="20"/>
          <w:color w:val="auto"/>
        </w:rPr>
      </w:pPr>
      <w:r>
        <w:rPr>
          <w:rFonts w:ascii="Arial" w:cs="Arial" w:eastAsia="Arial" w:hAnsi="Arial"/>
          <w:sz w:val="20"/>
          <w:szCs w:val="20"/>
          <w:b w:val="1"/>
          <w:bCs w:val="1"/>
          <w:u w:val="single" w:color="auto"/>
          <w:color w:val="auto"/>
        </w:rPr>
        <w:t>CONFIDENTIALITY</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43.1The parties will maintain all Confidential Information (as hereinafter defined) in confidence and will not disclose such information to any other party without written consent.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includes the terms of this Lease and any and all information whether in oral, written or other form, which is communicated by Lessee to Lessor relating to Lessee’s proposed development and use of the Leased Premises, including but not limited to, architectural plans, specifications, site plans and drawings (regardless of whether such information is labelled as confidential), but shall not include any information:</w:t>
      </w:r>
    </w:p>
    <w:p>
      <w:pPr>
        <w:spacing w:after="0" w:line="199"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43.1.1</w:t>
      </w:r>
      <w:r>
        <w:rPr>
          <w:sz w:val="20"/>
          <w:szCs w:val="20"/>
          <w:color w:val="auto"/>
        </w:rPr>
        <w:tab/>
      </w:r>
      <w:r>
        <w:rPr>
          <w:rFonts w:ascii="Arial" w:cs="Arial" w:eastAsia="Arial" w:hAnsi="Arial"/>
          <w:sz w:val="19"/>
          <w:szCs w:val="19"/>
          <w:color w:val="auto"/>
        </w:rPr>
        <w:t>is in or comes into the public domain otherwise than by any breach of the present Lease;</w:t>
      </w:r>
    </w:p>
    <w:p>
      <w:pPr>
        <w:spacing w:after="0" w:line="202" w:lineRule="exact"/>
        <w:rPr>
          <w:sz w:val="20"/>
          <w:szCs w:val="20"/>
          <w:color w:val="auto"/>
        </w:rPr>
      </w:pPr>
    </w:p>
    <w:p>
      <w:pPr>
        <w:ind w:left="2260" w:hanging="748"/>
        <w:spacing w:after="0" w:line="236" w:lineRule="auto"/>
        <w:tabs>
          <w:tab w:leader="none" w:pos="2240" w:val="left"/>
        </w:tabs>
        <w:rPr>
          <w:sz w:val="20"/>
          <w:szCs w:val="20"/>
          <w:color w:val="auto"/>
        </w:rPr>
      </w:pPr>
      <w:r>
        <w:rPr>
          <w:rFonts w:ascii="Arial" w:cs="Arial" w:eastAsia="Arial" w:hAnsi="Arial"/>
          <w:sz w:val="20"/>
          <w:szCs w:val="20"/>
          <w:color w:val="auto"/>
        </w:rPr>
        <w:t>43.1.2</w:t>
        <w:tab/>
        <w:t>the recipient can show that such information was in its possession by virtue of being recorded in its files or being in its use prior to receipt from the other party; or</w:t>
      </w:r>
    </w:p>
    <w:p>
      <w:pPr>
        <w:spacing w:after="0" w:line="196" w:lineRule="exact"/>
        <w:rPr>
          <w:sz w:val="20"/>
          <w:szCs w:val="20"/>
          <w:color w:val="auto"/>
        </w:rPr>
      </w:pPr>
    </w:p>
    <w:p>
      <w:pPr>
        <w:ind w:left="2260" w:hanging="748"/>
        <w:spacing w:after="0" w:line="236" w:lineRule="auto"/>
        <w:tabs>
          <w:tab w:leader="none" w:pos="2240" w:val="left"/>
        </w:tabs>
        <w:rPr>
          <w:sz w:val="20"/>
          <w:szCs w:val="20"/>
          <w:color w:val="auto"/>
        </w:rPr>
      </w:pPr>
      <w:r>
        <w:rPr>
          <w:rFonts w:ascii="Arial" w:cs="Arial" w:eastAsia="Arial" w:hAnsi="Arial"/>
          <w:sz w:val="20"/>
          <w:szCs w:val="20"/>
          <w:color w:val="auto"/>
        </w:rPr>
        <w:t>43.1.3</w:t>
        <w:tab/>
        <w:t>is received by a party hereto from a third party acting in good faith, legally in possession of such information, without restrictions as to its disclosure or use of the kind provided for by this Lease.</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Confidential Information may be released (i) to the parties’ employees, partners, legal counsel, consultants and lenders who have a reasonable need for such Confidential Information, provided that such individuals agree to maintain the confidential nature of the information; (ii) as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20"/>
          <w:szCs w:val="20"/>
          <w:color w:val="auto"/>
        </w:rPr>
        <w:t>- 32 -</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otherwise be required by law; or (iii) as may be necessary for a party to give effect to or otherwise enforce its rights under the present Lease. This provision will be binding upon execution of this Lease or the Lease is terminated.</w:t>
      </w:r>
    </w:p>
    <w:p>
      <w:pPr>
        <w:spacing w:after="0" w:line="172" w:lineRule="exact"/>
        <w:rPr>
          <w:sz w:val="20"/>
          <w:szCs w:val="20"/>
          <w:color w:val="auto"/>
        </w:rPr>
      </w:pPr>
    </w:p>
    <w:p>
      <w:pPr>
        <w:ind w:left="4940"/>
        <w:spacing w:after="0"/>
        <w:rPr>
          <w:sz w:val="20"/>
          <w:szCs w:val="20"/>
          <w:color w:val="auto"/>
        </w:rPr>
      </w:pPr>
      <w:r>
        <w:rPr>
          <w:rFonts w:ascii="Arial" w:cs="Arial" w:eastAsia="Arial" w:hAnsi="Arial"/>
          <w:sz w:val="20"/>
          <w:szCs w:val="20"/>
          <w:b w:val="1"/>
          <w:bCs w:val="1"/>
          <w:i w:val="1"/>
          <w:iCs w:val="1"/>
          <w:u w:val="single" w:color="auto"/>
          <w:color w:val="auto"/>
        </w:rPr>
        <w:t>ARTICLE XLIV</w:t>
      </w:r>
    </w:p>
    <w:p>
      <w:pPr>
        <w:spacing w:after="0" w:line="10" w:lineRule="exact"/>
        <w:rPr>
          <w:sz w:val="20"/>
          <w:szCs w:val="20"/>
          <w:color w:val="auto"/>
        </w:rPr>
      </w:pPr>
    </w:p>
    <w:p>
      <w:pPr>
        <w:ind w:left="4920"/>
        <w:spacing w:after="0"/>
        <w:rPr>
          <w:sz w:val="20"/>
          <w:szCs w:val="20"/>
          <w:color w:val="auto"/>
        </w:rPr>
      </w:pPr>
      <w:r>
        <w:rPr>
          <w:rFonts w:ascii="Arial" w:cs="Arial" w:eastAsia="Arial" w:hAnsi="Arial"/>
          <w:sz w:val="20"/>
          <w:szCs w:val="20"/>
          <w:b w:val="1"/>
          <w:bCs w:val="1"/>
          <w:i w:val="1"/>
          <w:iCs w:val="1"/>
          <w:u w:val="single" w:color="auto"/>
          <w:color w:val="auto"/>
        </w:rPr>
        <w:t>AUDIT RIGHTS</w:t>
      </w:r>
    </w:p>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44.1Lessee will have the right to audit the Operating Expenses and the Property Taxes. Lessee will initiate any audit by giving written notice to Lessor of Lessee’s intent to audit. Lessee's notice shall be given within ninety (90) days after Lessee's receipt from Lessor of (i) an annual recalculation of the Operating Expenses and the Property Taxes, and (ii) Lessor's notice to Lessee stating the Operating Expenses and Property Taxes for any calendar year and the audit shall occur within one hundred and twenty (120) days after Lessor’s receipt of Lessee’s written notice, failing which Lessee shall be prescribed from auditing the period in question and shall be deemed to have accepted Lessor’s calculations. Lessee's audit may be conducted only by employees or consultants of Lessee or chartered accountants retained by the Lessee for such purposes, and under no circumstances shall same be conducted by any person or entity acting on a success or recovery basis. Lessee shall provide Lessor with a copy of the audit within thirty (30) business days of receipt. Where the Lessor disagrees with any results of such audit, and the parties are unable to settle same within thirty (30) business days following Lessor’s receipt thereof, then in such case, Lessor may, at any time within ten (10) business days following expiry of the aforesaid thirty (30) business day period, submit the unsettled or disputed matters for determination to a national or regional firm of chartered accountants who otherwise act for neither Lessor or Lessee for final determination, and the decision of such chartered accountants shall be binding upon the parties. The fees of such accountants shall be borne by the unsuccessful party. If the audit, finally determined, determines that Lessee overpaid Operating Expenses and/or Property Taxes, Lessor will immediately reimburse Lessee for the expenses that Lessee paid in excess of the audited Operating Expenses and Property Taxes and will reimburse the Lessee’s reasonable expenses for conducting such audit in the event Lessee paid an amount of five percent (5%) or greater than the amount of the Operating Expenses Lessee should have paid. If the audit determines that Lessee underpaid the Operating Expenses and/or Property Taxes, Lessee will make payment to Lessor within thirty (30) days of Lessee’s receipt of the audit.</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20"/>
          <w:szCs w:val="20"/>
          <w:b w:val="1"/>
          <w:bCs w:val="1"/>
          <w:i w:val="1"/>
          <w:iCs w:val="1"/>
          <w:u w:val="single" w:color="auto"/>
          <w:color w:val="auto"/>
        </w:rPr>
        <w:t>ARTICLE XLV</w:t>
      </w:r>
    </w:p>
    <w:p>
      <w:pPr>
        <w:spacing w:after="0" w:line="24" w:lineRule="exact"/>
        <w:rPr>
          <w:sz w:val="20"/>
          <w:szCs w:val="20"/>
          <w:color w:val="auto"/>
        </w:rPr>
      </w:pPr>
    </w:p>
    <w:p>
      <w:pPr>
        <w:ind w:left="3280"/>
        <w:spacing w:after="0"/>
        <w:rPr>
          <w:sz w:val="20"/>
          <w:szCs w:val="20"/>
          <w:color w:val="auto"/>
        </w:rPr>
      </w:pPr>
      <w:r>
        <w:rPr>
          <w:rFonts w:ascii="Arial" w:cs="Arial" w:eastAsia="Arial" w:hAnsi="Arial"/>
          <w:sz w:val="20"/>
          <w:szCs w:val="20"/>
          <w:b w:val="1"/>
          <w:bCs w:val="1"/>
          <w:i w:val="1"/>
          <w:iCs w:val="1"/>
          <w:u w:val="single" w:color="auto"/>
          <w:color w:val="auto"/>
        </w:rPr>
        <w:t>LANGUAGE DECLARATION</w:t>
      </w:r>
    </w:p>
    <w:p>
      <w:pPr>
        <w:spacing w:after="0" w:line="18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20"/>
          <w:szCs w:val="20"/>
          <w:color w:val="auto"/>
        </w:rPr>
        <w:t>The Parties hereto have requested that the present Agreement of Lease be drawn up in the English language.</w:t>
      </w:r>
    </w:p>
    <w:p>
      <w:pPr>
        <w:spacing w:after="0"/>
        <w:rPr>
          <w:sz w:val="20"/>
          <w:szCs w:val="20"/>
          <w:color w:val="auto"/>
        </w:rPr>
      </w:pPr>
      <w:r>
        <w:rPr>
          <w:rFonts w:ascii="Arial" w:cs="Arial" w:eastAsia="Arial" w:hAnsi="Arial"/>
          <w:sz w:val="20"/>
          <w:szCs w:val="20"/>
          <w:i w:val="1"/>
          <w:iCs w:val="1"/>
          <w:color w:val="auto"/>
        </w:rPr>
        <w:t>Les Parties aux présentes ont exigé que la présente Convention de Bail soit rédigée dans la langue anglaise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16" w:lineRule="auto"/>
        <w:rPr>
          <w:sz w:val="20"/>
          <w:szCs w:val="20"/>
          <w:color w:val="auto"/>
        </w:rPr>
      </w:pPr>
      <w:r>
        <w:rPr>
          <w:rFonts w:ascii="Arial" w:cs="Arial" w:eastAsia="Arial" w:hAnsi="Arial"/>
          <w:sz w:val="20"/>
          <w:szCs w:val="20"/>
          <w:b w:val="1"/>
          <w:bCs w:val="1"/>
          <w:i w:val="1"/>
          <w:iCs w:val="1"/>
          <w:color w:val="auto"/>
        </w:rPr>
        <w:t>IN WITNESS WHEREOF</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hereto have signed these presents at Montreal , Province of Quebec, on the 1</w:t>
      </w:r>
      <w:r>
        <w:rPr>
          <w:rFonts w:ascii="Arial" w:cs="Arial" w:eastAsia="Arial" w:hAnsi="Arial"/>
          <w:sz w:val="26"/>
          <w:szCs w:val="26"/>
          <w:u w:val="single" w:color="auto"/>
          <w:color w:val="auto"/>
          <w:vertAlign w:val="superscript"/>
        </w:rPr>
        <w:t>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of January 20</w:t>
      </w:r>
      <w:r>
        <w:rPr>
          <w:rFonts w:ascii="Arial" w:cs="Arial" w:eastAsia="Arial" w:hAnsi="Arial"/>
          <w:sz w:val="20"/>
          <w:szCs w:val="20"/>
          <w:u w:val="single" w:color="auto"/>
          <w:color w:val="auto"/>
        </w:rPr>
        <w:t>23</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662940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-163830</wp:posOffset>
            </wp:positionV>
            <wp:extent cx="7842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784225"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-163830</wp:posOffset>
            </wp:positionV>
            <wp:extent cx="3873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38735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-26670</wp:posOffset>
            </wp:positionV>
            <wp:extent cx="6216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0"/>
          <w:szCs w:val="20"/>
          <w:color w:val="auto"/>
        </w:rPr>
        <w:t>- 33 -</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NEOMED INSTITUTE</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(LESSOR)</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PER</w:t>
            </w:r>
            <w:r>
              <w:rPr>
                <w:rFonts w:ascii="Arial" w:cs="Arial" w:eastAsia="Arial" w:hAnsi="Arial"/>
                <w:sz w:val="20"/>
                <w:szCs w:val="20"/>
                <w:color w:val="auto"/>
              </w:rPr>
              <w:t>:</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Matthew Carlyle</w:t>
            </w:r>
          </w:p>
        </w:tc>
      </w:tr>
      <w:tr>
        <w:trPr>
          <w:trHeight w:val="490"/>
        </w:trPr>
        <w:tc>
          <w:tcPr>
            <w:tcW w:w="1220" w:type="dxa"/>
            <w:vAlign w:val="bottom"/>
          </w:tcPr>
          <w:p>
            <w:pPr>
              <w:ind w:left="100"/>
              <w:spacing w:after="0"/>
              <w:rPr>
                <w:sz w:val="20"/>
                <w:szCs w:val="20"/>
                <w:color w:val="auto"/>
              </w:rPr>
            </w:pPr>
            <w:r>
              <w:rPr>
                <w:rFonts w:ascii="Arial" w:cs="Arial" w:eastAsia="Arial" w:hAnsi="Arial"/>
                <w:sz w:val="20"/>
                <w:szCs w:val="20"/>
                <w:color w:val="auto"/>
              </w:rPr>
              <w:t>Name:</w:t>
            </w:r>
          </w:p>
        </w:tc>
        <w:tc>
          <w:tcPr>
            <w:tcW w:w="4400" w:type="dxa"/>
            <w:vAlign w:val="bottom"/>
          </w:tcPr>
          <w:p>
            <w:pPr>
              <w:ind w:left="100"/>
              <w:spacing w:after="0"/>
              <w:rPr>
                <w:sz w:val="20"/>
                <w:szCs w:val="20"/>
                <w:color w:val="auto"/>
              </w:rPr>
            </w:pPr>
            <w:r>
              <w:rPr>
                <w:rFonts w:ascii="Arial" w:cs="Arial" w:eastAsia="Arial" w:hAnsi="Arial"/>
                <w:sz w:val="20"/>
                <w:szCs w:val="20"/>
                <w:color w:val="auto"/>
              </w:rPr>
              <w:t>Matthew Carlyle</w:t>
            </w:r>
          </w:p>
        </w:tc>
      </w:tr>
      <w:tr>
        <w:trPr>
          <w:trHeight w:val="243"/>
        </w:trPr>
        <w:tc>
          <w:tcPr>
            <w:tcW w:w="1220" w:type="dxa"/>
            <w:vAlign w:val="bottom"/>
          </w:tcPr>
          <w:p>
            <w:pPr>
              <w:ind w:left="100"/>
              <w:spacing w:after="0"/>
              <w:rPr>
                <w:sz w:val="20"/>
                <w:szCs w:val="20"/>
                <w:color w:val="auto"/>
              </w:rPr>
            </w:pPr>
            <w:r>
              <w:rPr>
                <w:rFonts w:ascii="Arial" w:cs="Arial" w:eastAsia="Arial" w:hAnsi="Arial"/>
                <w:sz w:val="20"/>
                <w:szCs w:val="20"/>
                <w:color w:val="auto"/>
              </w:rPr>
              <w:t>Title:</w:t>
            </w:r>
          </w:p>
        </w:tc>
        <w:tc>
          <w:tcPr>
            <w:tcW w:w="4400" w:type="dxa"/>
            <w:vAlign w:val="bottom"/>
          </w:tcPr>
          <w:p>
            <w:pPr>
              <w:ind w:left="100"/>
              <w:spacing w:after="0"/>
              <w:rPr>
                <w:sz w:val="20"/>
                <w:szCs w:val="20"/>
                <w:color w:val="auto"/>
              </w:rPr>
            </w:pPr>
            <w:r>
              <w:rPr>
                <w:rFonts w:ascii="Arial" w:cs="Arial" w:eastAsia="Arial" w:hAnsi="Arial"/>
                <w:sz w:val="20"/>
                <w:szCs w:val="20"/>
                <w:color w:val="auto"/>
              </w:rPr>
              <w:t>EVP &amp; CFO</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REPARE THERAPEUTICS INC</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(LESSEE)</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PER</w:t>
            </w:r>
            <w:r>
              <w:rPr>
                <w:rFonts w:ascii="Arial" w:cs="Arial" w:eastAsia="Arial" w:hAnsi="Arial"/>
                <w:sz w:val="20"/>
                <w:szCs w:val="20"/>
                <w:color w:val="auto"/>
              </w:rPr>
              <w:t>:</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Christopher Kendall</w:t>
            </w:r>
          </w:p>
        </w:tc>
        <w:tc>
          <w:tcPr>
            <w:tcW w:w="5620" w:type="dxa"/>
            <w:vAlign w:val="bottom"/>
          </w:tcPr>
          <w:p>
            <w:pPr>
              <w:spacing w:after="0"/>
              <w:rPr>
                <w:sz w:val="22"/>
                <w:szCs w:val="22"/>
                <w:color w:val="auto"/>
              </w:rPr>
            </w:pPr>
          </w:p>
        </w:tc>
      </w:tr>
      <w:tr>
        <w:trPr>
          <w:trHeight w:val="490"/>
        </w:trPr>
        <w:tc>
          <w:tcPr>
            <w:tcW w:w="1220" w:type="dxa"/>
            <w:vAlign w:val="bottom"/>
          </w:tcPr>
          <w:p>
            <w:pPr>
              <w:ind w:left="100"/>
              <w:spacing w:after="0"/>
              <w:rPr>
                <w:sz w:val="20"/>
                <w:szCs w:val="20"/>
                <w:color w:val="auto"/>
              </w:rPr>
            </w:pPr>
            <w:r>
              <w:rPr>
                <w:rFonts w:ascii="Arial" w:cs="Arial" w:eastAsia="Arial" w:hAnsi="Arial"/>
                <w:sz w:val="20"/>
                <w:szCs w:val="20"/>
                <w:color w:val="auto"/>
              </w:rPr>
              <w:t>Name:</w:t>
            </w:r>
          </w:p>
        </w:tc>
        <w:tc>
          <w:tcPr>
            <w:tcW w:w="4400" w:type="dxa"/>
            <w:vAlign w:val="bottom"/>
          </w:tcPr>
          <w:p>
            <w:pPr>
              <w:ind w:left="100"/>
              <w:spacing w:after="0"/>
              <w:rPr>
                <w:sz w:val="20"/>
                <w:szCs w:val="20"/>
                <w:color w:val="auto"/>
              </w:rPr>
            </w:pPr>
            <w:r>
              <w:rPr>
                <w:rFonts w:ascii="Arial" w:cs="Arial" w:eastAsia="Arial" w:hAnsi="Arial"/>
                <w:sz w:val="20"/>
                <w:szCs w:val="20"/>
                <w:color w:val="auto"/>
              </w:rPr>
              <w:t>Christopher Kendall</w:t>
            </w:r>
          </w:p>
        </w:tc>
        <w:tc>
          <w:tcPr>
            <w:tcW w:w="5620" w:type="dxa"/>
            <w:vAlign w:val="bottom"/>
          </w:tcPr>
          <w:p>
            <w:pPr>
              <w:spacing w:after="0"/>
              <w:rPr>
                <w:sz w:val="24"/>
                <w:szCs w:val="24"/>
                <w:color w:val="auto"/>
              </w:rPr>
            </w:pPr>
          </w:p>
        </w:tc>
      </w:tr>
      <w:tr>
        <w:trPr>
          <w:trHeight w:val="243"/>
        </w:trPr>
        <w:tc>
          <w:tcPr>
            <w:tcW w:w="1220" w:type="dxa"/>
            <w:vAlign w:val="bottom"/>
          </w:tcPr>
          <w:p>
            <w:pPr>
              <w:ind w:left="100"/>
              <w:spacing w:after="0"/>
              <w:rPr>
                <w:sz w:val="20"/>
                <w:szCs w:val="20"/>
                <w:color w:val="auto"/>
              </w:rPr>
            </w:pPr>
            <w:r>
              <w:rPr>
                <w:rFonts w:ascii="Arial" w:cs="Arial" w:eastAsia="Arial" w:hAnsi="Arial"/>
                <w:sz w:val="20"/>
                <w:szCs w:val="20"/>
                <w:color w:val="auto"/>
              </w:rPr>
              <w:t>Title:</w:t>
            </w:r>
          </w:p>
        </w:tc>
        <w:tc>
          <w:tcPr>
            <w:tcW w:w="4400" w:type="dxa"/>
            <w:vAlign w:val="bottom"/>
          </w:tcPr>
          <w:p>
            <w:pPr>
              <w:ind w:left="100"/>
              <w:spacing w:after="0"/>
              <w:rPr>
                <w:sz w:val="20"/>
                <w:szCs w:val="20"/>
                <w:color w:val="auto"/>
              </w:rPr>
            </w:pPr>
            <w:r>
              <w:rPr>
                <w:rFonts w:ascii="Arial" w:cs="Arial" w:eastAsia="Arial" w:hAnsi="Arial"/>
                <w:sz w:val="20"/>
                <w:szCs w:val="20"/>
                <w:color w:val="auto"/>
              </w:rPr>
              <w:t>VP Finance &amp; FP&amp;A</w:t>
            </w:r>
          </w:p>
        </w:tc>
        <w:tc>
          <w:tcPr>
            <w:tcW w:w="5620" w:type="dxa"/>
            <w:vAlign w:val="bottom"/>
          </w:tcPr>
          <w:p>
            <w:pPr>
              <w:spacing w:after="0"/>
              <w:rPr>
                <w:sz w:val="21"/>
                <w:szCs w:val="21"/>
                <w:color w:val="auto"/>
              </w:rPr>
            </w:pPr>
          </w:p>
        </w:tc>
      </w:tr>
      <w:tr>
        <w:trPr>
          <w:trHeight w:val="1353"/>
        </w:trPr>
        <w:tc>
          <w:tcPr>
            <w:tcW w:w="12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8" w:name="page209"/>
    <w:bookmarkEnd w:id="208"/>
    <w:p>
      <w:pPr>
        <w:ind w:left="488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499"/>
        <w:spacing w:after="0"/>
        <w:rPr>
          <w:sz w:val="20"/>
          <w:szCs w:val="20"/>
          <w:color w:val="auto"/>
        </w:rPr>
      </w:pPr>
      <w:r>
        <w:rPr>
          <w:rFonts w:ascii="Arial" w:cs="Arial" w:eastAsia="Arial" w:hAnsi="Arial"/>
          <w:sz w:val="20"/>
          <w:szCs w:val="20"/>
          <w:b w:val="1"/>
          <w:bCs w:val="1"/>
          <w:color w:val="auto"/>
        </w:rPr>
        <w:t>AUTOMATIC WITHDRAWAL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N/A – already on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20"/>
          <w:szCs w:val="20"/>
          <w:color w:val="auto"/>
        </w:rPr>
        <w:t>- 35 -</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SCHEDULE “B”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 OF LEASED PREMISES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681990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20"/>
          <w:szCs w:val="20"/>
          <w:b w:val="1"/>
          <w:bCs w:val="1"/>
          <w:u w:val="single" w:color="auto"/>
          <w:color w:val="auto"/>
        </w:rPr>
        <w:t>SCHEDULE “B”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 OF LEASED PREMISES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Ground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887730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20"/>
          <w:szCs w:val="20"/>
          <w:color w:val="auto"/>
        </w:rPr>
        <w:t>- 37 -</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SCHEDULE “C”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 OF PARKING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688975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20"/>
          <w:szCs w:val="20"/>
          <w:b w:val="1"/>
          <w:bCs w:val="1"/>
          <w:u w:val="single" w:color="auto"/>
          <w:color w:val="auto"/>
        </w:rPr>
        <w:t>SCHEDULE “D”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LESSOR’S WORK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681990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3" w:name="page214"/>
    <w:bookmarkEnd w:id="213"/>
    <w:p>
      <w:pPr>
        <w:jc w:val="center"/>
        <w:ind w:right="-1120"/>
        <w:spacing w:after="0"/>
        <w:rPr>
          <w:sz w:val="20"/>
          <w:szCs w:val="20"/>
          <w:color w:val="auto"/>
        </w:rPr>
      </w:pPr>
      <w:r>
        <w:rPr>
          <w:rFonts w:ascii="Arial" w:cs="Arial" w:eastAsia="Arial" w:hAnsi="Arial"/>
          <w:sz w:val="20"/>
          <w:szCs w:val="20"/>
          <w:b w:val="1"/>
          <w:bCs w:val="1"/>
          <w:u w:val="single" w:color="auto"/>
          <w:color w:val="auto"/>
        </w:rPr>
        <w:t>SCHEDULE “E”</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Rules and Regulations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attached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20"/>
          <w:szCs w:val="20"/>
          <w:b w:val="1"/>
          <w:bCs w:val="1"/>
          <w:u w:val="single" w:color="auto"/>
          <w:color w:val="auto"/>
        </w:rPr>
        <w:t>SCHEDULE “F”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Square Footage of Leased Premises</w:t>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372"/>
        </w:trPr>
        <w:tc>
          <w:tcPr>
            <w:tcW w:w="37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Room #</w:t>
            </w:r>
          </w:p>
        </w:tc>
        <w:tc>
          <w:tcPr>
            <w:tcW w:w="3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Room Type</w:t>
            </w:r>
          </w:p>
        </w:tc>
        <w:tc>
          <w:tcPr>
            <w:tcW w:w="374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20"/>
                <w:szCs w:val="20"/>
                <w:b w:val="1"/>
                <w:bCs w:val="1"/>
                <w:color w:val="auto"/>
              </w:rPr>
              <w:t>Square feet</w:t>
            </w:r>
          </w:p>
        </w:tc>
      </w:tr>
      <w:tr>
        <w:trPr>
          <w:trHeight w:val="101"/>
        </w:trPr>
        <w:tc>
          <w:tcPr>
            <w:tcW w:w="3780" w:type="dxa"/>
            <w:vAlign w:val="bottom"/>
            <w:tcBorders>
              <w:left w:val="single" w:sz="8" w:color="auto"/>
              <w:bottom w:val="single" w:sz="8" w:color="auto"/>
              <w:right w:val="single" w:sz="8" w:color="auto"/>
            </w:tcBorders>
          </w:tcPr>
          <w:p>
            <w:pPr>
              <w:spacing w:after="0"/>
              <w:rPr>
                <w:sz w:val="8"/>
                <w:szCs w:val="8"/>
                <w:color w:val="auto"/>
              </w:rPr>
            </w:pPr>
          </w:p>
        </w:tc>
        <w:tc>
          <w:tcPr>
            <w:tcW w:w="372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52"/>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1208</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237</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1210</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331</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2116</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83</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2215</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 in lab suite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97</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2216</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 in lab suite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97</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2217</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Biology lab</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321</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2218</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 in lab suite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97</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2219</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 in lab suite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97</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2232</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Vivarium</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156</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2233</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Vivarium</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156</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2251</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Vivarium</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212</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2272</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Biology lab</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530</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2208A</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Biology lab</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159</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9"/>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2208B</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Biology lab</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195</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2220A</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 in lab suite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78</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2220B</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Office in lab suite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180</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2232A</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Vivarium</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149</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2243AL</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Vivarium</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119</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2243L</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Vivarium</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151</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348"/>
        </w:trPr>
        <w:tc>
          <w:tcPr>
            <w:tcW w:w="37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tcPr>
          <w:p>
            <w:pPr>
              <w:ind w:left="1620"/>
              <w:spacing w:after="0"/>
              <w:rPr>
                <w:sz w:val="20"/>
                <w:szCs w:val="20"/>
                <w:color w:val="auto"/>
              </w:rPr>
            </w:pPr>
            <w:r>
              <w:rPr>
                <w:rFonts w:ascii="Arial" w:cs="Arial" w:eastAsia="Arial" w:hAnsi="Arial"/>
                <w:sz w:val="20"/>
                <w:szCs w:val="20"/>
                <w:b w:val="1"/>
                <w:bCs w:val="1"/>
                <w:color w:val="auto"/>
              </w:rPr>
              <w:t>Total</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3445</w:t>
            </w:r>
          </w:p>
        </w:tc>
      </w:tr>
      <w:tr>
        <w:trPr>
          <w:trHeight w:val="104"/>
        </w:trPr>
        <w:tc>
          <w:tcPr>
            <w:tcW w:w="3780" w:type="dxa"/>
            <w:vAlign w:val="bottom"/>
            <w:tcBorders>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r>
      <w:tr>
        <w:trPr>
          <w:trHeight w:val="432"/>
        </w:trPr>
        <w:tc>
          <w:tcPr>
            <w:tcW w:w="37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10.33</w:t>
      </w:r>
    </w:p>
    <w:p>
      <w:pPr>
        <w:spacing w:after="0" w:line="194" w:lineRule="exact"/>
        <w:rPr>
          <w:sz w:val="20"/>
          <w:szCs w:val="20"/>
          <w:color w:val="auto"/>
        </w:rPr>
      </w:pPr>
    </w:p>
    <w:p>
      <w:pPr>
        <w:ind w:left="2200" w:hanging="368"/>
        <w:spacing w:after="0"/>
        <w:tabs>
          <w:tab w:leader="none" w:pos="220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Certain information in this document has been omitted from this exhibit because it is both (i) not material and</w:t>
      </w:r>
    </w:p>
    <w:p>
      <w:pPr>
        <w:spacing w:after="0" w:line="5" w:lineRule="exact"/>
        <w:rPr>
          <w:rFonts w:ascii="Arial" w:cs="Arial" w:eastAsia="Arial" w:hAnsi="Arial"/>
          <w:sz w:val="15"/>
          <w:szCs w:val="15"/>
          <w:b w:val="1"/>
          <w:bCs w:val="1"/>
          <w:color w:val="auto"/>
        </w:rPr>
      </w:pPr>
    </w:p>
    <w:p>
      <w:pPr>
        <w:ind w:left="3260" w:hanging="224"/>
        <w:spacing w:after="0"/>
        <w:tabs>
          <w:tab w:leader="none" w:pos="3260" w:val="left"/>
        </w:tabs>
        <w:numPr>
          <w:ilvl w:val="1"/>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136130" cy="2355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7136130" cy="23558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RESEARCH SERVICES, LICENSE AND COLLABORATION AGREEMENT</w:t>
      </w:r>
    </w:p>
    <w:p>
      <w:pPr>
        <w:spacing w:after="0" w:line="16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This Second Amendment to Research Services, License and Collaboration Agreement (this “</w:t>
      </w:r>
      <w:r>
        <w:rPr>
          <w:rFonts w:ascii="Arial" w:cs="Arial" w:eastAsia="Arial" w:hAnsi="Arial"/>
          <w:sz w:val="20"/>
          <w:szCs w:val="20"/>
          <w:b w:val="1"/>
          <w:bCs w:val="1"/>
          <w:color w:val="auto"/>
        </w:rPr>
        <w:t>Second Amendment</w:t>
      </w:r>
      <w:r>
        <w:rPr>
          <w:rFonts w:ascii="Arial" w:cs="Arial" w:eastAsia="Arial" w:hAnsi="Arial"/>
          <w:sz w:val="20"/>
          <w:szCs w:val="20"/>
          <w:color w:val="auto"/>
        </w:rPr>
        <w:t>”) is entered into as of January 31, 2023 (the “</w:t>
      </w:r>
      <w:r>
        <w:rPr>
          <w:rFonts w:ascii="Arial" w:cs="Arial" w:eastAsia="Arial" w:hAnsi="Arial"/>
          <w:sz w:val="20"/>
          <w:szCs w:val="20"/>
          <w:b w:val="1"/>
          <w:bCs w:val="1"/>
          <w:color w:val="auto"/>
        </w:rPr>
        <w:t>Second Amendment Effective Date</w:t>
      </w:r>
      <w:r>
        <w:rPr>
          <w:rFonts w:ascii="Arial" w:cs="Arial" w:eastAsia="Arial" w:hAnsi="Arial"/>
          <w:sz w:val="20"/>
          <w:szCs w:val="20"/>
          <w:color w:val="auto"/>
        </w:rPr>
        <w:t>”) by and between Repare Therapeutics, Inc., a corporation organized and existing under the laws of Canada and having its principal place of business at 7210 Frederick-Banting, St-Laurent, Quebec, H4S 2A1, Canada (“</w:t>
      </w:r>
      <w:r>
        <w:rPr>
          <w:rFonts w:ascii="Arial" w:cs="Arial" w:eastAsia="Arial" w:hAnsi="Arial"/>
          <w:sz w:val="20"/>
          <w:szCs w:val="20"/>
          <w:b w:val="1"/>
          <w:bCs w:val="1"/>
          <w:color w:val="auto"/>
        </w:rPr>
        <w:t>Repare</w:t>
      </w:r>
      <w:r>
        <w:rPr>
          <w:rFonts w:ascii="Arial" w:cs="Arial" w:eastAsia="Arial" w:hAnsi="Arial"/>
          <w:sz w:val="20"/>
          <w:szCs w:val="20"/>
          <w:color w:val="auto"/>
        </w:rPr>
        <w:t>”) and Ono Pharmaceutical Co., Ltd., a corporation organized and existing under the laws of Japan and having an address of 8-2, Kyutaromachi 1-chome, Chuo-ku, Osaka 541-8564, Japan (“</w:t>
      </w:r>
      <w:r>
        <w:rPr>
          <w:rFonts w:ascii="Arial" w:cs="Arial" w:eastAsia="Arial" w:hAnsi="Arial"/>
          <w:sz w:val="20"/>
          <w:szCs w:val="20"/>
          <w:b w:val="1"/>
          <w:bCs w:val="1"/>
          <w:color w:val="auto"/>
        </w:rPr>
        <w:t>Ono</w:t>
      </w:r>
      <w:r>
        <w:rPr>
          <w:rFonts w:ascii="Arial" w:cs="Arial" w:eastAsia="Arial" w:hAnsi="Arial"/>
          <w:sz w:val="20"/>
          <w:szCs w:val="20"/>
          <w:color w:val="auto"/>
        </w:rPr>
        <w:t>”). Repare and Ono may each be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5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WHEREAS, Repare and Ono entered into that certain Research Services, License and Collaboration Agreement, dated as of January 31, 2019, as amended by First Amendment, dated as of October 29, 2021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3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WHEREAS, the Parties wish to amend the Agreement to extend the Research Term and revise the Licensed Drug Candidate selection process;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NOW, THEREFORE, the Parties, intending to be legally bound, hereby agree as follows:</w:t>
      </w:r>
    </w:p>
    <w:p>
      <w:pPr>
        <w:spacing w:after="0" w:line="175" w:lineRule="exact"/>
        <w:rPr>
          <w:sz w:val="20"/>
          <w:szCs w:val="20"/>
          <w:color w:val="auto"/>
        </w:rPr>
      </w:pPr>
    </w:p>
    <w:p>
      <w:pPr>
        <w:ind w:left="760" w:hanging="378"/>
        <w:spacing w:after="0" w:line="260" w:lineRule="auto"/>
        <w:tabs>
          <w:tab w:leader="none" w:pos="7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Capitalized terms used in this Second Amendment that are not defined herein shall have the meanings ascribed to them in the Agreement.</w:t>
      </w:r>
    </w:p>
    <w:p>
      <w:pPr>
        <w:spacing w:after="0" w:line="136" w:lineRule="exact"/>
        <w:rPr>
          <w:rFonts w:ascii="Arial" w:cs="Arial" w:eastAsia="Arial" w:hAnsi="Arial"/>
          <w:sz w:val="20"/>
          <w:szCs w:val="20"/>
          <w:color w:val="auto"/>
        </w:rPr>
      </w:pPr>
    </w:p>
    <w:p>
      <w:pPr>
        <w:ind w:left="760" w:hanging="378"/>
        <w:spacing w:after="0"/>
        <w:tabs>
          <w:tab w:leader="none" w:pos="7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Section 1.142 of the Agreement is hereby deleted in its entirety and replaced with the following:</w:t>
      </w:r>
    </w:p>
    <w:p>
      <w:pPr>
        <w:spacing w:after="0" w:line="182" w:lineRule="exact"/>
        <w:rPr>
          <w:rFonts w:ascii="Arial" w:cs="Arial" w:eastAsia="Arial" w:hAnsi="Arial"/>
          <w:sz w:val="20"/>
          <w:szCs w:val="20"/>
          <w:color w:val="auto"/>
        </w:rPr>
      </w:pPr>
    </w:p>
    <w:p>
      <w:pPr>
        <w:jc w:val="both"/>
        <w:ind w:left="760"/>
        <w:spacing w:after="0" w:line="253" w:lineRule="auto"/>
        <w:rPr>
          <w:rFonts w:ascii="Arial" w:cs="Arial" w:eastAsia="Arial" w:hAnsi="Arial"/>
          <w:sz w:val="20"/>
          <w:szCs w:val="20"/>
          <w:color w:val="auto"/>
        </w:rPr>
      </w:pPr>
      <w:r>
        <w:rPr>
          <w:rFonts w:ascii="Arial" w:cs="Arial" w:eastAsia="Arial" w:hAnsi="Arial"/>
          <w:sz w:val="20"/>
          <w:szCs w:val="20"/>
          <w:color w:val="auto"/>
        </w:rPr>
        <w:t>1.142 “</w:t>
      </w:r>
      <w:r>
        <w:rPr>
          <w:rFonts w:ascii="Arial" w:cs="Arial" w:eastAsia="Arial" w:hAnsi="Arial"/>
          <w:sz w:val="20"/>
          <w:szCs w:val="20"/>
          <w:b w:val="1"/>
          <w:bCs w:val="1"/>
          <w:color w:val="auto"/>
        </w:rPr>
        <w:t>Research Term</w:t>
      </w:r>
      <w:r>
        <w:rPr>
          <w:rFonts w:ascii="Arial" w:cs="Arial" w:eastAsia="Arial" w:hAnsi="Arial"/>
          <w:sz w:val="20"/>
          <w:szCs w:val="20"/>
          <w:color w:val="auto"/>
        </w:rPr>
        <w:t>” means the period commencing on the Effective Date and ending upon the earlier of (a) July 31, 2023, or (b) the date of submission of the first IND in the United States or in Japan. Any extension of the Research Term will require the mutual written agreement of both Parties.</w:t>
      </w:r>
    </w:p>
    <w:p>
      <w:pPr>
        <w:spacing w:after="0" w:line="142" w:lineRule="exact"/>
        <w:rPr>
          <w:rFonts w:ascii="Arial" w:cs="Arial" w:eastAsia="Arial" w:hAnsi="Arial"/>
          <w:sz w:val="20"/>
          <w:szCs w:val="20"/>
          <w:color w:val="auto"/>
        </w:rPr>
      </w:pPr>
    </w:p>
    <w:p>
      <w:pPr>
        <w:ind w:left="760" w:hanging="378"/>
        <w:spacing w:after="0"/>
        <w:tabs>
          <w:tab w:leader="none" w:pos="7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Section 3.3 of the Agreement is hereby deleted in its entirety and replaced with the following:</w:t>
      </w:r>
    </w:p>
    <w:p>
      <w:pPr>
        <w:spacing w:after="0" w:line="169" w:lineRule="exact"/>
        <w:rPr>
          <w:rFonts w:ascii="Arial" w:cs="Arial" w:eastAsia="Arial" w:hAnsi="Arial"/>
          <w:sz w:val="20"/>
          <w:szCs w:val="20"/>
          <w:color w:val="auto"/>
        </w:rPr>
      </w:pPr>
    </w:p>
    <w:p>
      <w:pPr>
        <w:jc w:val="both"/>
        <w:ind w:left="760"/>
        <w:spacing w:after="0" w:line="248" w:lineRule="auto"/>
        <w:rPr>
          <w:rFonts w:ascii="Arial" w:cs="Arial" w:eastAsia="Arial" w:hAnsi="Arial"/>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u w:val="single" w:color="auto"/>
          <w:color w:val="auto"/>
        </w:rPr>
        <w:t>DC Selection Meeting</w:t>
      </w:r>
      <w:r>
        <w:rPr>
          <w:rFonts w:ascii="Arial" w:cs="Arial" w:eastAsia="Arial" w:hAnsi="Arial"/>
          <w:sz w:val="20"/>
          <w:szCs w:val="20"/>
          <w:color w:val="auto"/>
        </w:rPr>
        <w:t>. The Parties shall hold a meeting at the date and time agreed upon by the Parties, but no later than the earlier of (a) the date of submission of the first IND in the United States or in Japan or (b) [***], in order to discuss the selection of one potential Licensed Drug Candidate among the Drug Candidates to move toward further Development and Commercialization by the Parties (the “</w:t>
      </w:r>
      <w:r>
        <w:rPr>
          <w:rFonts w:ascii="Arial" w:cs="Arial" w:eastAsia="Arial" w:hAnsi="Arial"/>
          <w:sz w:val="20"/>
          <w:szCs w:val="20"/>
          <w:b w:val="1"/>
          <w:bCs w:val="1"/>
          <w:color w:val="auto"/>
        </w:rPr>
        <w:t>DC Selection Meeting</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ind w:left="760" w:hanging="378"/>
        <w:spacing w:after="0"/>
        <w:tabs>
          <w:tab w:leader="none" w:pos="7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the Agreement, except as the Parties may otherwise agree in writing, </w:t>
      </w:r>
      <w:r>
        <w:rPr>
          <w:rFonts w:ascii="Arial" w:cs="Arial" w:eastAsia="Arial" w:hAnsi="Arial"/>
          <w:sz w:val="17"/>
          <w:szCs w:val="17"/>
          <w:color w:val="auto"/>
        </w:rPr>
        <w:t>[***]</w:t>
      </w:r>
    </w:p>
    <w:p>
      <w:pPr>
        <w:spacing w:after="0" w:line="175" w:lineRule="exact"/>
        <w:rPr>
          <w:rFonts w:ascii="Arial" w:cs="Arial" w:eastAsia="Arial" w:hAnsi="Arial"/>
          <w:sz w:val="20"/>
          <w:szCs w:val="20"/>
          <w:color w:val="auto"/>
        </w:rPr>
      </w:pPr>
    </w:p>
    <w:p>
      <w:pPr>
        <w:jc w:val="both"/>
        <w:ind w:left="760" w:hanging="378"/>
        <w:spacing w:after="0" w:line="260" w:lineRule="auto"/>
        <w:tabs>
          <w:tab w:leader="none" w:pos="7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This Second Amendment shall be deemed incorporated into and made a part of the Agreement. The provisions of this Second Amendment shall constitute an amendment to the Agreement, and, to the extent that any term or provision of this Second Amendment may be deemed expressly inconsistent with any term or provision in the Agreement, this Second Amendment shall govern and control. Except as expressly modified by the terms of this Second Amendment, all of the terms, conditions, and provisions of the Agreement are hereby ratified, and the Agreement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6" w:name="page217"/>
    <w:bookmarkEnd w:id="216"/>
    <w:p>
      <w:pPr>
        <w:jc w:val="both"/>
        <w:ind w:left="378" w:hanging="378"/>
        <w:spacing w:after="0" w:line="385" w:lineRule="auto"/>
        <w:tabs>
          <w:tab w:leader="none" w:pos="3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Second Amendment may be executed in two (2) or more counterparts, including by facsimile or PDF signature pages or other electronic means, each of which shall be deemed an original, but all of which together shall constitute one and the same instrument.</w:t>
      </w:r>
    </w:p>
    <w:p>
      <w:pPr>
        <w:spacing w:after="0" w:line="38" w:lineRule="exact"/>
        <w:rPr>
          <w:sz w:val="20"/>
          <w:szCs w:val="20"/>
          <w:color w:val="auto"/>
        </w:rPr>
      </w:pPr>
    </w:p>
    <w:p>
      <w:pPr>
        <w:ind w:left="1938"/>
        <w:spacing w:after="0"/>
        <w:rPr>
          <w:sz w:val="20"/>
          <w:szCs w:val="20"/>
          <w:color w:val="auto"/>
        </w:rPr>
      </w:pPr>
      <w:r>
        <w:rPr>
          <w:rFonts w:ascii="Arial" w:cs="Arial" w:eastAsia="Arial" w:hAnsi="Arial"/>
          <w:sz w:val="20"/>
          <w:szCs w:val="20"/>
          <w:b w:val="1"/>
          <w:bCs w:val="1"/>
          <w:color w:val="auto"/>
        </w:rPr>
        <w:t>[THE REMAINDER OF THIS PAGE HAS BEEN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584200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352" w:right="339" w:bottom="1440" w:gutter="0" w:footer="0" w:header="0"/>
        </w:sectPr>
      </w:pPr>
    </w:p>
    <w:bookmarkStart w:id="217" w:name="page218"/>
    <w:bookmarkEnd w:id="217"/>
    <w:p>
      <w:pPr>
        <w:jc w:val="both"/>
        <w:ind w:right="420" w:firstLine="396"/>
        <w:spacing w:after="0" w:line="250" w:lineRule="auto"/>
        <w:rPr>
          <w:sz w:val="20"/>
          <w:szCs w:val="20"/>
          <w:color w:val="auto"/>
        </w:rPr>
      </w:pPr>
      <w:r>
        <w:rPr>
          <w:rFonts w:ascii="Arial" w:cs="Arial" w:eastAsia="Arial" w:hAnsi="Arial"/>
          <w:sz w:val="20"/>
          <w:szCs w:val="20"/>
          <w:color w:val="auto"/>
        </w:rPr>
        <w:t>IN WITNESS WHEREOF, and intending to be legally bound hereby, the Parties have caused this Second Amendment to Research Services, License and Collaboration Agreement to be executed by their respective duly authorized officers as of the Second Amendment Effective Date.</w:t>
      </w:r>
    </w:p>
    <w:p>
      <w:pPr>
        <w:spacing w:after="0" w:line="3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REPARE THERAPEUTICS, INC.</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58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Lloyd M. Segal</w:t>
            </w:r>
          </w:p>
        </w:tc>
      </w:tr>
      <w:tr>
        <w:trPr>
          <w:trHeight w:val="215"/>
        </w:trPr>
        <w:tc>
          <w:tcPr>
            <w:tcW w:w="6640" w:type="dxa"/>
            <w:vAlign w:val="bottom"/>
          </w:tcPr>
          <w:p>
            <w:pPr>
              <w:ind w:left="586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Lloyd M. Segal</w:t>
            </w:r>
          </w:p>
        </w:tc>
      </w:tr>
      <w:tr>
        <w:trPr>
          <w:trHeight w:val="230"/>
        </w:trPr>
        <w:tc>
          <w:tcPr>
            <w:tcW w:w="6640" w:type="dxa"/>
            <w:vAlign w:val="bottom"/>
          </w:tcPr>
          <w:p>
            <w:pPr>
              <w:ind w:left="586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President &amp; CEO</w:t>
            </w:r>
          </w:p>
        </w:tc>
      </w:tr>
      <w:tr>
        <w:trPr>
          <w:trHeight w:val="445"/>
        </w:trPr>
        <w:tc>
          <w:tcPr>
            <w:tcW w:w="11240" w:type="dxa"/>
            <w:vAlign w:val="bottom"/>
            <w:gridSpan w:val="2"/>
          </w:tcPr>
          <w:p>
            <w:pPr>
              <w:ind w:left="5860"/>
              <w:spacing w:after="0"/>
              <w:rPr>
                <w:sz w:val="20"/>
                <w:szCs w:val="20"/>
                <w:color w:val="auto"/>
              </w:rPr>
            </w:pPr>
            <w:r>
              <w:rPr>
                <w:rFonts w:ascii="Arial" w:cs="Arial" w:eastAsia="Arial" w:hAnsi="Arial"/>
                <w:sz w:val="18"/>
                <w:szCs w:val="18"/>
                <w:color w:val="auto"/>
              </w:rPr>
              <w:t>ONO PHARMACEUTICAL CO., LTD</w:t>
            </w:r>
          </w:p>
        </w:tc>
      </w:tr>
      <w:tr>
        <w:trPr>
          <w:trHeight w:val="331"/>
        </w:trPr>
        <w:tc>
          <w:tcPr>
            <w:tcW w:w="6640" w:type="dxa"/>
            <w:vAlign w:val="bottom"/>
          </w:tcPr>
          <w:p>
            <w:pPr>
              <w:ind w:left="58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Takao Yoshida</w:t>
            </w:r>
          </w:p>
        </w:tc>
      </w:tr>
      <w:tr>
        <w:trPr>
          <w:trHeight w:val="215"/>
        </w:trPr>
        <w:tc>
          <w:tcPr>
            <w:tcW w:w="6640" w:type="dxa"/>
            <w:vAlign w:val="bottom"/>
          </w:tcPr>
          <w:p>
            <w:pPr>
              <w:ind w:left="586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Takao Yoshida</w:t>
            </w:r>
          </w:p>
        </w:tc>
      </w:tr>
      <w:tr>
        <w:trPr>
          <w:trHeight w:val="230"/>
        </w:trPr>
        <w:tc>
          <w:tcPr>
            <w:tcW w:w="6640" w:type="dxa"/>
            <w:vAlign w:val="bottom"/>
          </w:tcPr>
          <w:p>
            <w:pPr>
              <w:ind w:left="586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Senior Director, Research Center of Oncology</w:t>
            </w:r>
          </w:p>
        </w:tc>
      </w:tr>
      <w:tr>
        <w:trPr>
          <w:trHeight w:val="763"/>
        </w:trPr>
        <w:tc>
          <w:tcPr>
            <w:tcW w:w="66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(Form S-8 Nos. 333-239400, 333-255048 and 333-263469) pertaining to the 2020 Equity Incentive Plan and the 2020 Employee Share Purchase Plan of Repare Therapeutics Inc. and in the Registration Statement (Form S-3 No. 333-257668) of Repare Therapeutics Inc. and the related Prospectus of our report dated February 28, 2023, with respect to the consolidated financial statements of Repare Therapeutics Inc. included in this Annual Report (Form 10-K) for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Montréal,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Lloyd M. Segal, certify that:</w:t>
      </w:r>
    </w:p>
    <w:p>
      <w:pPr>
        <w:spacing w:after="0" w:line="225"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Repare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44"/>
        </w:trPr>
        <w:tc>
          <w:tcPr>
            <w:tcW w:w="4320" w:type="dxa"/>
            <w:vAlign w:val="bottom"/>
          </w:tcPr>
          <w:p>
            <w:pPr>
              <w:ind w:left="20"/>
              <w:spacing w:after="0"/>
              <w:rPr>
                <w:sz w:val="20"/>
                <w:szCs w:val="20"/>
                <w:color w:val="auto"/>
              </w:rPr>
            </w:pPr>
            <w:r>
              <w:rPr>
                <w:rFonts w:ascii="Arial" w:cs="Arial" w:eastAsia="Arial" w:hAnsi="Arial"/>
                <w:sz w:val="18"/>
                <w:szCs w:val="18"/>
                <w:color w:val="auto"/>
              </w:rPr>
              <w:t>Date: February 28, 2023</w:t>
            </w:r>
          </w:p>
        </w:tc>
        <w:tc>
          <w:tcPr>
            <w:tcW w:w="3000" w:type="dxa"/>
            <w:vAlign w:val="bottom"/>
          </w:tcPr>
          <w:p>
            <w:pPr>
              <w:ind w:left="2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Lloyd M. Segal</w:t>
            </w:r>
          </w:p>
        </w:tc>
      </w:tr>
      <w:tr>
        <w:trPr>
          <w:trHeight w:val="209"/>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4"/>
              </w:rPr>
              <w:t>Lloyd M. Segal</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09"/>
        </w:trPr>
        <w:tc>
          <w:tcPr>
            <w:tcW w:w="43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 Forte, certify that:</w:t>
      </w:r>
    </w:p>
    <w:p>
      <w:pPr>
        <w:spacing w:after="0" w:line="225"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Repare Therapeutics Inc.;</w:t>
      </w:r>
    </w:p>
    <w:p>
      <w:pPr>
        <w:spacing w:after="0" w:line="225"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hanging="503"/>
        <w:spacing w:after="0" w:line="342" w:lineRule="auto"/>
        <w:tabs>
          <w:tab w:leader="none" w:pos="10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2" w:name="page223"/>
    <w:bookmarkEnd w:id="222"/>
    <w:p>
      <w:pPr>
        <w:spacing w:after="0"/>
        <w:tabs>
          <w:tab w:leader="none" w:pos="6940" w:val="left"/>
          <w:tab w:leader="none" w:pos="872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23495</wp:posOffset>
            </wp:positionV>
            <wp:extent cx="24860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7"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Steve Forte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jc w:val="center"/>
        <w:ind w:left="7260"/>
        <w:spacing w:after="0"/>
        <w:rPr>
          <w:sz w:val="20"/>
          <w:szCs w:val="20"/>
          <w:color w:val="auto"/>
        </w:rPr>
      </w:pPr>
      <w:r>
        <w:rPr>
          <w:rFonts w:ascii="Arial" w:cs="Arial" w:eastAsia="Arial" w:hAnsi="Arial"/>
          <w:sz w:val="18"/>
          <w:szCs w:val="18"/>
          <w:i w:val="1"/>
          <w:iCs w:val="1"/>
          <w:color w:val="auto"/>
        </w:rPr>
        <w:t>(Principal Financial Officer and Principal</w:t>
      </w:r>
    </w:p>
    <w:p>
      <w:pPr>
        <w:spacing w:after="0" w:line="9" w:lineRule="exact"/>
        <w:rPr>
          <w:sz w:val="20"/>
          <w:szCs w:val="20"/>
          <w:color w:val="auto"/>
        </w:rPr>
      </w:pPr>
    </w:p>
    <w:p>
      <w:pPr>
        <w:jc w:val="center"/>
        <w:ind w:left="7300"/>
        <w:spacing w:after="0"/>
        <w:rPr>
          <w:sz w:val="20"/>
          <w:szCs w:val="20"/>
          <w:color w:val="auto"/>
        </w:rPr>
      </w:pPr>
      <w:r>
        <w:rPr>
          <w:rFonts w:ascii="Arial" w:cs="Arial" w:eastAsia="Arial" w:hAnsi="Arial"/>
          <w:sz w:val="18"/>
          <w:szCs w:val="18"/>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438785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341" w:right="5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 1350), Lloyd M. Segal, President and Chief Executive Officer of Repare Therapeutics Inc. (the "Company"), and Steve Forte, Chief Financial Officer of the Company, each hereby certifies that, to the best of his knowledge:</w:t>
      </w:r>
    </w:p>
    <w:p>
      <w:pPr>
        <w:spacing w:after="0" w:line="162" w:lineRule="exact"/>
        <w:rPr>
          <w:sz w:val="20"/>
          <w:szCs w:val="20"/>
          <w:color w:val="auto"/>
        </w:rPr>
      </w:pPr>
    </w:p>
    <w:p>
      <w:pPr>
        <w:ind w:left="1120" w:right="800" w:hanging="375"/>
        <w:spacing w:after="0" w:line="250" w:lineRule="auto"/>
        <w:tabs>
          <w:tab w:leader="none" w:pos="1120"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Company's Annual Report on Form 10-K for the fiscal year ended December 31, 2022 (the "Report") fully complies with the requirements of section 13(a) or 15(d) of the Securities Exchange Act of 1934; and</w:t>
      </w:r>
    </w:p>
    <w:p>
      <w:pPr>
        <w:spacing w:after="0" w:line="206" w:lineRule="exact"/>
        <w:rPr>
          <w:rFonts w:ascii="Arial" w:cs="Arial" w:eastAsia="Arial" w:hAnsi="Arial"/>
          <w:sz w:val="20"/>
          <w:szCs w:val="20"/>
          <w:color w:val="auto"/>
        </w:rPr>
      </w:pPr>
    </w:p>
    <w:p>
      <w:pPr>
        <w:ind w:left="1120" w:right="520" w:hanging="375"/>
        <w:spacing w:after="0" w:line="250" w:lineRule="auto"/>
        <w:tabs>
          <w:tab w:leader="none" w:pos="1120"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80" w:type="dxa"/>
            <w:vAlign w:val="bottom"/>
          </w:tcPr>
          <w:p>
            <w:pPr>
              <w:ind w:left="20"/>
              <w:spacing w:after="0"/>
              <w:rPr>
                <w:sz w:val="20"/>
                <w:szCs w:val="20"/>
                <w:color w:val="auto"/>
              </w:rPr>
            </w:pPr>
            <w:r>
              <w:rPr>
                <w:rFonts w:ascii="Arial" w:cs="Arial" w:eastAsia="Arial" w:hAnsi="Arial"/>
                <w:sz w:val="18"/>
                <w:szCs w:val="18"/>
                <w:color w:val="auto"/>
              </w:rPr>
              <w:t>Date: February 28, 2023</w:t>
            </w:r>
          </w:p>
        </w:tc>
        <w:tc>
          <w:tcPr>
            <w:tcW w:w="6860" w:type="dxa"/>
            <w:vAlign w:val="bottom"/>
            <w:gridSpan w:val="2"/>
          </w:tcPr>
          <w:p>
            <w:pPr>
              <w:ind w:left="2600"/>
              <w:spacing w:after="0"/>
              <w:rPr>
                <w:sz w:val="20"/>
                <w:szCs w:val="20"/>
                <w:color w:val="auto"/>
              </w:rPr>
            </w:pPr>
            <w:r>
              <w:rPr>
                <w:rFonts w:ascii="Arial" w:cs="Arial" w:eastAsia="Arial" w:hAnsi="Arial"/>
                <w:sz w:val="18"/>
                <w:szCs w:val="18"/>
                <w:color w:val="auto"/>
              </w:rPr>
              <w:t>By: /s/ Lloyd M. Segal</w:t>
            </w:r>
          </w:p>
        </w:tc>
      </w:tr>
      <w:tr>
        <w:trPr>
          <w:trHeight w:val="209"/>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Lloyd M. Segal</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02"/>
        </w:trPr>
        <w:tc>
          <w:tcPr>
            <w:tcW w:w="4380" w:type="dxa"/>
            <w:vAlign w:val="bottom"/>
          </w:tcPr>
          <w:p>
            <w:pPr>
              <w:ind w:left="20"/>
              <w:spacing w:after="0"/>
              <w:rPr>
                <w:sz w:val="20"/>
                <w:szCs w:val="20"/>
                <w:color w:val="auto"/>
              </w:rPr>
            </w:pPr>
            <w:r>
              <w:rPr>
                <w:rFonts w:ascii="Arial" w:cs="Arial" w:eastAsia="Arial" w:hAnsi="Arial"/>
                <w:sz w:val="18"/>
                <w:szCs w:val="18"/>
                <w:color w:val="auto"/>
              </w:rPr>
              <w:t>Date: February 28, 2023</w:t>
            </w:r>
          </w:p>
        </w:tc>
        <w:tc>
          <w:tcPr>
            <w:tcW w:w="6860" w:type="dxa"/>
            <w:vAlign w:val="bottom"/>
            <w:gridSpan w:val="2"/>
          </w:tcPr>
          <w:p>
            <w:pPr>
              <w:ind w:left="2600"/>
              <w:spacing w:after="0"/>
              <w:rPr>
                <w:sz w:val="20"/>
                <w:szCs w:val="20"/>
                <w:color w:val="auto"/>
              </w:rPr>
            </w:pPr>
            <w:r>
              <w:rPr>
                <w:rFonts w:ascii="Arial" w:cs="Arial" w:eastAsia="Arial" w:hAnsi="Arial"/>
                <w:sz w:val="18"/>
                <w:szCs w:val="18"/>
                <w:color w:val="auto"/>
              </w:rPr>
              <w:t>By: /s/ Steve Forte</w:t>
            </w:r>
          </w:p>
        </w:tc>
      </w:tr>
      <w:tr>
        <w:trPr>
          <w:trHeight w:val="209"/>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Steve Forte</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w:t>
            </w:r>
          </w:p>
        </w:tc>
      </w:tr>
      <w:tr>
        <w:trPr>
          <w:trHeight w:val="230"/>
        </w:trPr>
        <w:tc>
          <w:tcPr>
            <w:tcW w:w="4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r>
        <w:trPr>
          <w:trHeight w:val="560"/>
        </w:trPr>
        <w:tc>
          <w:tcPr>
            <w:tcW w:w="43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4" w:name="page225"/>
    <w:bookmarkEnd w:id="2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lowerRoman"/>
      <w:start w:val="1"/>
    </w:lvl>
  </w:abstractNum>
  <w:abstractNum w:abstractNumId="14">
    <w:nsid w:val="7644A45C"/>
    <w:multiLevelType w:val="hybridMultilevel"/>
    <w:lvl w:ilvl="0">
      <w:lvlJc w:val="left"/>
      <w:lvlText w:val="%1."/>
      <w:numFmt w:val="lowerRoman"/>
      <w:start w:val="1"/>
    </w:lvl>
  </w:abstractNum>
  <w:abstractNum w:abstractNumId="15">
    <w:nsid w:val="32FFF902"/>
    <w:multiLevelType w:val="hybridMultilevel"/>
    <w:lvl w:ilvl="0">
      <w:lvlJc w:val="left"/>
      <w:lvlText w:val="(%1)"/>
      <w:numFmt w:val="lowerRoman"/>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2"/>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2"/>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decimal"/>
      <w:start w:val="9"/>
    </w:lvl>
  </w:abstractNum>
  <w:abstractNum w:abstractNumId="63">
    <w:nsid w:val="168E121F"/>
    <w:multiLevelType w:val="hybridMultilevel"/>
    <w:lvl w:ilvl="0">
      <w:lvlJc w:val="left"/>
      <w:lvlText w:val="%1."/>
      <w:numFmt w:val="decimal"/>
      <w:start w:val="10"/>
    </w:lvl>
  </w:abstractNum>
  <w:abstractNum w:abstractNumId="64">
    <w:nsid w:val="1EBA5D23"/>
    <w:multiLevelType w:val="hybridMultilevel"/>
    <w:lvl w:ilvl="0">
      <w:lvlJc w:val="left"/>
      <w:lvlText w:val="(%1)"/>
      <w:numFmt w:val="lowerLetter"/>
      <w:start w:val="1"/>
    </w:lvl>
    <w:lvl w:ilvl="1">
      <w:lvlJc w:val="left"/>
      <w:lvlText w:val="(%2)"/>
      <w:numFmt w:val="decimal"/>
      <w:start w:val="1"/>
    </w:lvl>
  </w:abstractNum>
  <w:abstractNum w:abstractNumId="65">
    <w:nsid w:val="661E3F1E"/>
    <w:multiLevelType w:val="hybridMultilevel"/>
    <w:lvl w:ilvl="0">
      <w:lvlJc w:val="left"/>
      <w:lvlText w:val="*"/>
      <w:numFmt w:val="bullet"/>
      <w:start w:val="1"/>
    </w:lvl>
    <w:lvl w:ilvl="1">
      <w:lvlJc w:val="left"/>
      <w:lvlText w:val="%2"/>
      <w:numFmt w:val="decimal"/>
      <w:start w:val="104"/>
    </w:lvl>
  </w:abstractNum>
  <w:abstractNum w:abstractNumId="66">
    <w:nsid w:val="5DC79EA8"/>
    <w:multiLevelType w:val="hybridMultilevel"/>
    <w:lvl w:ilvl="0">
      <w:lvlJc w:val="left"/>
      <w:lvlText w:val="**"/>
      <w:numFmt w:val="bullet"/>
      <w:start w:val="1"/>
    </w:lvl>
    <w:lvl w:ilvl="1">
      <w:lvlJc w:val="left"/>
      <w:lvlText w:val="%2"/>
      <w:numFmt w:val="decimal"/>
      <w:start w:val="1"/>
    </w:lvl>
  </w:abstractNum>
  <w:abstractNum w:abstractNumId="67">
    <w:nsid w:val="540A471C"/>
    <w:multiLevelType w:val="hybridMultilevel"/>
    <w:lvl w:ilvl="0">
      <w:lvlJc w:val="left"/>
      <w:lvlText w:val="%1."/>
      <w:numFmt w:val="upperLetter"/>
      <w:start w:val="1"/>
    </w:lvl>
  </w:abstractNum>
  <w:abstractNum w:abstractNumId="68">
    <w:nsid w:val="7BD3EE7B"/>
    <w:multiLevelType w:val="hybridMultilevel"/>
    <w:lvl w:ilvl="0">
      <w:lvlJc w:val="left"/>
      <w:lvlText w:val="%1."/>
      <w:numFmt w:val="upperLetter"/>
      <w:start w:val="6"/>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2"/>
    </w:lvl>
    <w:lvl w:ilvl="1">
      <w:lvlJc w:val="left"/>
      <w:lvlText w:val="(%2)"/>
      <w:numFmt w:val="lowerLetter"/>
      <w:start w:val="1"/>
    </w:lvl>
  </w:abstractNum>
  <w:abstractNum w:abstractNumId="71">
    <w:nsid w:val="BF72B14"/>
    <w:multiLevelType w:val="hybridMultilevel"/>
    <w:lvl w:ilvl="0">
      <w:lvlJc w:val="left"/>
      <w:lvlText w:val="%1)"/>
      <w:numFmt w:val="lowerRoman"/>
      <w:start w:val="1"/>
    </w:lvl>
  </w:abstractNum>
  <w:abstractNum w:abstractNumId="72">
    <w:nsid w:val="11447B73"/>
    <w:multiLevelType w:val="hybridMultilevel"/>
    <w:lvl w:ilvl="0">
      <w:lvlJc w:val="left"/>
      <w:lvlText w:val="%1)"/>
      <w:numFmt w:val="lowerRoman"/>
      <w:start w:val="10"/>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decimal"/>
      <w:start w:val="10"/>
    </w:lvl>
  </w:abstractNum>
  <w:abstractNum w:abstractNumId="75">
    <w:nsid w:val="8F2B15E"/>
    <w:multiLevelType w:val="hybridMultilevel"/>
    <w:lvl w:ilvl="0">
      <w:lvlJc w:val="left"/>
      <w:lvlText w:val="[***]"/>
      <w:numFmt w:val="bullet"/>
      <w:start w:val="1"/>
    </w:lvl>
    <w:lvl w:ilvl="1">
      <w:lvlJc w:val="left"/>
      <w:lvlText w:val="(%2)"/>
      <w:numFmt w:val="lowerRoman"/>
      <w:start w:val="2"/>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6"/>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330" Type="http://schemas.openxmlformats.org/officeDocument/2006/relationships/hyperlink" Target="https://www.sec.gov/Archives/edgar/data/1808158/000119312520176579/d920931dex31.htm" TargetMode="External"/><Relationship Id="rId331" Type="http://schemas.openxmlformats.org/officeDocument/2006/relationships/hyperlink" Target="https://www.sec.gov/Archives/edgar/data/1808158/000119312520176579/d920931dex32.htm" TargetMode="External"/><Relationship Id="rId332" Type="http://schemas.openxmlformats.org/officeDocument/2006/relationships/hyperlink" Target="https://www.sec.gov/Archives/edgar/data/0001808158/000119312520168295/d908774dex41.htm" TargetMode="External"/><Relationship Id="rId333" Type="http://schemas.openxmlformats.org/officeDocument/2006/relationships/hyperlink" Target="https://www.sec.gov/Archives/edgar/data/1808158/000119312520155961/d908774dex42.htm" TargetMode="External"/><Relationship Id="rId334" Type="http://schemas.openxmlformats.org/officeDocument/2006/relationships/hyperlink" Target="https://www.sec.gov/Archives/edgar/data/1808158/000119312520155961/d908774dex43.htm" TargetMode="External"/><Relationship Id="rId335" Type="http://schemas.openxmlformats.org/officeDocument/2006/relationships/hyperlink" Target="https://www.sec.gov/Archives/edgar/data/1808158/000156459021011011/rptx-ex44_737.htm" TargetMode="External"/><Relationship Id="rId336" Type="http://schemas.openxmlformats.org/officeDocument/2006/relationships/hyperlink" Target="https://www.sec.gov/Archives/edgar/data/1808158/000119312520155961/d908774dex101.htm" TargetMode="External"/><Relationship Id="rId337" Type="http://schemas.openxmlformats.org/officeDocument/2006/relationships/hyperlink" Target="https://www.sec.gov/Archives/edgar/data/1808158/000119312520155961/d908774dex102.htm" TargetMode="External"/><Relationship Id="rId338" Type="http://schemas.openxmlformats.org/officeDocument/2006/relationships/hyperlink" Target="https://www.sec.gov/Archives/edgar/data/0001808158/000119312520168295/d908774dex103.htm" TargetMode="External"/><Relationship Id="rId339" Type="http://schemas.openxmlformats.org/officeDocument/2006/relationships/hyperlink" Target="https://www.sec.gov/Archives/edgar/data/0001808158/000119312520168295/d908774dex104.htm" TargetMode="External"/><Relationship Id="rId340" Type="http://schemas.openxmlformats.org/officeDocument/2006/relationships/hyperlink" Target="https://www.sec.gov/Archives/edgar/data/0001808158/000119312520168295/d908774dex105.htm" TargetMode="External"/><Relationship Id="rId341" Type="http://schemas.openxmlformats.org/officeDocument/2006/relationships/hyperlink" Target="https://www.sec.gov/Archives/edgar/data/0001808158/000119312520168295/d908774dex106.htm" TargetMode="External"/><Relationship Id="rId342" Type="http://schemas.openxmlformats.org/officeDocument/2006/relationships/hyperlink" Target="https://www.sec.gov/Archives/edgar/data/0001808158/000119312520168295/d908774dex107.htm" TargetMode="External"/><Relationship Id="rId343" Type="http://schemas.openxmlformats.org/officeDocument/2006/relationships/hyperlink" Target="https://www.sec.gov/Archives/edgar/data/0001808158/000119312520168295/d908774dex108.htm" TargetMode="External"/><Relationship Id="rId344" Type="http://schemas.openxmlformats.org/officeDocument/2006/relationships/hyperlink" Target="https://www.sec.gov/Archives/edgar/data/0001808158/000119312520168295/d908774dex109.htm" TargetMode="External"/><Relationship Id="rId345" Type="http://schemas.openxmlformats.org/officeDocument/2006/relationships/hyperlink" Target="https://www.sec.gov/Archives/edgar/data/0001808158/000119312520168295/d908774dex1010.htm" TargetMode="External"/><Relationship Id="rId348" Type="http://schemas.openxmlformats.org/officeDocument/2006/relationships/hyperlink" Target="https://www.sec.gov/Archives/edgar/data/1808158/000095017022002560/rptx-ex10_11.htm" TargetMode="External"/><Relationship Id="rId349" Type="http://schemas.openxmlformats.org/officeDocument/2006/relationships/hyperlink" Target="https://www.sec.gov/Archives/edgar/data/0001808158/000119312520168295/d908774dex1014.htm" TargetMode="External"/><Relationship Id="rId350" Type="http://schemas.openxmlformats.org/officeDocument/2006/relationships/hyperlink" Target="https://www.sec.gov/Archives/edgar/data/1808158/000119312520155961/d908774dex1015.htm" TargetMode="External"/><Relationship Id="rId351" Type="http://schemas.openxmlformats.org/officeDocument/2006/relationships/hyperlink" Target="https://www.sec.gov/Archives/edgar/data/1808158/000119312520155961/d908774dex1016.htm" TargetMode="External"/><Relationship Id="rId352" Type="http://schemas.openxmlformats.org/officeDocument/2006/relationships/hyperlink" Target="https://www.sec.gov/Archives/edgar/data/1808158/000119312520155961/d908774dex1017.htm" TargetMode="External"/><Relationship Id="rId353" Type="http://schemas.openxmlformats.org/officeDocument/2006/relationships/hyperlink" Target="https://www.sec.gov/Archives/edgar/data/1808158/000156459020040024/rptx-ex101_64.htm" TargetMode="External"/><Relationship Id="rId354" Type="http://schemas.openxmlformats.org/officeDocument/2006/relationships/hyperlink" Target="https://www.sec.gov/Archives/edgar/data/1808158/000156459020053203/rptx-ex101_111.htm" TargetMode="External"/><Relationship Id="rId355" Type="http://schemas.openxmlformats.org/officeDocument/2006/relationships/hyperlink" Target="https://www.sec.gov/Archives/edgar/data/1808158/000156459020053203/rptx-ex102_209.htm" TargetMode="External"/><Relationship Id="rId356" Type="http://schemas.openxmlformats.org/officeDocument/2006/relationships/hyperlink" Target="https://www.sec.gov/Archives/edgar/data/1808158/000156459021011011/rptx-ex1020_738.htm" TargetMode="External"/><Relationship Id="rId357" Type="http://schemas.openxmlformats.org/officeDocument/2006/relationships/hyperlink" Target="https://www.sec.gov/Archives/edgar/data/1808158/000156459021043943/rptx-ex101_145.htm" TargetMode="External"/><Relationship Id="rId358" Type="http://schemas.openxmlformats.org/officeDocument/2006/relationships/hyperlink" Target="https://www.sec.gov/Archives/edgar/data/1808158/000156459021043943/rptx-ex102_144.htm" TargetMode="External"/><Relationship Id="rId359" Type="http://schemas.openxmlformats.org/officeDocument/2006/relationships/hyperlink" Target="https://www.sec.gov/Archives/edgar/data/1808158/000156459021043943/rptx-ex103_146.htm" TargetMode="External"/><Relationship Id="rId362" Type="http://schemas.openxmlformats.org/officeDocument/2006/relationships/hyperlink" Target="https://www.sec.gov/Archives/edgar/data/1808158/000156459021043943/rptx-ex104_177.htm" TargetMode="External"/><Relationship Id="rId363" Type="http://schemas.openxmlformats.org/officeDocument/2006/relationships/hyperlink" Target="https://www.sec.gov/Archives/edgar/data/1808158/000095017021003910/rptx-ex10_1.htm" TargetMode="External"/><Relationship Id="rId364" Type="http://schemas.openxmlformats.org/officeDocument/2006/relationships/hyperlink" Target="https://www.sec.gov/Archives/edgar/data/1808158/000095017022002560/rptx-ex10_27.htm" TargetMode="External"/><Relationship Id="rId365" Type="http://schemas.openxmlformats.org/officeDocument/2006/relationships/hyperlink" Target="https://www.sec.gov/Archives/edgar/data/1808158/000095017022002560/rptx-ex10_28.htm" TargetMode="External"/><Relationship Id="rId366" Type="http://schemas.openxmlformats.org/officeDocument/2006/relationships/hyperlink" Target="https://www.sec.gov/Archives/edgar/data/1808158/000095017022014820/rptx-ex10_1.htm" TargetMode="External"/><Relationship Id="rId367" Type="http://schemas.openxmlformats.org/officeDocument/2006/relationships/hyperlink" Target="https://www.sec.gov/Archives/edgar/data/1808158/000095017022014820/rptx-ex10_2.htm" TargetMode="External"/><Relationship Id="rId368" Type="http://schemas.openxmlformats.org/officeDocument/2006/relationships/hyperlink" Target="https://www.sec.gov/Archives/edgar/data/1808158/000095017022023919/rptx-ex10_1.htm" TargetMode="External"/><Relationship Id="rId369" Type="http://schemas.openxmlformats.org/officeDocument/2006/relationships/hyperlink" Target="https://www.sec.gov/Archives/edgar/data/1808158/000095017022023919/rptx-ex10_2.htm" TargetMode="External"/><Relationship Id="rId370" Type="http://schemas.openxmlformats.org/officeDocument/2006/relationships/hyperlink" Target="https://www.sec.gov/Archives/edgar/data/1808158/000119312520155961/d90877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2023-02-28T20:50:28Z</dcterms:created>
  <dcterms:modified xsi:type="dcterms:W3CDTF">2023-02-28T20:50:28Z</dcterms:modified>
</cp:coreProperties>
</file>