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02421ds8pos.htm"/>
      <w:bookmarkStart w:id="1" w:name="ksd102421ds8pos"/>
      <w:bookmarkEnd w:id="0"/>
      <w:bookmarkEnd w:id="1"/>
      <w:r>
        <w:rPr>
          <w:rFonts w:ascii="Times New Roman" w:hAnsi="Times New Roman"/>
          <w:b/>
          <w:sz w:val="20"/>
        </w:rPr>
        <w:t xml:space="preserve">As filed with the Securities and Exchange Commission on January 28,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333-239400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333-255048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333-263469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333-270170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333-272269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333-277451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333-279721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333-285493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FORM S-8 REGISTRATION STATEMENT NO. 333-239400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333-255048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333-263469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333-270170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333-272269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333-277451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333-279721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333-285493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REPARE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Québec</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7171 Frederick-Banting, Building 2,</w:t>
            </w:r>
          </w:p>
          <w:p>
            <w:pPr>
              <w:pStyle w:val="TableContents"/>
              <w:bidi w:val="0"/>
              <w:spacing w:before="0" w:after="0"/>
              <w:jc w:val="center"/>
              <w:rPr>
                <w:rFonts w:ascii="Times New Roman" w:hAnsi="Times New Roman"/>
                <w:b/>
                <w:sz w:val="20"/>
              </w:rPr>
            </w:pPr>
            <w:r>
              <w:rPr>
                <w:rFonts w:ascii="Times New Roman" w:hAnsi="Times New Roman"/>
                <w:b/>
                <w:sz w:val="20"/>
              </w:rPr>
              <w:t>Suite 270</w:t>
            </w:r>
          </w:p>
          <w:p>
            <w:pPr>
              <w:pStyle w:val="TableContents"/>
              <w:bidi w:val="0"/>
              <w:spacing w:before="0" w:after="20"/>
              <w:jc w:val="center"/>
              <w:rPr>
                <w:rFonts w:ascii="Times New Roman" w:hAnsi="Times New Roman"/>
                <w:b/>
                <w:sz w:val="20"/>
              </w:rPr>
            </w:pPr>
            <w:r>
              <w:rPr>
                <w:rFonts w:ascii="Times New Roman" w:hAnsi="Times New Roman"/>
                <w:b/>
                <w:sz w:val="20"/>
              </w:rPr>
              <w:t>St-Laurent, Québec, Canada</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H4S 1Z9</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2020 Employee Share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New Hire Inducement Stock Option Grant </w:t>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Inc. 2024 Inducement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Steve Forte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 Broadway, 15th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0" w:after="0"/>
        <w:jc w:val="center"/>
        <w:rPr>
          <w:rFonts w:ascii="Times New Roman" w:hAnsi="Times New Roman"/>
          <w:b/>
          <w:sz w:val="20"/>
        </w:rPr>
      </w:pPr>
      <w:r>
        <w:rPr>
          <w:rFonts w:ascii="Times New Roman" w:hAnsi="Times New Roman"/>
          <w:b/>
          <w:sz w:val="20"/>
        </w:rPr>
        <w:t xml:space="preserve">+1 857 412 7018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Divakar Gupta</w:t>
            </w:r>
          </w:p>
          <w:p>
            <w:pPr>
              <w:pStyle w:val="TableContents"/>
              <w:bidi w:val="0"/>
              <w:spacing w:before="0" w:after="0"/>
              <w:jc w:val="center"/>
              <w:rPr>
                <w:rFonts w:ascii="Times New Roman" w:hAnsi="Times New Roman"/>
                <w:b/>
                <w:sz w:val="20"/>
              </w:rPr>
            </w:pPr>
            <w:r>
              <w:rPr>
                <w:rFonts w:ascii="Times New Roman" w:hAnsi="Times New Roman"/>
                <w:b/>
                <w:sz w:val="20"/>
              </w:rPr>
              <w:t>Courtney T. Thorne</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500 Boylston Street, 14th Floor</w:t>
            </w:r>
          </w:p>
          <w:p>
            <w:pPr>
              <w:pStyle w:val="TableContents"/>
              <w:bidi w:val="0"/>
              <w:spacing w:before="0" w:after="0"/>
              <w:jc w:val="center"/>
              <w:rPr>
                <w:rFonts w:ascii="Times New Roman" w:hAnsi="Times New Roman"/>
                <w:b/>
                <w:sz w:val="20"/>
              </w:rPr>
            </w:pPr>
            <w:r>
              <w:rPr>
                <w:rFonts w:ascii="Times New Roman" w:hAnsi="Times New Roman"/>
                <w:b/>
                <w:sz w:val="20"/>
              </w:rPr>
              <w:t>Boston, MA 02116</w:t>
            </w:r>
          </w:p>
          <w:p>
            <w:pPr>
              <w:pStyle w:val="TableContents"/>
              <w:bidi w:val="0"/>
              <w:spacing w:before="0" w:after="20"/>
              <w:jc w:val="center"/>
              <w:rPr>
                <w:rFonts w:ascii="Times New Roman" w:hAnsi="Times New Roman"/>
                <w:b/>
                <w:sz w:val="20"/>
              </w:rPr>
            </w:pPr>
            <w:r>
              <w:rPr>
                <w:rFonts w:ascii="Times New Roman" w:hAnsi="Times New Roman"/>
                <w:b/>
                <w:sz w:val="20"/>
              </w:rPr>
              <w:t>(617) 937-2300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Robert Carelli</w:t>
            </w:r>
          </w:p>
          <w:p>
            <w:pPr>
              <w:pStyle w:val="TableContents"/>
              <w:bidi w:val="0"/>
              <w:spacing w:before="0" w:after="0"/>
              <w:jc w:val="center"/>
              <w:rPr>
                <w:rFonts w:ascii="Times New Roman" w:hAnsi="Times New Roman"/>
                <w:b/>
                <w:sz w:val="20"/>
              </w:rPr>
            </w:pPr>
            <w:r>
              <w:rPr>
                <w:rFonts w:ascii="Times New Roman" w:hAnsi="Times New Roman"/>
                <w:b/>
                <w:sz w:val="20"/>
              </w:rPr>
              <w:t>Jeremy Sculnick</w:t>
            </w:r>
          </w:p>
          <w:p>
            <w:pPr>
              <w:pStyle w:val="TableContents"/>
              <w:bidi w:val="0"/>
              <w:spacing w:before="0" w:after="0"/>
              <w:jc w:val="center"/>
              <w:rPr>
                <w:rFonts w:ascii="Times New Roman" w:hAnsi="Times New Roman"/>
                <w:b/>
                <w:sz w:val="20"/>
              </w:rPr>
            </w:pPr>
            <w:r>
              <w:rPr>
                <w:rFonts w:ascii="Times New Roman" w:hAnsi="Times New Roman"/>
                <w:b/>
                <w:sz w:val="20"/>
              </w:rPr>
              <w:t>Stikeman Elliott LLP</w:t>
            </w:r>
          </w:p>
          <w:p>
            <w:pPr>
              <w:pStyle w:val="TableContents"/>
              <w:bidi w:val="0"/>
              <w:spacing w:before="0" w:after="0"/>
              <w:jc w:val="center"/>
              <w:rPr>
                <w:rFonts w:ascii="Times New Roman" w:hAnsi="Times New Roman"/>
                <w:b/>
                <w:sz w:val="20"/>
              </w:rPr>
            </w:pPr>
            <w:r>
              <w:rPr>
                <w:rFonts w:ascii="Times New Roman" w:hAnsi="Times New Roman"/>
                <w:b/>
                <w:sz w:val="20"/>
              </w:rPr>
              <w:t>1155 René-Lévesque Blvd. West</w:t>
            </w:r>
          </w:p>
          <w:p>
            <w:pPr>
              <w:pStyle w:val="TableContents"/>
              <w:bidi w:val="0"/>
              <w:spacing w:before="0" w:after="0"/>
              <w:jc w:val="center"/>
              <w:rPr>
                <w:rFonts w:ascii="Times New Roman" w:hAnsi="Times New Roman"/>
                <w:b/>
                <w:sz w:val="20"/>
              </w:rPr>
            </w:pPr>
            <w:r>
              <w:rPr>
                <w:rFonts w:ascii="Times New Roman" w:hAnsi="Times New Roman"/>
                <w:b/>
                <w:sz w:val="20"/>
              </w:rPr>
              <w:t>41st Floor</w:t>
            </w:r>
          </w:p>
          <w:p>
            <w:pPr>
              <w:pStyle w:val="TableContents"/>
              <w:bidi w:val="0"/>
              <w:spacing w:before="0" w:after="0"/>
              <w:jc w:val="center"/>
              <w:rPr>
                <w:rFonts w:ascii="Times New Roman" w:hAnsi="Times New Roman"/>
                <w:b/>
                <w:sz w:val="20"/>
              </w:rPr>
            </w:pPr>
            <w:r>
              <w:rPr>
                <w:rFonts w:ascii="Times New Roman" w:hAnsi="Times New Roman"/>
                <w:b/>
                <w:sz w:val="20"/>
              </w:rPr>
              <w:t>Montréal, Québec, Canada H3B 3V2</w:t>
            </w:r>
          </w:p>
          <w:p>
            <w:pPr>
              <w:pStyle w:val="TableContents"/>
              <w:bidi w:val="0"/>
              <w:spacing w:before="0" w:after="20"/>
              <w:jc w:val="center"/>
              <w:rPr>
                <w:rFonts w:ascii="Times New Roman" w:hAnsi="Times New Roman"/>
                <w:b/>
                <w:sz w:val="20"/>
              </w:rPr>
            </w:pPr>
            <w:r>
              <w:rPr>
                <w:rFonts w:ascii="Times New Roman" w:hAnsi="Times New Roman"/>
                <w:b/>
                <w:sz w:val="20"/>
              </w:rPr>
              <w:t>(514) 397-3222</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DEREGISTRATION OF SECURITIES </w:t>
      </w:r>
    </w:p>
    <w:p>
      <w:pPr>
        <w:pStyle w:val="TextBody"/>
        <w:bidi w:val="0"/>
        <w:spacing w:before="240" w:after="0"/>
        <w:jc w:val="left"/>
        <w:rPr>
          <w:rFonts w:ascii="Times New Roman" w:hAnsi="Times New Roman"/>
          <w:sz w:val="20"/>
        </w:rPr>
      </w:pPr>
      <w:r>
        <w:rPr>
          <w:rFonts w:ascii="Times New Roman" w:hAnsi="Times New Roman"/>
          <w:sz w:val="20"/>
        </w:rPr>
        <w:t>These post-effective amendments (the “Post-Effective Amendments”) relate to the following registration statements on Form S-8 (collectively, the “Registration Statements”), which have been previously filed by Repare Therapeutics Inc., a corporation governed by the </w:t>
      </w:r>
      <w:r>
        <w:rPr>
          <w:rFonts w:ascii="Times New Roman" w:hAnsi="Times New Roman"/>
          <w:i/>
          <w:sz w:val="20"/>
        </w:rPr>
        <w:t>Business Corporations Act</w:t>
      </w:r>
      <w:r>
        <w:rPr>
          <w:rFonts w:ascii="Times New Roman" w:hAnsi="Times New Roman"/>
          <w:sz w:val="20"/>
        </w:rPr>
        <w:t xml:space="preserve"> (Québec) (the “Company”), with the Securities and Exchange Commission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2">
              <w:r>
                <w:rPr>
                  <w:rStyle w:val="InternetLink"/>
                  <w:rFonts w:ascii="Times New Roman" w:hAnsi="Times New Roman"/>
                  <w:sz w:val="20"/>
                </w:rPr>
                <w:t>Form S-8</w:t>
              </w:r>
            </w:hyperlink>
            <w:r>
              <w:rPr>
                <w:rFonts w:ascii="Times New Roman" w:hAnsi="Times New Roman"/>
                <w:sz w:val="20"/>
              </w:rPr>
              <w:t xml:space="preserve"> (File No. 333-239400), filed with the SEC on June 24, 2020, registering 7,734,448 common shares of the Company (“Common Shares”) in connection with the Company’s 2020 Equity Incentive Plan (the “2020 EIP”), the Company’s 2020 Employee Share Purchase Plan (the “2020 ESPP”) and the Company’s Amended and Restated Option Plan (the “Option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3">
              <w:r>
                <w:rPr>
                  <w:rStyle w:val="InternetLink"/>
                  <w:rFonts w:ascii="Times New Roman" w:hAnsi="Times New Roman"/>
                  <w:sz w:val="20"/>
                </w:rPr>
                <w:t>Form S-8</w:t>
              </w:r>
            </w:hyperlink>
            <w:r>
              <w:rPr>
                <w:rFonts w:ascii="Times New Roman" w:hAnsi="Times New Roman"/>
                <w:sz w:val="20"/>
              </w:rPr>
              <w:t xml:space="preserve"> (File No. 333-255048), filed with the SEC on April 6, 2021, registering 2,214,175 Common Shares in connection with the Company’s 2020 EIP and 2020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4">
              <w:r>
                <w:rPr>
                  <w:rStyle w:val="InternetLink"/>
                  <w:rFonts w:ascii="Times New Roman" w:hAnsi="Times New Roman"/>
                  <w:sz w:val="20"/>
                </w:rPr>
                <w:t>Form S-8</w:t>
              </w:r>
            </w:hyperlink>
            <w:r>
              <w:rPr>
                <w:rFonts w:ascii="Times New Roman" w:hAnsi="Times New Roman"/>
                <w:sz w:val="20"/>
              </w:rPr>
              <w:t xml:space="preserve"> (File No. 333-263469), filed with the SEC on March 11, 2022, registering 2,511,009 Common Shares in connection with the Company’s 2020 EIP and 2020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5">
              <w:r>
                <w:rPr>
                  <w:rStyle w:val="InternetLink"/>
                  <w:rFonts w:ascii="Times New Roman" w:hAnsi="Times New Roman"/>
                  <w:sz w:val="20"/>
                </w:rPr>
                <w:t>Form S-8</w:t>
              </w:r>
            </w:hyperlink>
            <w:r>
              <w:rPr>
                <w:rFonts w:ascii="Times New Roman" w:hAnsi="Times New Roman"/>
                <w:sz w:val="20"/>
              </w:rPr>
              <w:t xml:space="preserve"> (File No. 333-270170), filed with the SEC on March 1, 2023, registering 2,522,170 Common Shares in connection with the Company’s 2020 EIP and 2020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6">
              <w:r>
                <w:rPr>
                  <w:rStyle w:val="InternetLink"/>
                  <w:rFonts w:ascii="Times New Roman" w:hAnsi="Times New Roman"/>
                  <w:sz w:val="20"/>
                </w:rPr>
                <w:t>Form S-8</w:t>
              </w:r>
            </w:hyperlink>
            <w:r>
              <w:rPr>
                <w:rFonts w:ascii="Times New Roman" w:hAnsi="Times New Roman"/>
                <w:sz w:val="20"/>
              </w:rPr>
              <w:t xml:space="preserve"> (File No. 333-272269), filed with the SEC on May 30, 2023, registering 240,000 Common Shares in connection with a new hire inducement stock option grant outside of the 2020 EIP.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7">
              <w:r>
                <w:rPr>
                  <w:rStyle w:val="InternetLink"/>
                  <w:rFonts w:ascii="Times New Roman" w:hAnsi="Times New Roman"/>
                  <w:sz w:val="20"/>
                </w:rPr>
                <w:t>Form S-8</w:t>
              </w:r>
            </w:hyperlink>
            <w:r>
              <w:rPr>
                <w:rFonts w:ascii="Times New Roman" w:hAnsi="Times New Roman"/>
                <w:sz w:val="20"/>
              </w:rPr>
              <w:t xml:space="preserve"> (File No. 333-277451), filed with the SEC on February 28, 2024, registering 2,530,562 Common Shares in connection with the Company’s 2020 EIP and 2020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Registration statement on </w:t>
            </w:r>
            <w:hyperlink r:id="rId8">
              <w:r>
                <w:rPr>
                  <w:rStyle w:val="InternetLink"/>
                  <w:rFonts w:ascii="Times New Roman" w:hAnsi="Times New Roman"/>
                  <w:sz w:val="20"/>
                </w:rPr>
                <w:t>Form S-8</w:t>
              </w:r>
            </w:hyperlink>
            <w:r>
              <w:rPr>
                <w:rFonts w:ascii="Times New Roman" w:hAnsi="Times New Roman"/>
                <w:sz w:val="20"/>
              </w:rPr>
              <w:t xml:space="preserve"> (File No. 333-279721), filed with the SEC on May 24, 2024, registering 350,000 Common Shares in connection with the Company’s 2024 Inducement Plan (the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9">
              <w:r>
                <w:rPr>
                  <w:rStyle w:val="InternetLink"/>
                  <w:rFonts w:ascii="Times New Roman" w:hAnsi="Times New Roman"/>
                  <w:sz w:val="20"/>
                </w:rPr>
                <w:t>Form S-8</w:t>
              </w:r>
            </w:hyperlink>
            <w:r>
              <w:rPr>
                <w:rFonts w:ascii="Times New Roman" w:hAnsi="Times New Roman"/>
                <w:sz w:val="20"/>
              </w:rPr>
              <w:t xml:space="preserve"> (File No. 333-285493), filed with the SEC on March 3, 2025, registering 2,550,642 Common Shares in connection with the Company’s 2020 EIP and 2020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November 14, 2025, the Company entered into an Arrangement Agreement (the “Agreement”) with XenoTherapeutics, Inc., a Massachusetts non-profit corporation (“Xeno”), Xeno Acquisition Corp., a Delaware corporation and wholly-owned subsidiary of Xeno (“Purchaser”), and solely for purposes of Section 9.15 thereof, XOMA Royalty Corporation, a Nevada corporation. Pursuant to the Agreement, on January 28, 2026, Purchaser acquired all of the issued and outstanding Common Shares in exchange for a cash payment per Common Share of approximately US$2.20, which was calculated in accordance with the Agreement (the “Transaction”). In addition, each holder of Common Shares also received one non-transferable contingent value right for each Common Share, which shall represent the right to receive a pro rata portion of potential cash payments.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 effective January 28, 2026, all offerings of the Company’s securities pursuant to the Registration Statements have been terminated by the Company. These post-effective amendments remove from registration any and all securities of the Company that were registered under the Registration Statements and remain unsold or otherwise unissued under the Registration Statements as of the date hereof.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Montréal, Province of Québec, Canada, on January 28, 2026. No other person is required to sign this Post-Effective Amendment to the Registration Statements in reliance on Rule 478 of the Securities Act of 1933, as amended.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REPARE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Steve Forte</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Steve Forte</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President, Chief Executive Officer and 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8158/000119312520176824/d948823ds8.htm" TargetMode="External"/><Relationship Id="rId3" Type="http://schemas.openxmlformats.org/officeDocument/2006/relationships/hyperlink" Target="http://www.sec.gov/Archives/edgar/data/1808158/000119312521106544/d19662ds8.htm" TargetMode="External"/><Relationship Id="rId4" Type="http://schemas.openxmlformats.org/officeDocument/2006/relationships/hyperlink" Target="http://www.sec.gov/Archives/edgar/data/1808158/000119312522072761/d289817ds8.htm" TargetMode="External"/><Relationship Id="rId5" Type="http://schemas.openxmlformats.org/officeDocument/2006/relationships/hyperlink" Target="http://www.sec.gov/Archives/edgar/data/1808158/000119312523056280/d454118ds8.htm" TargetMode="External"/><Relationship Id="rId6" Type="http://schemas.openxmlformats.org/officeDocument/2006/relationships/hyperlink" Target="http://www.sec.gov/Archives/edgar/data/1808158/000119312523156560/d447011ds8.htm" TargetMode="External"/><Relationship Id="rId7" Type="http://schemas.openxmlformats.org/officeDocument/2006/relationships/hyperlink" Target="http://www.sec.gov/Archives/edgar/data/1808158/000119312524050665/d625744ds8.htm" TargetMode="External"/><Relationship Id="rId8" Type="http://schemas.openxmlformats.org/officeDocument/2006/relationships/hyperlink" Target="http://www.sec.gov/Archives/edgar/data/1808158/000119312524147024/d785685ds8.htm" TargetMode="External"/><Relationship Id="rId9" Type="http://schemas.openxmlformats.org/officeDocument/2006/relationships/hyperlink" Target="http://www.sec.gov/Archives/edgar/data/1808158/000119312525044105/d889324ds8.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1022</Words>
  <Characters>5916</Characters>
  <CharactersWithSpaces>6958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