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00" w:right="1720" w:hanging="3692"/>
        <w:spacing w:after="0" w:line="318" w:lineRule="auto"/>
        <w:tabs>
          <w:tab w:leader="none" w:pos="36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2700" w:right="1720" w:hanging="2692"/>
        <w:spacing w:after="0" w:line="328" w:lineRule="auto"/>
        <w:tabs>
          <w:tab w:leader="none" w:pos="36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ectPr>
          <w:pgSz w:w="11900" w:h="16838" w:orient="portrait"/>
          <w:cols w:equalWidth="0" w:num="1">
            <w:col w:w="11240"/>
          </w:cols>
          <w:pgMar w:left="320" w:top="1186"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700" w:space="160"/>
            <w:col w:w="3380"/>
          </w:cols>
          <w:pgMar w:left="320" w:top="1186" w:right="339" w:bottom="1440" w:gutter="0" w:footer="0" w:header="0"/>
          <w:type w:val="continuous"/>
        </w:sectPr>
      </w:pPr>
    </w:p>
    <w:tbl>
      <w:tblPr>
        <w:tblLayout w:type="fixed"/>
        <w:tblInd w:w="1060" w:type="dxa"/>
        <w:tblCellMar>
          <w:top w:w="0" w:type="dxa"/>
          <w:left w:w="0" w:type="dxa"/>
          <w:bottom w:w="0" w:type="dxa"/>
          <w:right w:w="0" w:type="dxa"/>
        </w:tblCellMar>
      </w:tblPr>
      <w:tr>
        <w:trPr>
          <w:trHeight w:val="216"/>
        </w:trPr>
        <w:tc>
          <w:tcPr>
            <w:tcW w:w="5280" w:type="dxa"/>
            <w:vAlign w:val="bottom"/>
          </w:tcPr>
          <w:p>
            <w:pPr>
              <w:jc w:val="center"/>
              <w:ind w:right="1676"/>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tc>
        <w:tc>
          <w:tcPr>
            <w:tcW w:w="242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w w:val="94"/>
              </w:rPr>
              <w:t>H4S 1Z9</w:t>
            </w:r>
          </w:p>
        </w:tc>
        <w:tc>
          <w:tcPr>
            <w:tcW w:w="0" w:type="dxa"/>
            <w:vAlign w:val="bottom"/>
          </w:tcPr>
          <w:p>
            <w:pPr>
              <w:spacing w:after="0"/>
              <w:rPr>
                <w:sz w:val="1"/>
                <w:szCs w:val="1"/>
                <w:color w:val="auto"/>
              </w:rPr>
            </w:pPr>
          </w:p>
        </w:tc>
      </w:tr>
      <w:tr>
        <w:trPr>
          <w:trHeight w:val="227"/>
        </w:trPr>
        <w:tc>
          <w:tcPr>
            <w:tcW w:w="5280" w:type="dxa"/>
            <w:vAlign w:val="bottom"/>
          </w:tcPr>
          <w:p>
            <w:pPr>
              <w:jc w:val="center"/>
              <w:ind w:right="1716"/>
              <w:spacing w:after="0"/>
              <w:rPr>
                <w:sz w:val="20"/>
                <w:szCs w:val="20"/>
                <w:color w:val="auto"/>
              </w:rPr>
            </w:pPr>
            <w:r>
              <w:rPr>
                <w:rFonts w:ascii="Times New Roman" w:cs="Times New Roman" w:eastAsia="Times New Roman" w:hAnsi="Times New Roman"/>
                <w:sz w:val="18"/>
                <w:szCs w:val="18"/>
                <w:b w:val="1"/>
                <w:bCs w:val="1"/>
                <w:color w:val="auto"/>
                <w:w w:val="99"/>
              </w:rPr>
              <w:t>St-Laurent, Québec, Canada</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tcPr>
          <w:p>
            <w:pPr>
              <w:jc w:val="center"/>
              <w:ind w:right="16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RPTX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3, 2024, there were 42,445,406 of the registrant’s common shares,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5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563C1"/>
              </w:rPr>
              <w:t>SPECIAL NOTE REGARDING FORWARD LOOKING STATEMENTS</w:t>
            </w: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22"/>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440" w:type="dxa"/>
            <w:vAlign w:val="bottom"/>
            <w:tcBorders>
              <w:top w:val="single" w:sz="8" w:color="0563C1"/>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200" w:type="dxa"/>
            <w:vAlign w:val="bottom"/>
            <w:tcBorders>
              <w:top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494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4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w w:val="99"/>
              </w:rPr>
              <w:t>Condensed Consolidated Balance Sheets</w:t>
            </w:r>
          </w:p>
        </w:tc>
        <w:tc>
          <w:tcPr>
            <w:tcW w:w="620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tcBorders>
              <w:bottom w:val="single" w:sz="8" w:color="0563C1"/>
            </w:tcBorders>
            <w:gridSpan w:val="18"/>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Operations and Comprehensive Income (Loss)</w:t>
            </w:r>
          </w:p>
        </w:tc>
        <w:tc>
          <w:tcPr>
            <w:tcW w:w="290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Shareholders’ Equity</w:t>
            </w:r>
          </w:p>
        </w:tc>
        <w:tc>
          <w:tcPr>
            <w:tcW w:w="474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tcBorders>
              <w:bottom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Cash Flows</w:t>
            </w:r>
          </w:p>
        </w:tc>
        <w:tc>
          <w:tcPr>
            <w:tcW w:w="5420" w:type="dxa"/>
            <w:vAlign w:val="bottom"/>
            <w:gridSpan w:val="8"/>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34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gridSpan w:val="4"/>
          </w:tcPr>
          <w:p>
            <w:pPr>
              <w:spacing w:after="0"/>
              <w:rPr>
                <w:sz w:val="18"/>
                <w:szCs w:val="18"/>
                <w:color w:val="auto"/>
              </w:rPr>
            </w:pPr>
          </w:p>
        </w:tc>
        <w:tc>
          <w:tcPr>
            <w:tcW w:w="2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340" w:type="dxa"/>
            <w:vAlign w:val="bottom"/>
            <w:gridSpan w:val="14"/>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240" w:type="dxa"/>
            <w:vAlign w:val="bottom"/>
            <w:gridSpan w:val="13"/>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8"/>
              </w:rPr>
              <w:t>Legal Proceedings</w:t>
            </w:r>
          </w:p>
        </w:tc>
        <w:tc>
          <w:tcPr>
            <w:tcW w:w="7800" w:type="dxa"/>
            <w:vAlign w:val="bottom"/>
            <w:gridSpan w:val="16"/>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8220" w:type="dxa"/>
            <w:vAlign w:val="bottom"/>
            <w:gridSpan w:val="18"/>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478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540" w:type="dxa"/>
            <w:vAlign w:val="bottom"/>
            <w:tcBorders>
              <w:top w:val="single" w:sz="8" w:color="0563C1"/>
            </w:tcBorders>
            <w:gridSpan w:val="4"/>
          </w:tcPr>
          <w:p>
            <w:pPr>
              <w:spacing w:after="0"/>
              <w:rPr>
                <w:sz w:val="18"/>
                <w:szCs w:val="18"/>
                <w:color w:val="auto"/>
              </w:rPr>
            </w:pPr>
          </w:p>
        </w:tc>
        <w:tc>
          <w:tcPr>
            <w:tcW w:w="6820" w:type="dxa"/>
            <w:vAlign w:val="bottom"/>
            <w:gridSpan w:val="11"/>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820" w:type="dxa"/>
            <w:vAlign w:val="bottom"/>
            <w:gridSpan w:val="1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lunresertib, camonsertib and any of our other current and future product candidates that we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using our SNIPRx platform;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the initiation, patient enrollment, development and operation of our clinical trials, including a public health emergency or pandemic;</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impact of macroeconomic events, including health pandemics, changes in inflation, the U.S. Federal Reserve raising interest rates, disruptions in access to bank deposits or lending commitments due to bank failures and the Russia-Ukraine and Middle-East conflicts, on our operations, supply chains, general economic conditions, our ability to raise additional capital, and the continuity of our business, including our preclinical studies and clinical trials;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to timely and successfully complete those trials and to receive necessary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enrollment and availability of data from our current preclinical studies and clinical trials, including ongoing clinical trials of lunresertib, camonsertib and RP-1664;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filings with regulatory authorities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for any current or future product candidates that we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any milestone or royalty payments under our collaboration and license agreements;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termination of our collaboration with Hoffmann-La Roche Inc. and F. Hoffmann-La Roche Ltd for the development and commercialization of camonsertib, including our expectations regarding the development of camonsertib following the transition of commercial and development rights in camonsertib back to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the collaboration compounds retained by us following the termination of our collaboration with F. Hoffmann-La Roche Ltd and Hoffman-La Roche Inc.;</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with respect to lunresertib, camonsertib, or any of our other current or future product candidates, as well as innovations by current and future competitors in our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maintain and enforce for intellectual property rights covering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our ability to effectively manage our anticipated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 in this Quarterly Report and elsewhere in our Annual Report on Form 10-K for the fiscal year ended December 31, 2023, filed with the Securities and Exchange Commission (the “SEC”) on 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macroeconomic events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79"/>
        </w:trPr>
        <w:tc>
          <w:tcPr>
            <w:tcW w:w="7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103,217</w:t>
            </w:r>
          </w:p>
        </w:tc>
        <w:tc>
          <w:tcPr>
            <w:tcW w:w="4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111,268</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133,784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112,359</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receivable</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10,829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10,813</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receivables</w:t>
            </w:r>
          </w:p>
        </w:tc>
        <w:tc>
          <w:tcPr>
            <w:tcW w:w="30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3,377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4,499</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3,463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4,749</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254,670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243,688</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3,714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4,215</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2,763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3,326</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1,630</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2,276</w:t>
            </w:r>
          </w:p>
        </w:tc>
      </w:tr>
      <w:tr>
        <w:trPr>
          <w:trHeight w:val="22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396</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263,084</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253,901</w:t>
            </w: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6,825</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2,400</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20,454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24,057</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30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2,400</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3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1,073</w:t>
            </w:r>
          </w:p>
        </w:tc>
        <w:tc>
          <w:tcPr>
            <w:tcW w:w="1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10,222</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30,570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39,079</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1,010</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1,730</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31,131</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41,819</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shares, no par value per share; unlimited shares authorized</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as of March 31, 2024 and December 31, 2023, respectively; 0 shares issued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as of March 31, 2024, and December 31, 2023, respectively</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no par value per share; unlimited shares authorized as of</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March 31, 2024 and December 31, 2023; 42,445,406 and 42,176,041 shares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issued and outstanding as of March 31, 2024 and December 31, 2023, respectively</w:t>
            </w:r>
          </w:p>
        </w:tc>
        <w:tc>
          <w:tcPr>
            <w:tcW w:w="300" w:type="dxa"/>
            <w:vAlign w:val="bottom"/>
          </w:tcPr>
          <w:p>
            <w:pPr>
              <w:spacing w:after="0"/>
              <w:rPr>
                <w:sz w:val="19"/>
                <w:szCs w:val="19"/>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486,375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483,350</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65,638</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61,813</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(319,947 )</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(333,109 )</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231,953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212,082</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263,084</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253,901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-4122420</wp:posOffset>
            </wp:positionV>
            <wp:extent cx="111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-3230880</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-3214370</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-3385820</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-1731010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-334010</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data)</w:t>
      </w: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40,359</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(34,681 )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gain (loss) on foreign exchange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(31,325 )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(629 )</w:t>
            </w:r>
          </w:p>
        </w:tc>
        <w:tc>
          <w:tcPr>
            <w:tcW w:w="3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(3,616 )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28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(34,941 )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20"/>
                <w:szCs w:val="20"/>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28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(34,748 )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shareholders: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(0.83 )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42,234,001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42,040,674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44,024,198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42,040,674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-3205480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-2879725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-1610995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-1276350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9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Other Comprehensive</w:t>
            </w:r>
          </w:p>
        </w:tc>
        <w:tc>
          <w:tcPr>
            <w:tcW w:w="200" w:type="dxa"/>
            <w:vAlign w:val="bottom"/>
          </w:tcPr>
          <w:p>
            <w:pPr>
              <w:spacing w:after="0"/>
              <w:rPr>
                <w:sz w:val="13"/>
                <w:szCs w:val="13"/>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32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00" w:type="dxa"/>
            <w:vAlign w:val="bottom"/>
          </w:tcPr>
          <w:p>
            <w:pPr>
              <w:spacing w:after="0"/>
              <w:rPr>
                <w:sz w:val="13"/>
                <w:szCs w:val="13"/>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w:t>
            </w:r>
          </w:p>
        </w:tc>
        <w:tc>
          <w:tcPr>
            <w:tcW w:w="13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1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3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42,036,193</w:t>
            </w:r>
          </w:p>
        </w:tc>
        <w:tc>
          <w:tcPr>
            <w:tcW w:w="6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482,032</w:t>
            </w:r>
          </w:p>
        </w:tc>
        <w:tc>
          <w:tcPr>
            <w:tcW w:w="4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37,226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(428 )</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(239,313 )</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279,517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Issuance of common shares</w:t>
            </w: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under the 2020 Employee</w:t>
            </w: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41,703</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(229 )</w:t>
            </w:r>
          </w:p>
        </w:tc>
        <w:tc>
          <w:tcPr>
            <w:tcW w:w="8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920" w:type="dxa"/>
            <w:vAlign w:val="bottom"/>
            <w:shd w:val="clear" w:color="auto" w:fill="CFF0FC"/>
          </w:tcPr>
          <w:p>
            <w:pPr>
              <w:ind w:left="100"/>
              <w:spacing w:after="0" w:line="132" w:lineRule="exact"/>
              <w:rPr>
                <w:sz w:val="20"/>
                <w:szCs w:val="20"/>
                <w:color w:val="auto"/>
              </w:rPr>
            </w:pPr>
            <w:r>
              <w:rPr>
                <w:rFonts w:ascii="Times New Roman" w:cs="Times New Roman" w:eastAsia="Times New Roman" w:hAnsi="Times New Roman"/>
                <w:sz w:val="13"/>
                <w:szCs w:val="13"/>
                <w:color w:val="auto"/>
              </w:rPr>
              <w:t>Other comprehensive</w:t>
            </w: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(34,941 )</w:t>
            </w:r>
          </w:p>
        </w:tc>
        <w:tc>
          <w:tcPr>
            <w:tcW w:w="22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(34,941 )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42,079,896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482,677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43,056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(235 )</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(274,254 )</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251,244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32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42,176,041</w:t>
            </w:r>
          </w:p>
        </w:tc>
        <w:tc>
          <w:tcPr>
            <w:tcW w:w="6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483,350</w:t>
            </w:r>
          </w:p>
        </w:tc>
        <w:tc>
          <w:tcPr>
            <w:tcW w:w="4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61,813</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(333,109 )</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920" w:type="dxa"/>
            <w:vAlign w:val="bottom"/>
            <w:shd w:val="clear" w:color="auto" w:fill="CFF0FC"/>
          </w:tcPr>
          <w:p>
            <w:pPr>
              <w:ind w:left="10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expense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Issuance of common shares</w:t>
            </w: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on vesting of restricted</w:t>
            </w: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 units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200,262</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(2,488 )</w:t>
            </w:r>
          </w:p>
        </w:tc>
        <w:tc>
          <w:tcPr>
            <w:tcW w:w="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9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Issuance of common shares</w:t>
            </w: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under the 2020 Employee</w:t>
            </w: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(152 )</w:t>
            </w:r>
          </w:p>
        </w:tc>
        <w:tc>
          <w:tcPr>
            <w:tcW w:w="8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(141 )</w:t>
            </w: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(141 )</w:t>
            </w: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13,162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42,445,406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486,375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65,638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(113 )</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(319,947 )</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231,953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-1499870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-1482090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-1499870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-1482090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-1499870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-1482090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-1499870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-1482090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-1499870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-1482090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U.S. dollars)</w:t>
      </w:r>
    </w:p>
    <w:p>
      <w:pPr>
        <w:spacing w:after="0" w:line="249"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7"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6985</wp:posOffset>
            </wp:positionV>
            <wp:extent cx="21342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for the period</w:t>
            </w:r>
          </w:p>
        </w:tc>
        <w:tc>
          <w:tcPr>
            <w:tcW w:w="96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(34,941 )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marketable securities</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(1,245 )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(1,839 )</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current receivables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(2,741 )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(3,587 )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(4,203 )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(429 )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(581 )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(10,879 )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(1,677 )</w:t>
            </w:r>
          </w:p>
        </w:tc>
      </w:tr>
      <w:tr>
        <w:trPr>
          <w:trHeight w:val="23"/>
        </w:trPr>
        <w:tc>
          <w:tcPr>
            <w:tcW w:w="77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(31,786 )</w:t>
            </w:r>
          </w:p>
        </w:tc>
      </w:tr>
      <w:tr>
        <w:trPr>
          <w:trHeight w:val="221"/>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(475 )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(89,331 )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(98,711 )</w:t>
            </w:r>
          </w:p>
        </w:tc>
      </w:tr>
      <w:tr>
        <w:trPr>
          <w:trHeight w:val="23"/>
        </w:trPr>
        <w:tc>
          <w:tcPr>
            <w:tcW w:w="778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(20,316 )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(6,686 )</w:t>
            </w:r>
          </w:p>
        </w:tc>
      </w:tr>
      <w:tr>
        <w:trPr>
          <w:trHeight w:val="22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the 2020 Employee Share Purchase Plan</w:t>
            </w:r>
          </w:p>
        </w:tc>
        <w:tc>
          <w:tcPr>
            <w:tcW w:w="9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FF0FC"/>
          </w:tcPr>
          <w:p>
            <w:pPr>
              <w:spacing w:after="0"/>
              <w:rPr>
                <w:sz w:val="20"/>
                <w:szCs w:val="20"/>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 held</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(8,051 )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(38,060 )</w:t>
            </w:r>
          </w:p>
        </w:tc>
      </w:tr>
      <w:tr>
        <w:trPr>
          <w:trHeight w:val="232"/>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111,268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6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121,461</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2"/>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incurred but not yet paid</w:t>
            </w: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 obtained in exchange for new operating lease liability</w:t>
            </w:r>
          </w:p>
        </w:tc>
        <w:tc>
          <w:tcPr>
            <w:tcW w:w="96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-2605405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-2013585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-1426210</wp:posOffset>
            </wp:positionV>
            <wp:extent cx="102870" cy="187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-1426210</wp:posOffset>
            </wp:positionV>
            <wp:extent cx="93980" cy="187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-813435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-196215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-179070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specified)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Repare Therapeutics Inc. (“Repare” or the “Company”) is a precision medicine oncology company focused on the development of synthetic lethality-based therapies for patients with cancer. The Company is governed by the </w:t>
      </w:r>
      <w:r>
        <w:rPr>
          <w:rFonts w:ascii="Times New Roman" w:cs="Times New Roman" w:eastAsia="Times New Roman" w:hAnsi="Times New Roman"/>
          <w:sz w:val="18"/>
          <w:szCs w:val="18"/>
          <w:i w:val="1"/>
          <w:iCs w:val="1"/>
          <w:color w:val="auto"/>
        </w:rPr>
        <w:t>Business Corporations Act (Québec)</w:t>
      </w:r>
      <w:r>
        <w:rPr>
          <w:rFonts w:ascii="Times New Roman" w:cs="Times New Roman" w:eastAsia="Times New Roman" w:hAnsi="Times New Roman"/>
          <w:sz w:val="18"/>
          <w:szCs w:val="18"/>
          <w:color w:val="auto"/>
        </w:rPr>
        <w:t>. The Company’s common shares are listed on the Nasdaq Global Select Market under the ticker symbol “RPTX”.</w:t>
      </w:r>
    </w:p>
    <w:p>
      <w:pPr>
        <w:spacing w:after="0" w:line="280" w:lineRule="exact"/>
        <w:rPr>
          <w:sz w:val="20"/>
          <w:szCs w:val="20"/>
          <w:color w:val="auto"/>
        </w:rPr>
      </w:pPr>
    </w:p>
    <w:p>
      <w:pPr>
        <w:ind w:right="76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annual consolidated financial statements as of and for the year ended December 31, 2023, and, in the opinion of management, reflect all adjustments, consisting of normal recurring adjustments, necessary for the fair presentation of the Company’s consolidated financial position as of March 31, 2024, the consolidated results of its operations for the three months ended March 31, 2024 and 2023, its statements of shareholders’ equity for the three months ended March 31, 2024 and 2023 and its consolidated cash flows for the three months ended March 31, 2024 and 2023.</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accompanying notes for the year ended December 31, 2023 included in the Company’s Annual Report on Form 10-K, filed with the Securities and Exchange Commission (the “SEC”) on February 28, 2024 (the “Annual Report”). The condensed consolidated balance sheet data as of December 31, 2023 presented for comparative purposes was derived from the Company’s audited consolidated financial statements but does not include all disclosures required by U.S. GAAP. The results for the three months ended March 31, 2024 are not necessarily indicative of the operating results to be expected for the full year or for any other subsequent interim period.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2023 included in the Annual Report. There have been no changes to the Company's significant accounting policies since the date of the audited consolidated financial statements for the year ended December 31, 2023 included in the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 and expenses are eliminated in full upon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unaudited condensed consolidated financial statements include, but are not limited to, estimates related to revenue recognition, accrued research and development expenses, share-based compensation and income taxes. The Company bases its estimates on historical experience and other market specific or other relevant assumptions that it believes to be reasonable under the circumstances. Actual results could differ from those estimates. Estimates are periodically reviewed in light of changes in circumstances, facts and experience. Changes in estimates are recorded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2023, the FASB amended the guidance in ASU 280, Segment Reporting, to require a public entity to disclose significant segment expenses and other segment items on an annual and interim basis and provide in interim periods all disclosures about a reportable segment’s profit or loss and assets that are currently required annually. Public entities with a single reportable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are required to provide the new disclosures and all the disclosures currently required under ASC 280. The new guidance is effective for public entities in fiscal years beginning after December 15, 2023, and interim periods within fiscal years beginning after December 15, 2024. Early adoption is permitted. The Company is currently assessing the impact of this amendment on its consolidated financial statements.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FASB amended the guidance in ASU 740, Income Taxes, to provide disaggregated income tax disclosures on the rate reconciliation and income taxes paid. The new guidance is effective for public entities in fiscal years beginning after 15 December 2024. Early adoption is permitted. The Company is currently assessing the impact of this amendment on its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and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and cash equivalents and marketable securities were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9"/>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48,706</w:t>
            </w:r>
          </w:p>
        </w:tc>
        <w:tc>
          <w:tcPr>
            <w:tcW w:w="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48,706</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103,218</w:t>
            </w:r>
          </w:p>
        </w:tc>
        <w:tc>
          <w:tcPr>
            <w:tcW w:w="26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117,197</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133,896</w:t>
            </w:r>
          </w:p>
        </w:tc>
        <w:tc>
          <w:tcPr>
            <w:tcW w:w="26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111,264</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111,268</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and government-sponsored enterprises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89,901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89,950</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112,335</w:t>
            </w:r>
          </w:p>
        </w:tc>
        <w:tc>
          <w:tcPr>
            <w:tcW w:w="26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-2605405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-2605405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-2605405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-1953895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-1953895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-1953895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-839470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-839470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-839470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receivable was $0.4 million and $0.4 million as of March 31, 2024 and December 31, 2023, respectively, and is included in other current receivables.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held available-for-sale marketable securities with an aggregate fair value of $109.3 million and $58.6 million that were in an immaterial, unrealized loss position as of March 31, 2024 and December 31, 2023, respectively, as shown in the table above. These marketable securities have been in an unrealized loss position for less than twelve months. The unrealized losses as of March 31, 2024 and December 31, 2023, were not attributed to credit risk but were primarily associated with changes in interest rates and market liquidity. The Company does not intend to sell these securities and it is more likely than not that it will hold these investments for a period of time sufficient to recover the amortized cost. As a result, the Company did not record an allowance for credit losses or other impairment charges for its marketable securities for the three months ended March 31, 2024 and 2023.</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a net unrealized loss of $0.1 million and a net unrealized gain of $0.2 million in other comprehensive (loss) income in the three months ended March 31, 2024 and 2023, respectively, in relation to its cash and cash equivalents and marketable securities.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maturities of the Company’s marketable securities as of March 31, 2024 and December 31, 2023 are less than one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Money market funds</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6"/>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financial assets</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188,295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143,737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3"/>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Money market funds</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68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U.S. Treasury and government-sponsored enterprises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7"/>
        </w:trPr>
        <w:tc>
          <w:tcPr>
            <w:tcW w:w="5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financial assets</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-2853690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-2853690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-2853690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-2219325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-2219325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-2219325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-1893570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-1876425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-1893570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-1876425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-1893570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-1876425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-822325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-822325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-822325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developing fair value estimates, the Company maximizes the use of observable inputs and minimizes the use of unobservable inputs. When available, the Company uses quoted market prices to measure the fair value. In determining the fair values at each date presented above, the Company relied on quoted prices for similar securities in active markets or using other inputs that are observable or can be corroborated by observable market data.</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transfers between fair value measure levels.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March 31, 2024 and December 31, 2023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16,443</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16,251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Pr>
          <w:p>
            <w:pPr>
              <w:spacing w:after="0"/>
              <w:rPr>
                <w:sz w:val="20"/>
                <w:szCs w:val="20"/>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2,739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6,981</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631</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194</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20,454</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Collaborative Arrangements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Debiopharm Clinical Study and Collaboration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2024, the Company entered into a clinical study and collaboration agreement with Debiopharm International S.A. (“Debiopharm”), a privately-owned, Swiss-based biopharmaceutical company, with the aim to explore the synergy between the Company’s compound, lunresertib, and Debiopharm’s compound, Debio 0123, a WEE1 inhibitor (the “Debio collaboration agreement”). The Company and Debiopharm are collaborating on the development of a combination therapy, with the Company sponsoring the global study, and will share all costs equally. The Company and Debiopharm are each supplying their respective drugs and retain all commercial rights to their respective compounds, including as monotherapy or as combination therapies. The activities associated with the collaboration are coordinated by a joint steering committee, which is comprised of an equal number of representatives from the Company and Debiopharm.</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the terms of the Debio collaboration agreement, the Company concluded that the Debio collaboration agreement meets the requirements of a collaboration within the guidance of ASC 808, Collaborative Arrangements, as both parties are active participants in the combination trial and are exposed to significant risks and rewards depending on the success of the combination trial. Accordingly, the net costs associated with the co-development are expensed as incurred and recognized within research and development expenses in the consolidated statement of operations and comprehensive income (loss).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2024, the Company recognized $0.5 million in net research and development costs with regards to the Debio collaboration agreement and recorded a receivable from Debiopharm of $0.5 million in other current receivables, reflecting the 50/50 cost sharing terms.</w:t>
      </w:r>
    </w:p>
    <w:p>
      <w:pPr>
        <w:sectPr>
          <w:pgSz w:w="11900" w:h="16838" w:orient="portrait"/>
          <w:cols w:equalWidth="0" w:num="1">
            <w:col w:w="11240"/>
          </w:cols>
          <w:pgMar w:left="320" w:top="1305" w:right="339" w:bottom="1440" w:gutter="0" w:footer="0" w:header="0"/>
        </w:sectPr>
      </w:pPr>
    </w:p>
    <w:p>
      <w:pPr>
        <w:spacing w:after="0" w:line="280" w:lineRule="exact"/>
        <w:rPr>
          <w:sz w:val="20"/>
          <w:szCs w:val="20"/>
          <w:color w:val="auto"/>
        </w:rPr>
      </w:pPr>
    </w:p>
    <w:p>
      <w:pPr>
        <w:ind w:left="520" w:right="1520" w:hanging="512"/>
        <w:spacing w:after="0" w:line="582" w:lineRule="auto"/>
        <w:tabs>
          <w:tab w:leader="none" w:pos="19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from Collaboration and License Agreements </w:t>
      </w:r>
      <w:r>
        <w:rPr>
          <w:rFonts w:ascii="Times New Roman" w:cs="Times New Roman" w:eastAsia="Times New Roman" w:hAnsi="Times New Roman"/>
          <w:sz w:val="17"/>
          <w:szCs w:val="17"/>
          <w:color w:val="auto"/>
        </w:rPr>
        <w:t>The following table presents revenue from collaboration agreements: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2620"/>
        <w:spacing w:after="0" w:line="313" w:lineRule="auto"/>
        <w:rPr>
          <w:sz w:val="20"/>
          <w:szCs w:val="20"/>
          <w:color w:val="auto"/>
        </w:rPr>
      </w:pPr>
      <w:r>
        <w:rPr>
          <w:rFonts w:ascii="Times New Roman" w:cs="Times New Roman" w:eastAsia="Times New Roman" w:hAnsi="Times New Roman"/>
          <w:sz w:val="18"/>
          <w:szCs w:val="18"/>
          <w:color w:val="auto"/>
        </w:rPr>
        <w:t>Roche Collaboration and License Agreement Bristol-Myers Squibb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4"/>
        </w:trPr>
        <w:tc>
          <w:tcPr>
            <w:tcW w:w="38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r>
      <w:tr>
        <w:trPr>
          <w:trHeight w:val="23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49,815</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50"/>
        </w:trPr>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9"/>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720"/>
            <w:col w:w="3520"/>
          </w:cols>
          <w:pgMar w:left="320" w:top="1305" w:right="339" w:bottom="1440" w:gutter="0" w:footer="0" w:header="0"/>
          <w:type w:val="continuous"/>
        </w:sect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revenue recognition accounting policy, as well as additional information on the Company’s collaboration and license agreements are disclosed in the audited consolidated financial statements for the year ended December 31, 2023 included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Roche Collaboration and License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2022, the Company entered into a collaboration and license agreement (the “Roche Agreement”) with Hoffmann-La Roche Inc. and F. Hoffmann-La Roche Ltd (collectively, “Roche”) regarding the development and commercialization of the Company’s product candidate camonsertib (also known as RP-3500) and specified other Ataxia-Telangiectasia and Rad3-related protein kinase (“ATR”) inhibitors (the “Licensed Products”) which became effective July 13, 2022 (the “Effective Date”). Pursuant to the Roche Agreement, the Company granted Roche a worldwide, perpetual, exclusive, sublicensable license to develop, manufacture,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commercialize the Licensed Products, as well as a non-exclusive, sublicensable license to certain related companion diagnostics. The Company agreed to complete specified ongoing clinical trials in accordance with the development plan in the Roche Agreement, as well as ongoing investigator sponsored trials (together, the “Continuing Trials”) at the Company’s expense. Roche assumed all subsequent development of camonsertib with the potential to expand development into additional tumors and multiple combination studies. The Company retained the right to conduct specified clinical trials (the “Repare Trials”) of camonsertib in combination with the Company’s PKMYT1 compound, lunresertib (also known as RP-6306). The Roche Agreement provided the Company, at its sole discretion, with the ability to opt-in to a 50/50 U.S. co-development and profit share arrangement, including participation in U.S. co-promotion if U.S. regulatory approval was received. If the Company chose to exercise its co-development and profit share option, it would continue to be eligible to receive certain clinical, regulatory, commercial and sales milestone payments, in addition to full ex-U.S. royalties.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7, 2024, the Company received written notice from Roche of their election to terminate the Roche Agreement following a review of Roche’s pipeline and evolving external factors. The termination became effective May 7, 2024, at which time the Company regained global development and commercialization rights for camonsertib from Roche.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the Company received a payment of $4.0 million for revisions to the clinical development plan under the Roche Agreement, of which $2.1 million was previously recorded as a receivable at December 31, 2023. The transaction price was updated for this additional consideration received, as well as other adjustments of $0.5 million pursuant to the termination of the agreement.</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 February 2024, the Company further received a $40.0 million milestone payment from Roche that was earned upon dosing of the first patient with camonsertib in Roche’s Phase 2 TAPISTRY trial in January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Completion of Continuing</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Roche Agreement</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Trials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collaboration revenue</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1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(49,815 )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Classified as short-term</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$49.8 million and $5.3 million for the three months ended March 31, 2024 and 2023, respectively as revenue associated with the Roche Agreement in relation to (i) the recognition of revenue upon the $40.0 million milestone achievement in the first quarter of 2024, as well as</w:t>
      </w:r>
    </w:p>
    <w:p>
      <w:pPr>
        <w:ind w:firstLine="8"/>
        <w:spacing w:after="0" w:line="260"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recognition of deferred revenue for research and development services performed towards the completion of the Continuing Trials during the period.</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there was $1.1 million (December 31, 2023 - $9.4 million) of deferred revenue related to the Roche Agreement, of which $1.1 million (December 31, 2023 - $7.7 million) was classified as current and nil (December 31, 2023 - $1.7 million) was classified as non-current in the condensed consolidated balance sheet based on the period the services to complete the Continuing Trials are expected to be performed. All deferred revenue related to the Roche Agreement is expected to be recognized in the second quarter of 2024 pursuant to the termination.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Bristol-Myers Squibb Collaboration and License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the Company entered into a collaboration and license agreement (the “BMS Agreement”) with Bristol-Myers Squibb Company (“Bristol-Myers Squibb”), pursuant to which the Company and Bristol-Myers Squibb have agreed to collaborate in the research and development of potential new product candidates for the treatment of cancer. The Company provided Bristol-Myers Squibb access to a selected number of its existing screening campaigns and novel campaigns. The Company was responsible for carrying out early-stage research activities directed to identifying potential targets for potential licensing by Bristol-Myers Squibb, in accordance with a mutually agreed upon research plan, and was solely responsible for such costs. The collaboration consisted of programs directed to both druggable targets and to targets commonly considered undruggable to traditional small molecule approaches. Upon Bristol-Myers Squibb’s election to exercise its option to obtain exclusive worldwide licenses for the subsequent development, manufacturing and commercialization of a program, Bristol-Myers Squibb will then be solely responsible for all such worldwide activities and costs.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the collaboration term expired in November 2023, the BMS Agreement will not expire until, on a licensed product-by-licensed product and country-by-country basis, the expiration of the applicable royalty term and in its entirety upon expiration of the last royalty term. Either party may terminate earlier upon an uncured material breach of the agreement by the other party, 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insolvency of the other party. Additionally, Bristol-Myers Squibb may terminate the BMS Agreement for any or no reason on a program-by-program basis upon specified written notice.</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entitled to receive up to $301.0 million in total milestones on a program-by-program basis, consisting of $176.0 million in the aggregate for certain specified research, development and regulatory milestones and $125.0 million in the aggregate for certain specified commercial milestones. The Company is further entitled to a tiered percentage royalty on annual net sales ranging from high-single digits to low-double digits, subject to certain specified reductions.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 to license</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BMS Agreement</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undruggable targets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collaboration revenue</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20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(2,589 )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In March 2024, Bristol-Myers Squibb exercised its one remaining option for an undruggable target. As a result, the Company recognized $2.6 million as revenue related to undruggable targets, including the option fee payment of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historically entered into lease arrangements for its facilities. As of March 31, 2024, the Company had four operating leases with required future minimum payments. The Company’s leases generally do not include termination or purchase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tables contain a summary of the lease costs recognized under ASC 842 and other information pertaining to the Company’s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gridSpan w:val="3"/>
          </w:tcPr>
          <w:p>
            <w:pPr>
              <w:jc w:val="center"/>
              <w:ind w:right="5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 Lease Costs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costs</w:t>
            </w:r>
          </w:p>
        </w:tc>
        <w:tc>
          <w:tcPr>
            <w:tcW w:w="100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Variable lease costs</w:t>
            </w:r>
          </w:p>
        </w:tc>
        <w:tc>
          <w:tcPr>
            <w:tcW w:w="10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lease costs</w:t>
            </w:r>
          </w:p>
        </w:tc>
        <w:tc>
          <w:tcPr>
            <w:tcW w:w="100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24"/>
                <w:szCs w:val="24"/>
                <w:color w:val="auto"/>
              </w:rPr>
            </w:pPr>
          </w:p>
        </w:tc>
      </w:tr>
      <w:tr>
        <w:trPr>
          <w:trHeight w:val="550"/>
        </w:trPr>
        <w:tc>
          <w:tcPr>
            <w:tcW w:w="7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gridSpan w:val="3"/>
          </w:tcPr>
          <w:p>
            <w:pPr>
              <w:jc w:val="center"/>
              <w:ind w:right="5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right="5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as</w:t>
            </w:r>
          </w:p>
        </w:tc>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specified otherwise)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Lease Information</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00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liability</w:t>
            </w:r>
          </w:p>
        </w:tc>
        <w:tc>
          <w:tcPr>
            <w:tcW w:w="100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1"/>
                <w:szCs w:val="2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0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2.19</w:t>
            </w:r>
          </w:p>
        </w:tc>
        <w:tc>
          <w:tcPr>
            <w:tcW w:w="60" w:type="dxa"/>
            <w:vAlign w:val="bottom"/>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0" w:type="dxa"/>
            <w:vAlign w:val="bottom"/>
          </w:tcPr>
          <w:p>
            <w:pPr>
              <w:spacing w:after="0"/>
              <w:rPr>
                <w:sz w:val="20"/>
                <w:szCs w:val="20"/>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4.2 %</w:t>
            </w:r>
          </w:p>
        </w:tc>
        <w:tc>
          <w:tcPr>
            <w:tcW w:w="1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-1508125</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-1490980</wp:posOffset>
            </wp:positionV>
            <wp:extent cx="111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Employee Share Purchase Plan</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Company’s board of directors adopted, and the Company’s shareholders approved the 2020 Employee Share Purchase Plan (“ESPP”). The number of shares reserved and available for issuance under the ESPP will automatically increase each January 1, beginning on January 1, 2021 and each January 1 thereafter through January 31, 2030, by the lesser of (1) 1.0% of the total number of common shares outstanding on December 31 of the preceding calendar year, (2) 3,300,000 common shares, or (3) such</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smaller number of common shares as the Company’s board of directors may designate. As of March 31, 2024, the number of common shares that may be issued under the ESPP is 1,772,568.</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ESPP enables eligible employees to purchase common shares of the Company at the end of each offering period at a price equal to 85% of the fair market value of the shares on the first business day or the last business day of the offering period, whichever is lower. Participation in the ESPP is voluntary. Eligible employees become participants in the ESPP by enrolling in the plan and authorizing payroll deductions. At the end of each offering period, accumulated payroll deductions are used to purchase the Company’s shares at the discounted price. The Company makes no contributions to the ESPP. A participant may withdraw from the ESPP or suspend contributions to the ESPP. If the participant elects to withdraw during an offering, all contributions are refunded as soon as administratively practicable. If a participant elects to withdraw or suspend contributions, they will not be able to re-enroll in the current offering but may elect to participate in future offerings. A participant may only purchase whole shares of the Company’s common shares in the ESPP. ESPP offering periods are offered on a rolling six-month basis.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issued 60,618 common shares under the ESPP for the three months ended March 31, 2024, at a weighted-average price per share of $5.91, for aggregate proceeds of $0.4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Plan and 2020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4,074,135 shares of the Company’s common shares to be issued.</w:t>
      </w:r>
    </w:p>
    <w:p>
      <w:pPr>
        <w:spacing w:after="0" w:line="176" w:lineRule="exact"/>
        <w:rPr>
          <w:sz w:val="20"/>
          <w:szCs w:val="20"/>
          <w:color w:val="auto"/>
        </w:rPr>
      </w:pPr>
    </w:p>
    <w:p>
      <w:pPr>
        <w:jc w:val="both"/>
        <w:ind w:firstLine="573"/>
        <w:spacing w:after="0" w:line="254" w:lineRule="auto"/>
        <w:rPr>
          <w:sz w:val="20"/>
          <w:szCs w:val="20"/>
          <w:color w:val="auto"/>
        </w:rPr>
      </w:pPr>
      <w:r>
        <w:rPr>
          <w:rFonts w:ascii="Times New Roman" w:cs="Times New Roman" w:eastAsia="Times New Roman" w:hAnsi="Times New Roman"/>
          <w:sz w:val="18"/>
          <w:szCs w:val="18"/>
          <w:color w:val="auto"/>
        </w:rPr>
        <w:t>In June 2020, the Company’s board of directors adopted, and the Company’s shareholders approved the 2020 Equity Incentive Plan (the “2020 Plan”). The 2020 Plan became effective on the effective date of the IPO, at which time the Company ceased making awards under the Option Plan. The 2020 Plan allows the Company’s compensation committee to make equity-based and cash-based incentive awards to the Company’s officers, employees, directors and consultants including but not limited to stock options and restricted share units. The aggregate number of common shares reserved and available for issuance under the 2020 Plan has automatically increased on January 1 of each year beginning on January 1, 2021 and will continue to increase on January 1 of each year through and including January 1, 2030, by 5% of the outstanding number of common shares on the immediately preceding December 31, or such lesser number of shares as determined by the Company’s board of directors. As of March 31, 2024, the number of common shares reserved for issuance under the 2020 Plan is 12,136,183.</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exercise price per share of a stock option must be at least equal to the fair value of the common shares on the date of grant, as determined by the Company’s compensation committee or the Company’s board of directors. Stock options awarded under the 2020 Plan expire 10 years after the grant. Unless otherwise stated in a stock option agreement, options generally have vesting conditions of 25% of the shares subject to an option grant typically vesting upon the first anniversary of the vesting start date and thereafter at the rate of one forty-eighth of the option shares per month as of the first day of each month after the first anniversary.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2024, the Company’s board of directors approved the adoption of the 2024 Inducement Plan (the “Inducement Plan”), to be used exclusively for grants of awards to individuals who were not previously employees or directors (or following a bona fide period of non-employment) as a material inducement to such individuals’ entry into employment with the Company, pursuant to Nasdaq Listing Rule 5635(c)(4). The terms and conditions of the Inducement Plan are substantially similar to those of the 2020 Plan. 350,000 common shares have been reserved for issuance under the Inducement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activity: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2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7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55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10,097,771</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5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1,376,682</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5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or forfeited</w:t>
            </w:r>
          </w:p>
        </w:tc>
        <w:tc>
          <w:tcPr>
            <w:tcW w:w="384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(145,179 )</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7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March 31, 2024</w:t>
            </w:r>
          </w:p>
        </w:tc>
        <w:tc>
          <w:tcPr>
            <w:tcW w:w="55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11,320,789</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633"/>
        </w:trPr>
        <w:tc>
          <w:tcPr>
            <w:tcW w:w="3840" w:type="dxa"/>
            <w:vAlign w:val="bottom"/>
            <w:tcBorders>
              <w:top w:val="single" w:sz="8" w:color="CFF0FC"/>
            </w:tcBorders>
          </w:tcPr>
          <w:p>
            <w:pPr>
              <w:spacing w:after="0"/>
              <w:rPr>
                <w:sz w:val="24"/>
                <w:szCs w:val="24"/>
                <w:color w:val="auto"/>
              </w:rPr>
            </w:pPr>
          </w:p>
        </w:tc>
        <w:tc>
          <w:tcPr>
            <w:tcW w:w="384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38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-925195</wp:posOffset>
            </wp:positionV>
            <wp:extent cx="111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-908050</wp:posOffset>
            </wp:positionV>
            <wp:extent cx="111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an aggregate of 8,485 options were exercised at a weighted-average exercise price of $1.99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and the assumptions used in the Black Scholes option-pricing model to determine the grant date fair value of stock options granted to employees and non-employees were as follows, presented on a weighted average basis:</w:t>
      </w:r>
    </w:p>
    <w:p>
      <w:pPr>
        <w:spacing w:after="0" w:line="16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5080</wp:posOffset>
            </wp:positionV>
            <wp:extent cx="21602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stock options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terms (in years)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82.99 %</w:t>
            </w:r>
          </w:p>
        </w:tc>
        <w:tc>
          <w:tcPr>
            <w:tcW w:w="1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81.77 %</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55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share unit activity:</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603,685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527,273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(200,262 )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March 31, 2024</w:t>
            </w: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927,304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restricted share unit is estimated on the date of grant based on the fair value of our common shares on that same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expense for all awards was allocated as follows: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8"/>
              </w:rPr>
              <w:t>3,419</w:t>
            </w:r>
          </w:p>
        </w:tc>
        <w:tc>
          <w:tcPr>
            <w:tcW w:w="7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8"/>
              </w:rPr>
              <w:t>3,056</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8"/>
              </w:rPr>
              <w:t>6,475</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expense by type of award was as follows: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was $38.6 million and $8.1 million of unrecognized share-based compensation expense to be recognized over a weighted average period of 1.6 years and 2.5 years related to unvested stock options and unvested restricted share units, respectively.</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Net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share attributable to common shareholders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13,162</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60" w:type="dxa"/>
            <w:vAlign w:val="bottom"/>
          </w:tcPr>
          <w:p>
            <w:pPr>
              <w:spacing w:after="0"/>
              <w:rPr>
                <w:sz w:val="20"/>
                <w:szCs w:val="20"/>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42,234,001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42,040,674</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impact of outstanding stock options, restricted share units</w:t>
            </w:r>
          </w:p>
        </w:tc>
        <w:tc>
          <w:tcPr>
            <w:tcW w:w="160" w:type="dxa"/>
            <w:vAlign w:val="bottom"/>
            <w:shd w:val="clear" w:color="auto" w:fill="CFF0FC"/>
          </w:tcPr>
          <w:p>
            <w:pPr>
              <w:spacing w:after="0"/>
              <w:rPr>
                <w:sz w:val="18"/>
                <w:szCs w:val="18"/>
                <w:color w:val="auto"/>
              </w:rPr>
            </w:pPr>
          </w:p>
        </w:tc>
        <w:tc>
          <w:tcPr>
            <w:tcW w:w="15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1,790,197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shares issuable under the ESPP</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44,024,198</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42,040,674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0.31</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-702310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income (loss) per share attributable to common shareholders for the periods indicated because including them would have had an anti-dilutive effect:</w:t>
      </w:r>
    </w:p>
    <w:p>
      <w:pPr>
        <w:spacing w:after="0" w:line="26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8,778,678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9,572,829</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927,304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622,835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(i)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2023 included in our Annual Report on Form 10-K, or the Annual Report, filed with the Securities and Exchange Commission, or the SEC, on February 28, 2024. Some of the information contained in this discussion and analysis or set forth elsewhere in this Quarterly Report on Form 10-Q, including information with respect to our plans and strategy for our business and related financing, contains forward-looking statements that involve risks and uncertainties. As a result of many factors, including those factors set forth in the “Risk Factors” sections of this Quarterly Report on Form 10-Q and our Annual Report on Form 10-K for the year ended December 31, 2023,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leading clinical-stage precision oncology company enabled by our proprietary synthetic lethality approach to the discovery and development of novel therapeutics. Synthetic lethality (SL) represents a clinically validated approach to drug development. We use our proprietary, genome-wide, CRISPR-enabled SNIPRx platform to systematically discover and develop highly targeted cancer therapies that preferentially treat cancers due to mechanisms of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Using our SNIPRx platform, we internally developed four clinical or near-term clinical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172200" cy="26657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020" w:hanging="503"/>
        <w:spacing w:after="0" w:line="259"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Lunresertib </w:t>
      </w:r>
      <w:r>
        <w:rPr>
          <w:rFonts w:ascii="Times New Roman" w:cs="Times New Roman" w:eastAsia="Times New Roman" w:hAnsi="Times New Roman"/>
          <w:sz w:val="18"/>
          <w:szCs w:val="18"/>
          <w:color w:val="auto"/>
        </w:rPr>
        <w:t>(RP-6306) is a first-in-class, selective and potent oral small molecule inhibitor of PKMYT1 (Protein Kinase Membrane-associated tyrosine- and threonine- specific cdc-2 inhibitory kinase), a cancer target Repare discovered and identified as synthetic lethal with cyclin E1 (CCNE1) amplification, or deleterious alterations in FBXW7 or PPP2R1A in solid tumors such as gynecological, colorectal and upper gastrointestinal malignancies. Lunresertib is currently the sole PKMYT1 inhibitor known to be in clinical trials and is being evaluated alone and in combinations across several clinical trials in the US, UK/EU4, and Canada.</w:t>
      </w:r>
    </w:p>
    <w:p>
      <w:pPr>
        <w:spacing w:after="0" w:line="183" w:lineRule="exact"/>
        <w:rPr>
          <w:rFonts w:ascii="Times New Roman" w:cs="Times New Roman" w:eastAsia="Times New Roman" w:hAnsi="Times New Roman"/>
          <w:sz w:val="18"/>
          <w:szCs w:val="18"/>
          <w:b w:val="1"/>
          <w:bCs w:val="1"/>
          <w:color w:val="auto"/>
        </w:rPr>
      </w:pPr>
    </w:p>
    <w:p>
      <w:pPr>
        <w:jc w:val="both"/>
        <w:ind w:left="10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presented positive initial Phase 1 data from our ongoing Phase 1 MYTHIC trial demonstrating proof of concept for lunresertib alone and in combination with camonsertib. Lunresertib was shown to be well tolerated, with a compelling safety profile. We further presented anti-tumor activity for lunresertib in combination with camonsertib. Initial combination data included an overall RECIST response rate of 50% in the 10 patients with heavily pre-treated gynecological tumors treated at the preliminary recommended Phase 2 dose. In the second half of 2024, we expect to provide MYTHIC data from ovarian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ind w:left="503"/>
        <w:spacing w:after="0" w:line="254" w:lineRule="auto"/>
        <w:rPr>
          <w:sz w:val="20"/>
          <w:szCs w:val="20"/>
          <w:color w:val="auto"/>
        </w:rPr>
      </w:pPr>
      <w:r>
        <w:rPr>
          <w:rFonts w:ascii="Times New Roman" w:cs="Times New Roman" w:eastAsia="Times New Roman" w:hAnsi="Times New Roman"/>
          <w:sz w:val="18"/>
          <w:szCs w:val="18"/>
          <w:color w:val="auto"/>
        </w:rPr>
        <w:t>and endometrial cancer expansion cohorts of the lunresertib and camonsertib combination, which may lead us to initiate a first pivotal trial in an indication for lunresertib and camonsertib in 2025. In the third quarter of 2023, we received fast track designation for lunresertib in combination with camonsertib for the treatment of adult patients with CCNE1 amplified, or FBXW7 or PPP2R1A mutated endometrial cancer. In May 2024, we announced that an updated dosing schedule approach based on entry hemoglobin level was agreed to by the U.S. Food and Drug Administration (FDA) in March 2024 and results in improved tolerability of the combination, reducing Grade 3 anemia from 45% in the ENA data cut off of September 2023 to 25% as of March 2024 in patients treated at the RP2D and updated dosing schedule. The FDA has agreed with the RP2D of lunresertib 80mg BID and camonsertib 80mg QD for the MYTHIC trial. Efficacy and tolerability assessment at RP2D is ongoing, and we expect to present data from the dose expansion cohorts in patients with ovarian and endometrial cancer in the fourth quarter of 2024.</w:t>
      </w:r>
    </w:p>
    <w:p>
      <w:pPr>
        <w:spacing w:after="0" w:line="188" w:lineRule="exact"/>
        <w:rPr>
          <w:sz w:val="20"/>
          <w:szCs w:val="20"/>
          <w:color w:val="auto"/>
        </w:rPr>
      </w:pPr>
    </w:p>
    <w:p>
      <w:pPr>
        <w:jc w:val="both"/>
        <w:ind w:left="503"/>
        <w:spacing w:after="0" w:line="253" w:lineRule="auto"/>
        <w:rPr>
          <w:sz w:val="20"/>
          <w:szCs w:val="20"/>
          <w:color w:val="auto"/>
        </w:rPr>
      </w:pPr>
      <w:r>
        <w:rPr>
          <w:rFonts w:ascii="Times New Roman" w:cs="Times New Roman" w:eastAsia="Times New Roman" w:hAnsi="Times New Roman"/>
          <w:sz w:val="18"/>
          <w:szCs w:val="18"/>
          <w:color w:val="auto"/>
        </w:rPr>
        <w:t>We initiated additional Phase 1 combination clinical trials of lunresertib with gemcitabine (MAGNETIC) in December 2021 and with FOLFIRI (MINOTAUR) in August 2022. In May 2024, we announced preliminary safety data for MINOTAUR demonstrating no signficant incremental toxicities for the lunresertib and FOLFIRI combination over FOLFIRI alone and an early signal with favorable tolerability in colorectal and other gastrointestinal tumors. We confirmed that efficacy data will be shared at the European Society of Medical Oncology (ESMO) Gastrointestinal (GI) Cancers Congress 2024, taking place in Munich, Germany on June 26-29. In the fourth quarter of 2022, we received fast track designation for lunresertib in combination with gemcitabine for the treatment of adult patients with CCNE1 amplified, or FBXW7, or PPP2R1A mutated platinum resistant ovarian cancer. We are collaborating with the Canadian Cancer Trials Group in an ongoing basket Phase 2 Investigator Sponsored Clinical Trial (IST) that is enrolling patients with selected, advanced cancers receiving lunresertib as combination (NCT05605509). A sub-study to that protocol that will evaluate lunresertib in combination with gemcitabine in patients with CDK4/6 inhibitor treated ER+/HER2- metastatic breast cancer (NCT05601440) was activated more recently and is also enrolling patients. We are also collaborating with University Health Network, Toronto on an investigator-sponsored Phase 1 clinical trial of lunresertib in combination with carboplatin and paclitaxel in TP53 ovarian and uterine cancer (NCT06107868) that is enrolling patients.</w:t>
      </w:r>
    </w:p>
    <w:p>
      <w:pPr>
        <w:spacing w:after="0" w:line="190" w:lineRule="exact"/>
        <w:rPr>
          <w:sz w:val="20"/>
          <w:szCs w:val="20"/>
          <w:color w:val="auto"/>
        </w:rPr>
      </w:pPr>
    </w:p>
    <w:p>
      <w:pPr>
        <w:jc w:val="both"/>
        <w:ind w:left="503"/>
        <w:spacing w:after="0" w:line="266" w:lineRule="auto"/>
        <w:rPr>
          <w:sz w:val="20"/>
          <w:szCs w:val="20"/>
          <w:color w:val="auto"/>
        </w:rPr>
      </w:pPr>
      <w:r>
        <w:rPr>
          <w:rFonts w:ascii="Times New Roman" w:cs="Times New Roman" w:eastAsia="Times New Roman" w:hAnsi="Times New Roman"/>
          <w:sz w:val="18"/>
          <w:szCs w:val="18"/>
          <w:color w:val="auto"/>
        </w:rPr>
        <w:t>In January 2024, we announced our sponsorship of a global trial as a new arm in the ongoing MYTHIC trial combining lunresertib with Debiopharm's Debio 0123, a highly selective, brain penetrant, clinical WEE1 inhibitor. We announced the first patient was dosed with the synergistic lunresertib and Debio 0123 combination in April 2024. This is the first clinical trial inhibiting both PKMYT1 and WEE1.</w:t>
      </w:r>
    </w:p>
    <w:p>
      <w:pPr>
        <w:spacing w:after="0" w:line="172" w:lineRule="exact"/>
        <w:rPr>
          <w:sz w:val="20"/>
          <w:szCs w:val="20"/>
          <w:color w:val="auto"/>
        </w:rPr>
      </w:pPr>
    </w:p>
    <w:p>
      <w:pPr>
        <w:jc w:val="both"/>
        <w:ind w:left="503" w:hanging="503"/>
        <w:spacing w:after="0" w:line="268" w:lineRule="auto"/>
        <w:tabs>
          <w:tab w:leader="none" w:pos="50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Camonsertib </w:t>
      </w:r>
      <w:r>
        <w:rPr>
          <w:rFonts w:ascii="Times New Roman" w:cs="Times New Roman" w:eastAsia="Times New Roman" w:hAnsi="Times New Roman"/>
          <w:sz w:val="18"/>
          <w:szCs w:val="18"/>
          <w:color w:val="auto"/>
        </w:rPr>
        <w:t>(RP-3500) is a potent and selective oral small molecule inhibitor of ATR (Ataxia-Telangiectasia and Rad3-related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kinase) in clinical development for the treatment of solid tumors with specific DNA damage repair-related genomic alterations, including those in the ATM gene (ataxia telangiectasia mutated kinase).</w:t>
      </w:r>
    </w:p>
    <w:p>
      <w:pPr>
        <w:spacing w:after="0" w:line="174" w:lineRule="exact"/>
        <w:rPr>
          <w:rFonts w:ascii="Times New Roman" w:cs="Times New Roman" w:eastAsia="Times New Roman" w:hAnsi="Times New Roman"/>
          <w:sz w:val="18"/>
          <w:szCs w:val="18"/>
          <w:b w:val="1"/>
          <w:bCs w:val="1"/>
          <w:color w:val="auto"/>
        </w:rPr>
      </w:pPr>
    </w:p>
    <w:p>
      <w:pPr>
        <w:jc w:val="both"/>
        <w:ind w:left="503"/>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presented initial clinical data from the Phase 1/2 TRESR and ATTACC clinical trials evaluating camonsertib in combination with three poly (ADP-ribose) polymerase (PARP) inhibitors - talazoparib, niraparib, and olaparib. Camonsertib demonstrated 48% overall CBR in patients with advanced solid tumors across tumor types regardless of choice of PARP inhibitor or platinum resistance, with a favorable safety and tolerability profile. The Phase 1/2 TRESR and ATTACC clinical trials are fully-enrolled and we expect to complete these trials in 2024.</w:t>
      </w:r>
    </w:p>
    <w:p>
      <w:pPr>
        <w:spacing w:after="0" w:line="179" w:lineRule="exact"/>
        <w:rPr>
          <w:rFonts w:ascii="Times New Roman" w:cs="Times New Roman" w:eastAsia="Times New Roman" w:hAnsi="Times New Roman"/>
          <w:sz w:val="18"/>
          <w:szCs w:val="18"/>
          <w:b w:val="1"/>
          <w:bCs w:val="1"/>
          <w:color w:val="auto"/>
        </w:rPr>
      </w:pPr>
    </w:p>
    <w:p>
      <w:pPr>
        <w:jc w:val="both"/>
        <w:ind w:left="503"/>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we entered into a worldwide license and collaboration agreement with Hoffmann-La Roche Inc. and F. Hoffmann-La Roche Ltd (collectively “Roche”) for the development and commercialization of camonsertib, which resulted in an initial $125 million upfront payment. In February 2024, we received a $40 million milestone payment from Roche upon dosing of the first patient with camonsertib in Roche’s TAPISTRY trial. Since inception of the Roche camonsertib collaboration, we have received a cumulative total of $182.6 million, including the upfront payment, the milestone payment, as well as additional reimbursements from Roche. On February 7, 2024, we received written notice from Roche of their election to terminate the Roche camonsertib collaboration. The termination became effective in May 2024, at which time we regained global development and commercialization rights for camonsertib from Roche. We engaged in transition activities related to the termination in the first half of 2024 and announced an expansion of the TRESR clinical trial as a Phase 2 study evaluating camonsertib monotherapy in approximately 20 patients with ATM-mutated (ATMm) NSCLC, supported by early, promising camonsertib monotherapy signal in patients with ATMm NSCLC from the ongoing Phase 1/2 TRESR trial. We expect to report initial data in 2025.</w:t>
      </w:r>
    </w:p>
    <w:p>
      <w:pPr>
        <w:spacing w:after="0" w:line="190" w:lineRule="exact"/>
        <w:rPr>
          <w:rFonts w:ascii="Times New Roman" w:cs="Times New Roman" w:eastAsia="Times New Roman" w:hAnsi="Times New Roman"/>
          <w:sz w:val="18"/>
          <w:szCs w:val="18"/>
          <w:b w:val="1"/>
          <w:bCs w:val="1"/>
          <w:color w:val="auto"/>
        </w:rPr>
      </w:pPr>
    </w:p>
    <w:p>
      <w:pPr>
        <w:jc w:val="both"/>
        <w:ind w:left="503" w:hanging="503"/>
        <w:spacing w:after="0" w:line="262" w:lineRule="auto"/>
        <w:tabs>
          <w:tab w:leader="none" w:pos="50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RP-1664 </w:t>
      </w:r>
      <w:r>
        <w:rPr>
          <w:rFonts w:ascii="Times New Roman" w:cs="Times New Roman" w:eastAsia="Times New Roman" w:hAnsi="Times New Roman"/>
          <w:sz w:val="18"/>
          <w:szCs w:val="18"/>
          <w:color w:val="auto"/>
        </w:rPr>
        <w:t>is a first-in-class, highly selective, oral PLK4 inhibitor designed to harness the synthetic lethal relationship with TRIM37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amplification or overexpression in solid tumors. Tumors rely on PLK4 for centriole biogenesis in S-phase of the cell cycle when TRIM37, an E3 ligase that reduces pericentriolar material, is high. Preclinical studies demonstrate that RP-1664 selectively inhibits PLK4 and drives potent synthetic lethality in TRIM37-high and other biomarkers tumor models,</w:t>
      </w:r>
    </w:p>
    <w:p>
      <w:pPr>
        <w:spacing w:after="0" w:line="180"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19" w:name="page20"/>
    <w:bookmarkEnd w:id="19"/>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both in vitro and in vivo. Elevated TRIM37 is a feature found across a range of solid tumors and in approximately 80% of high-grade neuroblastoma. RP-1664 is the only selective PLK4 inhibitor known to be in the clinic.</w:t>
      </w:r>
    </w:p>
    <w:p>
      <w:pPr>
        <w:spacing w:after="0" w:line="162" w:lineRule="exact"/>
        <w:rPr>
          <w:sz w:val="20"/>
          <w:szCs w:val="20"/>
          <w:color w:val="auto"/>
        </w:rPr>
      </w:pP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We reported comprehensive preclinical data for RP-1664 in November 2023, including deep tumor growth inhibition and regressions in multiple TRIM37-high solid tumor or neuroblastoma xenograft models. The preclinical in vivo animal model evaluations were performed both internally and in collaboration with Children’s Hospital of Philadelphia (CHOP). In February 2024, we dosed the first patient in the LIONS (PLK4 Inhibitor in Advanced Solid Tumors) clinical trial, a multicenter, open-label Phase 1 clinical trial to investigate safety, pharmacokinetics, pharmacodynamics, and the preliminary efficacy of RP-1664. After evaluating safety in adult patients with recurrent solid tumors in the LIONS clinical trial, we expect to move into a Phase 1/2 clinical trial in high risk, recurrent pediatric neuroblastoma, in which children have limited treatment options and high prevalence of TRIM37-altered tumors.</w:t>
      </w:r>
    </w:p>
    <w:p>
      <w:pPr>
        <w:spacing w:after="0" w:line="185" w:lineRule="exact"/>
        <w:rPr>
          <w:sz w:val="20"/>
          <w:szCs w:val="20"/>
          <w:color w:val="auto"/>
        </w:rPr>
      </w:pPr>
    </w:p>
    <w:p>
      <w:pPr>
        <w:jc w:val="both"/>
        <w:ind w:left="1020" w:hanging="503"/>
        <w:spacing w:after="0" w:line="254"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RP-3467 </w:t>
      </w:r>
      <w:r>
        <w:rPr>
          <w:rFonts w:ascii="Times New Roman" w:cs="Times New Roman" w:eastAsia="Times New Roman" w:hAnsi="Times New Roman"/>
          <w:sz w:val="18"/>
          <w:szCs w:val="18"/>
          <w:color w:val="auto"/>
        </w:rPr>
        <w:t>is a potential best-in-class inhibitor of adenosinetriphosphatase (ATPase) activity on the helicase domain of DNA polymerase theta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(Polθ). Polθ is a synthetic lethal target associated with homologous recombination deficiency (HRD) tumors, including those with BRCA1/2 mutations or other genomic alterations. Data suggest that RP-3467 works effectively and synergistically with therapies that result in double stranded DNA breaks, such as PARP inhibition, radioligand therapy (RLT) and multiple chemotherapies and antibody-drug conjugates (ADCs). Initial data suggest that Polθ inhibition may interfere with mechanisms central to the development of PARPi resistance, which could be relevant to currently marketed PARP 1/2 inhibitors and the emerging PARP1-selective inhibitors. We also reported comprehensive preclinical data for RP-3467 in November 2023, in which RP-3467 demonstrated complete, sustained regressions in combination with PARP inhibitors and compelling anti-tumor activity in combination with RLT and chemotherapy. We expect to initiate a Phase 1 trial of RP-3467 in the second half of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Lunresertib (RP-6306)</w:t>
      </w:r>
    </w:p>
    <w:p>
      <w:pPr>
        <w:spacing w:after="0" w:line="121" w:lineRule="exact"/>
        <w:rPr>
          <w:rFonts w:ascii="Times New Roman" w:cs="Times New Roman" w:eastAsia="Times New Roman" w:hAnsi="Times New Roman"/>
          <w:sz w:val="18"/>
          <w:szCs w:val="18"/>
          <w:color w:val="auto"/>
        </w:rPr>
      </w:pPr>
    </w:p>
    <w:p>
      <w:pPr>
        <w:ind w:left="1540" w:hanging="50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oOn track for a potential registrational trial decision in gynecologic expansion cohorts in the fourth quarter of 2024 based on the Phase 1 expansion in MYTHIC trial evaluating lunresertib in combination with camonsertib in patients harboring CCNE1 amplification or FBXW7 or PPP2R1A deleterious alterations. Grade 3 anemia has been significantly reduced to 25% as of the March 2024 cut-off date in patients treated at the RP2D and updated dosing schedule, from 45% as previously presented at the September 2023 data cut-off date. The FDA has agreed with the RP2D of lunresertib 80mg BID and camonsertib 80mg QD. Efficacy and tolerability assessment at RP2D is ongoing, and we expect to present data from the dose expansion cohorts in patients with ovarian and endometrial cancer in the fourth quarter of 2024.</w:t>
      </w:r>
    </w:p>
    <w:p>
      <w:pPr>
        <w:spacing w:after="0" w:line="80" w:lineRule="exact"/>
        <w:rPr>
          <w:rFonts w:ascii="Times New Roman" w:cs="Times New Roman" w:eastAsia="Times New Roman" w:hAnsi="Times New Roman"/>
          <w:sz w:val="18"/>
          <w:szCs w:val="18"/>
          <w:color w:val="auto"/>
        </w:rPr>
      </w:pPr>
    </w:p>
    <w:p>
      <w:pPr>
        <w:ind w:left="15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oFirst patient was dosed in April 2024 in the Phase 1 MYTHIC clinical trial evaluating lunresertib in combination with Debio 0123, a highly selective, brain-penetrant, clinical WEE1 inhibitor, in advanced solid tumors harboring CCNE1 amplification or FBXW7 or PPP2R1a deleterious alterations. The primary endpoints are safety, tolerability and RP2D, as well as preliminary efficacy of the combination. We are expected to report initial data from this trial in 2025.</w:t>
      </w:r>
    </w:p>
    <w:p>
      <w:pPr>
        <w:spacing w:after="0" w:line="71" w:lineRule="exact"/>
        <w:rPr>
          <w:rFonts w:ascii="Times New Roman" w:cs="Times New Roman" w:eastAsia="Times New Roman" w:hAnsi="Times New Roman"/>
          <w:sz w:val="18"/>
          <w:szCs w:val="18"/>
          <w:color w:val="auto"/>
        </w:rPr>
      </w:pPr>
    </w:p>
    <w:p>
      <w:pPr>
        <w:ind w:left="154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oInitial data from the Phase 1 MINOTAUR trial evaluating lunresertib in combination with FOLFIRI for the treatment of advanced solid tumors demonstrated no significant incremental toxicities in the combination of lunresertib and FOLFIRI over FOLFIRI alone. In addition, we have observed favorable tolerability in colorectal and other gastrointestinal tumors, unlike some other agents combined with irinotecan. This data will be presented at the ESMO GI Cancers Congress 2024, taking place in Munich, Germany on June 26-29.</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Camonsertib (RP-3500)</w:t>
      </w:r>
    </w:p>
    <w:p>
      <w:pPr>
        <w:spacing w:after="0" w:line="121"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oRegained global development and commercialization rights for camonsertib from Roche, effective May 7, 2024. Since inception of the Roche camonsertib collaboration, Repare has earned a cumulative total of $182.6 million from Roche, including the upfront and milestone payments, in addition to certain additional reimbursements from Roche.</w:t>
      </w:r>
    </w:p>
    <w:p>
      <w:pPr>
        <w:spacing w:after="0" w:line="67"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oInitiating Phase 2 TRESR expansion in approximately 20 patients with ATMm NSCLC, supported by early, promising camonsertib monotherapy signal in patients with ATMm NSCLC from the ongoing Phase 1/2 TRESR trial. Repare is expected to report initial data in 2025.</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RP-1664</w:t>
      </w:r>
    </w:p>
    <w:p>
      <w:pPr>
        <w:spacing w:after="0" w:line="12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oFirst patient dosed in the multicenter, open-label Phase 1 dose escalation trial LIONS of its PLK4 inhibitor, RP-1664, in adult and adolescent patients with TRIM37-high and other biomarkers in February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RP-3467</w:t>
      </w:r>
    </w:p>
    <w:p>
      <w:pPr>
        <w:spacing w:after="0" w:line="12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oInitiation of a Phase 1 dose finding trial of RP-3467, a potential best-in-class Polθ ATPase inhibitor, is expected in the second half of 2024.</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Highlights</w:t>
      </w:r>
    </w:p>
    <w:p>
      <w:pPr>
        <w:spacing w:after="0" w:line="12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March 2024, Bristol-Myers Squibb exercised its one remaining option to in-license an undruggable target for a combined total of five druggable targets and one undruggable target over the course of the collaboration.</w:t>
      </w:r>
    </w:p>
    <w:p>
      <w:pPr>
        <w:spacing w:after="0" w:line="53" w:lineRule="exact"/>
        <w:rPr>
          <w:rFonts w:ascii="Times New Roman" w:cs="Times New Roman" w:eastAsia="Times New Roman" w:hAnsi="Times New Roman"/>
          <w:sz w:val="18"/>
          <w:szCs w:val="18"/>
          <w:color w:val="auto"/>
        </w:rPr>
      </w:pPr>
    </w:p>
    <w:p>
      <w:pPr>
        <w:ind w:left="154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April 2024, Repare announced the appointment of Steven H. Stein, M.D., Chief Medical Officer of Incyte Corporation, to Repare’s Board of Directors, effective as of June 17, 2024, the date of the Company's upcoming annual meeting of shareholders (the “Annual Meeting”). The Company also announced that Todd Foley has decided not to stand for re-election as a director of the Company following the end of his current term as a Class I director on the date of the Annual Meeting, after serving more than seven years on the Board.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had cash and cash equivalents and marketable securities on hand of $237.0 million. We believe that our cash, cash equivalents, and marketable securities will be sufficient to fund our anticipated operating and capital expenditure requirements at least into mid-2026. We have based this estimate on assumptions that may prove to be wrong, and we could exhaust our capital resources sooner than we expect.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$93.8 million and $29.0 million for the years ended December 31, 2023 and 2022, respectively, and net income of $13.2 million for the three months ended March 31, 2024. As of March 31, 2024, we had an accumulated deficit of $319.9 million.</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Our net losses are also expected to be impacted as we hire additional personnel, pay for accounting, audit, legal, regulatory and consulting services, and pay costs associated with maintaining compliance with Nasdaq listing rules and the SEC requirements, directors and officers, or D&amp;O, insurance, investor and public relations activities and other expenses associated with operating as a public company. Our net losses may fluctuate significantly from quarter-to-quarter and year-to-year, depending on the timing of our preclinical studies, our clinical trials, our expenditures on other research and development activities, and our revenue and expenses recognized from collaboration and license agreements.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We will not generate revenue from product sales unless and until we successfully complete clinical development and obtain regulatory approval for our product candidates, if ever.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Canada and abroad may negatively affect the growth of our business and our results of operations. For example, macroeconomic events, including health pandemics, rising inflation, changes in interest rates and foreign currency exchange rates, banking crises or disruptions in access to bank deposits or lending commitments, natural disasters, geopolitical instability resulting from war, terrorism and other violence, as well as supply chain disruptions have led to economic uncertainty globally and could impact our overall business operations. The effect of macroeconomic conditions may not be fully reflected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in our results of operations until future periods. If, however, economic uncertainty increases or the global economy worsens, our business, financial condition and results of operations may be harmed.</w:t>
      </w:r>
    </w:p>
    <w:p>
      <w:pPr>
        <w:spacing w:after="0" w:line="162" w:lineRule="exact"/>
        <w:rPr>
          <w:sz w:val="20"/>
          <w:szCs w:val="20"/>
          <w:color w:val="auto"/>
        </w:rPr>
      </w:pPr>
    </w:p>
    <w:p>
      <w:pPr>
        <w:jc w:val="both"/>
        <w:ind w:firstLine="564"/>
        <w:spacing w:after="0" w:line="252" w:lineRule="auto"/>
        <w:rPr>
          <w:sz w:val="20"/>
          <w:szCs w:val="20"/>
          <w:color w:val="auto"/>
        </w:rPr>
      </w:pPr>
      <w:r>
        <w:rPr>
          <w:rFonts w:ascii="Times New Roman" w:cs="Times New Roman" w:eastAsia="Times New Roman" w:hAnsi="Times New Roman"/>
          <w:sz w:val="18"/>
          <w:szCs w:val="18"/>
          <w:color w:val="auto"/>
        </w:rPr>
        <w:t>In addition, because some of our manufacturers and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supply and lead-times, our suppliers may not continue to provide us with clinical supply in our required quantities, to our required specifications and quality levels or at attractive prices. In addition, certain Chinese biotechnology companies and CMOs may become subject to trade restrictions, sanctions, other regulatory requirements, or proposed legislation by the U.S. government, which could restrict or even prohibit our ability to work with such entities, thereby potentially disrupting the supply of material to us. Such disruption could have adverse effects on the development of our product candidates and our business operations. In addition, the recently proposed BIOSECURE Act introduced in House of Representatives, as well as a substantially similar bill in the Senate, targets certain Chinese biotechnology companies.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w:t>
      </w:r>
    </w:p>
    <w:p>
      <w:pPr>
        <w:spacing w:after="0" w:line="196" w:lineRule="exact"/>
        <w:rPr>
          <w:sz w:val="20"/>
          <w:szCs w:val="20"/>
          <w:color w:val="auto"/>
        </w:rPr>
      </w:pPr>
    </w:p>
    <w:p>
      <w:pPr>
        <w:jc w:val="both"/>
        <w:ind w:firstLine="560"/>
        <w:spacing w:after="0" w:line="282" w:lineRule="auto"/>
        <w:rPr>
          <w:sz w:val="20"/>
          <w:szCs w:val="20"/>
          <w:color w:val="auto"/>
        </w:rPr>
      </w:pPr>
      <w:r>
        <w:rPr>
          <w:rFonts w:ascii="Times New Roman" w:cs="Times New Roman" w:eastAsia="Times New Roman" w:hAnsi="Times New Roman"/>
          <w:sz w:val="18"/>
          <w:szCs w:val="18"/>
          <w:color w:val="auto"/>
        </w:rPr>
        <w:t>For further discussion of the potential impacts of macroeconomic events on our business, financial condition, and operating results, see the section titled “Risk Factors”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revenue from our collaboration agreements: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Roche Collaboration and License Agreement</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49,815</w:t>
            </w:r>
          </w:p>
        </w:tc>
        <w:tc>
          <w:tcPr>
            <w:tcW w:w="7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Bristol-Myers Squibb Collaboration and License Agreement</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8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Hoffmann-La Roche Inc. and F. Hoffmann-La Roche Ltd</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1, 2022, we entered into a collaboration and license agreement, or the Roche Agreement, with Roche regarding the development and commercialization of our product candidate camonsertib (also known as RP-3500) and specified other ATR inhibitors, which we refer to as the Licensed Products.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Roche Agreement, we granted Roche a worldwide, perpetual, exclusive, sublicensable license to develop, manufacture, and commercialize the Licensed Products. Roche assumed all subsequent development of camonsertib with the potential to expand development into additional tumors and multiple combination studies. We agreed to complete specified ongoing clinical trials in accordance with the development plan in the Roche Agreement, as well as ongoing investigator sponsored trials, or together, the Continuing Trials, at our expense. We also retained the right to conduct specified clinical trials of camonsertib in combination with our PKMYT1 compound (also known as RP-6306).</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March 2024, we received a payment of $4.0 million for revisions to the clinical development plan under the Roche Agreement, of which $2.1 million was previously recorded as a receivable on our balance sheet at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we further received a $40 million milestone payment from Roche that was earned upon dosing of the first patient with camonsertib in Roche’s Phase 2 TAPISTRY trial in January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Completion of Continuing</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Roche Agreement</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Trials</w:t>
            </w:r>
          </w:p>
        </w:tc>
        <w:tc>
          <w:tcPr>
            <w:tcW w:w="100" w:type="dxa"/>
            <w:vAlign w:val="bottom"/>
          </w:tcPr>
          <w:p>
            <w:pPr>
              <w:spacing w:after="0"/>
              <w:rPr>
                <w:sz w:val="16"/>
                <w:szCs w:val="16"/>
                <w:color w:val="auto"/>
              </w:rPr>
            </w:pPr>
          </w:p>
        </w:tc>
      </w:tr>
      <w:tr>
        <w:trPr>
          <w:trHeight w:val="263"/>
        </w:trPr>
        <w:tc>
          <w:tcPr>
            <w:tcW w:w="9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collaboration revenue</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1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(49,815 )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Classified as short-term</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recognized $49.8 million and $5.3 million for the three months ended March 31, 2024 and 2023, respectively, as revenue associated with the Roche Agreement in relation to (i) the recognition of revenue from the $40.0 million milestone achievement in the first quarter of 2024, as well as (ii) the partial recognition of deferred revenue for research and development services performed towards the completion of the Continuing Trials during the period.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7, 2024, we received written notice from Roche of their election to terminate the Roche Agreement following a review of Roche’s pipeline and evolving external factors. The termination became effective May 7, 2024, at which time we regained global development and commercialization rights for camonsertib from Roche. As such, all deferred revenue related to the Roche Agreement is expected to be recognized in the second quarter of 2024.</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there was $1.1 million (December 31, 2023 - $9.4 million) of deferred revenue related to the Roche Agreement, of which $1.1 million (December 31, 2023 - $7.7 million) was classified as current and nil (December 31, 2023 - $1.7 million) was classified as non-current in the condensed consolidated balance sheet based on the period the services to complete the Continuing Trials are expected to be performed.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Bristol-Myers Squibb Company</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2020, we entered into a collaboration and license agreement, or the BMS Agreement, with the Bristol-Myers Squibb Company, or Bristol-Myers Squibb, pursuant to which we and Bristol-Myers Squibb have agreed to collaborate in the research and development of potential new product candidates for the treatment of cancer. We provided Bristol-Myers Squibb access to a selected number of our existing screening campaigns and novel campaigns. We were responsible for carrying out early-stage research activities directed to identifying potential targets for potential licensing by Bristol-Myers Squibb. The collaboration consisted of programs directed to both druggable targets and to targets commonly considered undruggable to traditional small molecule approaches. In the event that Bristol-Myers Squibb elects to obtain an exclusive license for the subsequent development, manufacturing and commercialization of a program, Bristol-Myers Squibb will then be solely responsible for all such worldwide activities.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the collaboration term expired in November 2023, the BMS Agreement will not expire until, on a licensed product-by-licensed product and country-by-country basis, the expiration of the applicable royalty term and in its entirety upon expiration of the last royalty term. Either party may terminate earlier upon an uncured material breach of the agreement by the other party, or the insolvency of the other party. Additionally, Bristol-Myers Squibb may terminate the BMS Agreement for any or no reason on a program-by-program basis upon specified written notice. We are eligible to receive up to $301.0 million in total milestones on a program-by-program basis, subject upon the achievement of certain specified research, development, regulatory and commercial milestones. We are further entitled to a tiered percentage royalty on annual net sales ranging from high-single digits to low-double digits, subject to certain specified reductions.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Bristol-Myers Squibb exercised its one remaining option for an undruggable target for a combined total of five druggable targets and one undruggable target over the course of the collaboration. As a result, we recognized the remaining deferred revenue of $2.6 million as revenue related to undruggable targets, including an option fee payment of $0.1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Debiopharm Collaborative Arrangement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2024, we entered into the Debio collaboration agreement with Debiopharm, a privately-owned, Swiss-based biopharmaceutical company, with the aim to explore the synergy between our compound, lunresertib, and Debiopharm’s compound, Debio 0123, a WEE1 inhibitor. We are collaborating with Debiopharm on the development of a combination therapy, with us sponsoring the global study, and will share all costs equally. Both parties are each supplying their respective drugs and retain all commercial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to their respective compounds, including as monotherapy or as combination therapies. The activities associated with the collaboration are coordinated by a joint steering committee, which is comprised of an equal number of representatives from both parties.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the terms of the Debio collaboration agreement, we concluded that the Debio collaboration agreement meets the requirements of a collaboration within the guidance of ASC 808, Collaborative Arrangements, as both parties are active participants in the combination trial and are exposed to significant risks and rewards depending on the success of the combination trial. Accordingly, the net costs associated with the co-development are expensed as incurred and recognized within research and development expenses in the consolidated statement of operations and comprehensive income (loss).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2024, we recognized $0.5 million in net research and development costs with regards to the Debio collaboration agreement and recorded a receivable from Debiopharm of $0.5 million in other current receivables, reflecting the 50/50 cost sharing terms.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partially offset by development cost reimbursements from collaborative arrangements and fully refundable Canadian research and development tax credits. We expense research and development costs as incurred, which include:</w:t>
      </w:r>
    </w:p>
    <w:p>
      <w:pPr>
        <w:spacing w:after="0" w:line="68"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(CROs), as well as investigative sites and consultants that conduct our clinical trials, preclinical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(CMOs);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maintenance fees incurred under license, acquisition and other third-party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studies or other services performed. Significant judgment and estimates are made in determining the accrued expense or prepaid balances at the end of any reporting period.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costs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external costs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Laboratory supplies and research materials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Facilities related costs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r>
      <w:tr>
        <w:trPr>
          <w:trHeight w:val="237"/>
        </w:trPr>
        <w:tc>
          <w:tcPr>
            <w:tcW w:w="7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external costs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Camonsertib program*</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Lunresertib program*</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RP-1664 program</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RP-3467 and Polθ program</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Facilities related costs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43"/>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Debiopharm development cost reimbursement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(500 )</w:t>
            </w:r>
          </w:p>
        </w:tc>
        <w:tc>
          <w:tcPr>
            <w:tcW w:w="5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9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30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Borders>
              <w:top w:val="single" w:sz="8" w:color="CFF0FC"/>
            </w:tcBorders>
          </w:tcPr>
          <w:p>
            <w:pPr>
              <w:spacing w:after="0"/>
              <w:rPr>
                <w:sz w:val="20"/>
                <w:szCs w:val="20"/>
                <w:color w:val="auto"/>
              </w:rPr>
            </w:pPr>
          </w:p>
        </w:tc>
      </w:tr>
      <w:tr>
        <w:trPr>
          <w:trHeight w:val="23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tax credits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(294 )</w:t>
            </w:r>
          </w:p>
        </w:tc>
        <w:tc>
          <w:tcPr>
            <w:tcW w:w="5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(379 )</w:t>
            </w:r>
          </w:p>
        </w:tc>
      </w:tr>
      <w:tr>
        <w:trPr>
          <w:trHeight w:val="232"/>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30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-2033905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-2033905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-482600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-156845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5715</wp:posOffset>
            </wp:positionV>
            <wp:extent cx="20142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amounts have been reclassified for presentation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-95885</wp:posOffset>
            </wp:positionV>
            <wp:extent cx="20142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86"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the European Medicines Agency, (EMA), or another regulatory authority were to delay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our planned start of clinical trials or require us to conduct clinical trials or other testing beyond those that we currently expect or if we experience significant delays in enrollment in any of our ongoing and planned clinical trials, we could be required to expend significant additional financial resources and time on the completion of clinical development of that product candidate.</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directors and officers insurance expenses, investor and public relations expenses and other general administrative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significant accounting, audit, legal, regulatory, compliance and directors’ and officers’ insurance costs as well as investor and public relations expenses, including with our transition from smaller reporting company status at the end of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realized and unrealized gains and losses on foreign exchange, interest income earned on cash and cash equivalents and marketable securities, and other expenses such as interest and bank charges.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Realized and unrealized gains and losses on foreign exchange consist of realized and unrealized gains and losses from holding cash and foreign currency denominated other receivables, accounts payable, accrued expenses and other current liabilities as well as operating lease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16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52,404</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32,970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41,588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10,816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(34,681 )</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gain (loss) on foreign exchange</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13,791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(31,325 )</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(629 )</w:t>
            </w: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(3,616 )</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13,162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(34,941 )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-1610995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-1610995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was $52.4 million for the three months ended March 31, 2024, compared to $5.7 million for the three months ended March 31, 2023. The increase of $46.7 million was due to:</w:t>
      </w:r>
    </w:p>
    <w:p>
      <w:pPr>
        <w:spacing w:after="0" w:line="54"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$44.5 million increase in revenue recognized under the Roche Agreement as a result of the $40.0 million milestone achievement in the first quarter of 2024 and higher deferred revenue recognized for the completion of the Continuing Trials;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revenue recognized under the BMS Agreement as a result of the deferred revenue recognized related to the exercise of its one remaining option for an undruggable target.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 of Tax Credits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$33.0 million for the three months ended March 31, 2024, compared to $31.8 million for the three months ended March 31, 2023. The increase of $1.2 million was primarily due to:</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direct external costs with the advancement of clinical trials for lunresertib;</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direct external costs of the camonsertib program for the Phase 1/2 TRESR and ATTACC clinical trials that are fully enrolled and expected to be completed in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other research and material expense including IT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increase in personnel-related costs, including a $0.2 million increase in share-based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$0.5 million increase in the Debiopharm development cost reimbursement.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$8.6 million for the three months ended March 31, 2024, compared to $8.5 million for the three months ended March 31, 2023. The increase of $0.1 million in general and administrative expenses consisted of:</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decrease in our D&amp;O insurance premium;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increase in personnel related costs, including a $0.2 million increase in share-based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increase in other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$3.0 million and $3.4 million for the three months ended March 31, 2024 and 2023, respectively. The decrease of $0.4 million was primarily attributable to lower sums invested in cash and cash equivalents and marketable securities.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were $0.6 million and $3.6 million for the three months ended March 31, 2024 and 2023, respectively. The decrease of $3.0 million was primarily due to the issuance of IRC Section 174 guidance on September 8,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recognized any revenue from product sales and have incurred operating losses and negative cash flows from our operations. We have not yet commercialized any product and we do not expect to generate revenue from sales of any products for several years, if at all.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completed our IPO whereby we raised $232.0 million, net of underwriting commissions and offering expenses. In November 2021, we completed a follow-on offering whereby we raised $94.3 million, net of underwriting commissions and offering expenses.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received initial upfront and additional payments of approximately $60.5 million in the aggregate from partnerships with Ono for our Polθ ATPase inhibitor program and Bristol-Myers Squibb for research and development of potential new product candidates for the treatment of cancer. In June 2022, we entered into a collaboration and license agreement with Roche for camonsertib and have received a cumulative total of $182.6 million to date under the terms of the Roche Agreement, including an upfront payment of $125.0 million, a milestone payment of $40 million and additional reimbursements from Roche.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2022, we entered into a Common Shares Sale Agreement (the Sales Agreement), with Cowen and Company, LLC. Under the Sales Agreement, we may sell up to $125.0 million in common shares. No shares have been issued under the Sales Agreement as of the date of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and we will continue to incur additional costs associated with operating as a public company, including with our transition from smaller reporting company status at the end of 2023. We expect that our research and development and general and administrative costs will increase in connection with our planned research and development activities.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option to deduct certain U.S.-based research and development expenditures in the current fiscal year and required taxpayers to amortize them over five years pursuant to Section 174 of the Internal Revenue Code of 1986, as amended (IRC). This provision increased our 2023 and 2022 cash payments of income taxes significantly as compared to 2021 in compliance with IRC Section 174. In September 2023, new interim guidance was issued by the Department of Treasury and the Internal Revenue Service on IRC Section 174 that supports the deduction of such expenses. An income tax receivable in the amount of $12.5 million as of March 31, 2024 reflects the overpayment of tax installments by our U.S. subsidiary (net of a $4.8 million refund received in October 2023). Any changes to tax legislation may materially affect our cash flows.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our cash and cash equivalents and marketable securities on hand was $237.0 million. We believe that our existing cash and cash equivalents and marketable securities on hand will be sufficient to fund our anticipated operating and capital expenditure requirements at least into mid-2026. We have based this estimate on assumptions that may prove to be wrong, and we could exhaust our capital resources sooner than we expect.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costs, progress and results of our product candidates, including our ongoing Phase 1 clinical trials of lunresertib;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development and possible clinical trials of our current earlier-stage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research programs and preclinical development of any additional product candidates that we may pursue;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requirements of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that we are required to make or eligible to receive under our current or future collaboration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regulatory authorities;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partner our programs, acquire or in-license other product candidates and technologies or enter into additional strategic collaborations;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lunresertib, camonsertib and any future product candidates for which we or our collaborators receive marketing approval;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11,932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(31,786 )</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43,718</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held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(38,060 )</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93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$11.9 million for the three months ended March 31, 2024, reflecting a net income of $13.2 million, non-cash charges of $6.3 million, offset by a net change of $7.6 million in our net operating assets. The non-cash charges primarily consist of share-based compensation for option and restricted share unit grants to employees, as well as depreciation expense, and non-cash lease expense offset by the net accretion of marketable securities. The change in our net operating assets was primarily due to a decrease of $10.9 million in deferred revenue and $3.6 million in accrued expenses and other current liabilities offset by an increase of $1.1 million in other current receivables, $1.3 million in prepaid expenses and $4.4 million in accounts payable.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$31.8 million for the three months ended March 31, 2023, reflecting a net loss of $34.9 million, a net change of $2.1 million in our net operating assets, offset by non-cash charges of $5.2 million. The non-cash charges primarily consist of share-based compensation for option and restricted share unit grants to employees, as well as depreciation expense, and non-cash lease expense offset by the net accretion of marketable securities. The change in our net operating assets was primarily due to a decrease of $6.5 million in accrued expenses and other current liabilities, operating lease liability, and deferred revenue as well as an increase of $2.5 million in collaboration revenue receivable, offset by an increase of $5.6 million in accounts payable and income taxes payable as well as a decrease of $1.3 million in prepaid expenses.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$43.7 million increase in cash provided by operating activities for the three months ended March 31, 2024 compared to the three months ended March 31, 2023 is primarily due to the $40.0 million milestone achievement in the first quarter of 2024 under the Roche Agreement.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$20.3 million for the three months ended March 31, 2024 and resulted primarily from the purchases of marketable securities offset by proceeds on maturities of marketable securities.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$6.7 million for the three months ended March 31, 2023 and resulted primarily from the purchases of marketable securities and property and equipment offset by proceeds on maturities of marketable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$0.4 million consisting of net proceeds from the issuance of common shares under the ESPP for the three months ended March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material cash requirements during the three months ended March 31, 2024 from those described under “Management’s Discussion and Analysis of Financial Condition and Results of Operations”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is based on our unaudited condensed consolidated financial statements, which have been prepared in accordance with U.S. generally accepted accounting principles. The preparation of these unaudited condensed consolidated financial statements requires us to make judgments and estimates that affect the reported amounts of assets and liabilities, the disclosure of contingent assets and liabilities at the date of the unaudited condensed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from those described in “Management’s Discussion and Analysis of Financial Condition and Results of Operations” included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in this Quarterly Report for a description of recent issued accounting pronouncements not yet adopted.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exposed to certain risks in the ordinary course of our business. Market risk represents the risk of loss that may impact our financial position to adverse changes in financial market prices and rates. Our market risk exposure is primarily related to fluctuations in interest rates and foreign currency exchange rates.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Interest-earning instruments carry a degree of interest rate risk. In the three months ended March 31, 2024, we earned $3.0 million in interest income from cash balances held in cash and cash equivalents and marketable securities. As of March 31, 2024, we have a balance of $237.0 million in cash, money market funds, commercial paper and corporate debt securities. Our investment policy limits investment instruments to investment-grade securities with the objective to preserve capital and to maintain liquidity until the funds can be used in business operations. We do not have in place any tools to manage our interest rate risk. The risk of a sudden, significant change in market interest rates relative to the interest rates earned on our bank accounts and marketable securities having an impact on our results of operations or cash flows is limited owing to the relative short-term nature of these investments.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Assets and liabilities denominated in currencies other than the U.S. dollar are translated into U.S. dollar at exchange rates in effect at each balance sheet date. Income items and expenses are translated using average exchange rate in effect for the relevant period.</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incur a portion of our expenses in Canadian dollars, as well as other currencies to a lesser extent. A change in the relative value of the U.S. dollar to the Canadian dollar and other currencies may negatively affect our results of operations, financial potion or cash flows. We have not engaged in the hedging of foreign currency transactions to date, although we may choose to do so in the future. We do, however, keep expected Canadian dollar cash requirements in Canadian dollars to form a natural hedge. We are exposed to currency risk through our cash, other current receivables, accounts payable, accrued expenses and other current liabilities, and operating lease liabilities denominated in Canadian dollars. Based on our Canadian dollar net exposure as of March 31, 2024, and assuming all other variables remain constant, a 10% depreciation in the relative value of the U.S. dollar to the Canadian dollar would result in a decrease of approximately $0.3 million on our net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March 31, 2024. Based upon that evaluation, our Chief Executive Officer and Chief Financial Officer have concluded that, as of such date, our disclosure controls and procedures are effective.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that occurred during the period covered by this Quarterly Report on Form 10-Q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Investing in our common shares involves a high degree of risk. In addition to the other information set forth in this Quarterly Report on Form 10-Q, you should carefully consider the risks described in the Annual Report, including the disclosure therein under Part I, Item 1A, "Risk Factors,” before deciding whether to invest in our common shares. These are not the only risks facing our business. Other risks and uncertainties that we are not currently aware of or that we currently consider immaterial also may materially adversely affect our business, financial condition and future results. Risks we have identified but currently consider immaterial could still also materially adversely affect our business, financial condition and future results of operations if our assumptions about those risks are incorrect or if circumstances change.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period covered in this report to the risk factors previously disclosed in Part I, Item 1A of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7980" w:hanging="512"/>
        <w:spacing w:after="0" w:line="412" w:lineRule="auto"/>
        <w:tabs>
          <w:tab w:leader="none" w:pos="26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Securities </w:t>
      </w:r>
      <w:r>
        <w:rPr>
          <w:rFonts w:ascii="Times New Roman" w:cs="Times New Roman" w:eastAsia="Times New Roman" w:hAnsi="Times New Roman"/>
          <w:sz w:val="18"/>
          <w:szCs w:val="18"/>
          <w:color w:val="auto"/>
        </w:rPr>
        <w:t>None.</w:t>
      </w:r>
    </w:p>
    <w:p>
      <w:pPr>
        <w:spacing w:after="0" w:line="153" w:lineRule="exact"/>
        <w:rPr>
          <w:rFonts w:ascii="Times New Roman" w:cs="Times New Roman" w:eastAsia="Times New Roman" w:hAnsi="Times New Roman"/>
          <w:sz w:val="18"/>
          <w:szCs w:val="18"/>
          <w:b w:val="1"/>
          <w:bCs w:val="1"/>
          <w:color w:val="auto"/>
        </w:rPr>
      </w:pPr>
    </w:p>
    <w:p>
      <w:pPr>
        <w:ind w:left="520" w:right="8120" w:hanging="512"/>
        <w:spacing w:after="0" w:line="412" w:lineRule="auto"/>
        <w:tabs>
          <w:tab w:leader="none" w:pos="27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16a-1(f) under the Exchange Act) adopted or terminated contracts, instructions or written plans for the purchase or sale of our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6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07"/>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92"/>
        </w:trPr>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8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auto"/>
                <w:w w:val="97"/>
              </w:rPr>
            </w:pPr>
            <w:hyperlink r:id="rId207">
              <w:r>
                <w:rPr>
                  <w:rFonts w:ascii="Times New Roman" w:cs="Times New Roman" w:eastAsia="Times New Roman" w:hAnsi="Times New Roman"/>
                  <w:sz w:val="18"/>
                  <w:szCs w:val="18"/>
                  <w:color w:val="auto"/>
                  <w:w w:val="97"/>
                </w:rPr>
                <w:t>3.1</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Articles of Continuance of Repare Therapeutics Inc.</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001-39335</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June 23, 2020</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371"/>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auto"/>
                <w:w w:val="97"/>
              </w:rPr>
            </w:pPr>
            <w:hyperlink r:id="rId208">
              <w:r>
                <w:rPr>
                  <w:rFonts w:ascii="Times New Roman" w:cs="Times New Roman" w:eastAsia="Times New Roman" w:hAnsi="Times New Roman"/>
                  <w:sz w:val="18"/>
                  <w:szCs w:val="18"/>
                  <w:color w:val="auto"/>
                  <w:w w:val="97"/>
                </w:rPr>
                <w:t>3.2</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Amended and Restated Bylaws of Repare Therapeutics Inc.</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001-39335</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June 23, 2020</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563C1"/>
                <w:w w:val="98"/>
              </w:rPr>
              <w:t>10.1*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0563C1"/>
              </w:rPr>
              <w:t>Fifth Amendment to Collaboration and License Agreement by and</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260" w:type="dxa"/>
            <w:vAlign w:val="bottom"/>
            <w:shd w:val="clear" w:color="auto" w:fill="0563C1"/>
          </w:tcPr>
          <w:p>
            <w:pPr>
              <w:spacing w:after="0" w:line="20" w:lineRule="exact"/>
              <w:rPr>
                <w:sz w:val="1"/>
                <w:szCs w:val="1"/>
                <w:color w:val="auto"/>
              </w:rPr>
            </w:pPr>
          </w:p>
        </w:tc>
        <w:tc>
          <w:tcPr>
            <w:tcW w:w="112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between the registrant and Bristol-Myers Squibb Company, dated</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260" w:type="dxa"/>
            <w:vAlign w:val="bottom"/>
            <w:shd w:val="clear" w:color="auto" w:fill="0563C1"/>
          </w:tcPr>
          <w:p>
            <w:pPr>
              <w:spacing w:after="0" w:line="20" w:lineRule="exact"/>
              <w:rPr>
                <w:sz w:val="1"/>
                <w:szCs w:val="1"/>
                <w:color w:val="auto"/>
              </w:rPr>
            </w:pPr>
          </w:p>
        </w:tc>
        <w:tc>
          <w:tcPr>
            <w:tcW w:w="112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March 14, 2024.</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563C1"/>
                <w:w w:val="98"/>
              </w:rPr>
              <w:t>31.1*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Pursuant to Rules 13a-</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040" w:type="dxa"/>
            <w:vAlign w:val="bottom"/>
            <w:gridSpan w:val="2"/>
            <w:shd w:val="clear" w:color="auto" w:fill="0563C1"/>
          </w:tcPr>
          <w:p>
            <w:pPr>
              <w:spacing w:after="0" w:line="20" w:lineRule="exact"/>
              <w:rPr>
                <w:sz w:val="1"/>
                <w:szCs w:val="1"/>
                <w:color w:val="auto"/>
              </w:rPr>
            </w:pPr>
          </w:p>
        </w:tc>
        <w:tc>
          <w:tcPr>
            <w:tcW w:w="112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14(a) and 15d-14(a) under the Securities Exchange Act of 1934, as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040" w:type="dxa"/>
            <w:vAlign w:val="bottom"/>
            <w:gridSpan w:val="2"/>
            <w:shd w:val="clear" w:color="auto" w:fill="0563C1"/>
          </w:tcPr>
          <w:p>
            <w:pPr>
              <w:spacing w:after="0" w:line="20" w:lineRule="exact"/>
              <w:rPr>
                <w:sz w:val="1"/>
                <w:szCs w:val="1"/>
                <w:color w:val="auto"/>
              </w:rPr>
            </w:pPr>
          </w:p>
        </w:tc>
        <w:tc>
          <w:tcPr>
            <w:tcW w:w="112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2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563C1"/>
                <w:w w:val="93"/>
              </w:rPr>
              <w:t>2002.</w:t>
            </w: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563C1"/>
                <w:w w:val="98"/>
              </w:rPr>
              <w:t>31.2*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Rules 13a-</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563C1"/>
          </w:tcPr>
          <w:p>
            <w:pPr>
              <w:spacing w:after="0" w:line="20" w:lineRule="exact"/>
              <w:rPr>
                <w:sz w:val="1"/>
                <w:szCs w:val="1"/>
                <w:color w:val="auto"/>
              </w:rPr>
            </w:pPr>
          </w:p>
        </w:tc>
        <w:tc>
          <w:tcPr>
            <w:tcW w:w="1300" w:type="dxa"/>
            <w:vAlign w:val="bottom"/>
            <w:gridSpan w:val="4"/>
            <w:shd w:val="clear" w:color="auto" w:fill="0563C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14(a) and 15d-14(a) under the Securities Exchange Act of 1934, as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gridSpan w:val="3"/>
            <w:shd w:val="clear" w:color="auto" w:fill="0563C1"/>
          </w:tcPr>
          <w:p>
            <w:pPr>
              <w:spacing w:after="0" w:line="20" w:lineRule="exact"/>
              <w:rPr>
                <w:sz w:val="1"/>
                <w:szCs w:val="1"/>
                <w:color w:val="auto"/>
              </w:rPr>
            </w:pPr>
          </w:p>
        </w:tc>
        <w:tc>
          <w:tcPr>
            <w:tcW w:w="1400" w:type="dxa"/>
            <w:vAlign w:val="bottom"/>
            <w:gridSpan w:val="6"/>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22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563C1"/>
                <w:w w:val="93"/>
              </w:rPr>
              <w:t>2002.</w:t>
            </w: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563C1"/>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and Principal Financial</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gridSpan w:val="3"/>
            <w:shd w:val="clear" w:color="auto" w:fill="0563C1"/>
          </w:tcPr>
          <w:p>
            <w:pPr>
              <w:spacing w:after="0" w:line="20" w:lineRule="exact"/>
              <w:rPr>
                <w:sz w:val="1"/>
                <w:szCs w:val="1"/>
                <w:color w:val="auto"/>
              </w:rPr>
            </w:pPr>
          </w:p>
        </w:tc>
        <w:tc>
          <w:tcPr>
            <w:tcW w:w="1440" w:type="dxa"/>
            <w:vAlign w:val="bottom"/>
            <w:gridSpan w:val="7"/>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Officer Pursuant to 18 U.S.C. Section 1350, as Adopted Pursuant to</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gridSpan w:val="3"/>
            <w:shd w:val="clear" w:color="auto" w:fill="0563C1"/>
          </w:tcPr>
          <w:p>
            <w:pPr>
              <w:spacing w:after="0" w:line="20" w:lineRule="exact"/>
              <w:rPr>
                <w:sz w:val="1"/>
                <w:szCs w:val="1"/>
                <w:color w:val="auto"/>
              </w:rPr>
            </w:pPr>
          </w:p>
        </w:tc>
        <w:tc>
          <w:tcPr>
            <w:tcW w:w="1480" w:type="dxa"/>
            <w:vAlign w:val="bottom"/>
            <w:gridSpan w:val="8"/>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Section 906 of the Sarbanes-Oxley Act of 2002.</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563C1"/>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appear in the Interactive Data File as its XBRL tags are embedded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3"/>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57" w:lineRule="exact"/>
        <w:rPr>
          <w:sz w:val="20"/>
          <w:szCs w:val="20"/>
          <w:color w:val="auto"/>
        </w:rPr>
      </w:pPr>
    </w:p>
    <w:p>
      <w:pPr>
        <w:ind w:left="1180" w:right="5240" w:hanging="801"/>
        <w:spacing w:after="0" w:line="282" w:lineRule="auto"/>
        <w:tabs>
          <w:tab w:leader="none" w:pos="11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Cover Page Interactive Data File (formatted as inline XBRL and contained in Exhibit 101)</w:t>
      </w:r>
    </w:p>
    <w:p>
      <w:pPr>
        <w:spacing w:after="0" w:line="14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jc w:val="both"/>
        <w:ind w:firstLine="8"/>
        <w:spacing w:after="0" w:line="261" w:lineRule="auto"/>
        <w:tabs>
          <w:tab w:leader="none" w:pos="2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-799465</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-127635</wp:posOffset>
            </wp:positionV>
            <wp:extent cx="33261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 Forte</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-127635</wp:posOffset>
            </wp:positionV>
            <wp:extent cx="33261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4940" w:space="720"/>
            <w:col w:w="5580"/>
          </w:cols>
          <w:pgMar w:left="320" w:top="981" w:right="3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43" w:lineRule="exact"/>
        <w:rPr>
          <w:sz w:val="20"/>
          <w:szCs w:val="20"/>
          <w:color w:val="auto"/>
        </w:rPr>
      </w:pPr>
    </w:p>
    <w:p>
      <w:pPr>
        <w:ind w:left="2400" w:right="1460" w:hanging="938"/>
        <w:spacing w:after="0" w:line="282" w:lineRule="auto"/>
        <w:tabs>
          <w:tab w:leader="none" w:pos="1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136130" cy="3041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6130" cy="30416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FIFTH AMENDMENT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COLLABORATION AND LICENSE AGREEMENT</w:t>
      </w:r>
    </w:p>
    <w:p>
      <w:pPr>
        <w:spacing w:after="0" w:line="20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Fifth Amendment to Collaboration and License Agreement (this “Fifth Amendment”) is entered into as of March 14, 2024 (the “Fifth Amendment Effective Date”) by and between Repare Therapeutics Inc., a Canadian corporation with offices at 7210 Frederick-Banting, Suite 100, St. Laurent, Quebec, Canada H4S 2A1 (“Repare Inc.”) and Repare Therapeutics USA, Inc., a Delaware corporation with offices at 101 Main Street, Suite 1650, Cambridge, Massachusetts 02142 (“Repare USA” and, together with Repare Inc., “Repare”), on the one hand, and Bristol-Myers Squibb Company, a Delaware corporation with offices at 430 E. 29th Street, 14th Floor, New York, New York 10016 (“BMS”), on the other hand. BMS and Repare are each referred to herein by name or as a “Party”, or, collectively, as the “Parties.”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WHEREAS, Repare and BMS entered into that certain Collaboration and License Agreement as of May 26, 2020 (as amended, the “Agreement”);</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2.6.3(c) of the Agreement, Repare delivered to BMS on February 2, 2024, the Undruggable Target Data Package for the Undruggable Target identified as [***].</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WHEREAS, the Parties wish to amend the Agreement to extend the Option Term for the Unblinded Undruggable Target identified as [***];</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NOW, THEREFORE, the Parties, intending to be legally bound, hereby agree as follows:</w:t>
      </w:r>
    </w:p>
    <w:p>
      <w:pPr>
        <w:spacing w:after="0" w:line="225" w:lineRule="exact"/>
        <w:rPr>
          <w:sz w:val="20"/>
          <w:szCs w:val="20"/>
          <w:color w:val="auto"/>
        </w:rPr>
      </w:pPr>
    </w:p>
    <w:p>
      <w:pPr>
        <w:ind w:left="700" w:hanging="183"/>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this Fifth Amendment that are not defined herein shall have the meanings ascribed to them in the Agreement.</w:t>
      </w:r>
    </w:p>
    <w:p>
      <w:pPr>
        <w:spacing w:after="0" w:line="225" w:lineRule="exact"/>
        <w:rPr>
          <w:rFonts w:ascii="Times New Roman" w:cs="Times New Roman" w:eastAsia="Times New Roman" w:hAnsi="Times New Roman"/>
          <w:sz w:val="18"/>
          <w:szCs w:val="18"/>
          <w:color w:val="auto"/>
        </w:rPr>
      </w:pPr>
    </w:p>
    <w:p>
      <w:pPr>
        <w:ind w:left="520" w:hanging="3"/>
        <w:spacing w:after="0" w:line="282" w:lineRule="auto"/>
        <w:tabs>
          <w:tab w:leader="none" w:pos="7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Agreement to the contrary the Option Term for the Unblinded Undruggable Target identified as [***] shall hereby expire on [***].</w:t>
      </w:r>
    </w:p>
    <w:p>
      <w:pPr>
        <w:spacing w:after="0" w:line="161" w:lineRule="exact"/>
        <w:rPr>
          <w:rFonts w:ascii="Times New Roman" w:cs="Times New Roman" w:eastAsia="Times New Roman" w:hAnsi="Times New Roman"/>
          <w:sz w:val="18"/>
          <w:szCs w:val="18"/>
          <w:color w:val="auto"/>
        </w:rPr>
      </w:pPr>
    </w:p>
    <w:p>
      <w:pPr>
        <w:jc w:val="both"/>
        <w:ind w:left="520" w:hanging="3"/>
        <w:spacing w:after="0" w:line="258" w:lineRule="auto"/>
        <w:tabs>
          <w:tab w:leader="none" w:pos="7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shall be deemed incorporated into and made a part of the Agreement. The provisions of this Fifth Amendment shall constitute an amendment to the Agreement, and, to the extent that any term or provision of this Fifth Amendment may be deemed expressly inconsistent with any term or provision in the Agreement, this Fifth Amendment shall govern and control. Except as expressly modified by the terms of this Fifth Amendment, all of the terms, conditions, and provisions of the Agreement are hereby ratified, and the Agreement remains in full force and effect.</w:t>
      </w:r>
    </w:p>
    <w:p>
      <w:pPr>
        <w:spacing w:after="0" w:line="183" w:lineRule="exact"/>
        <w:rPr>
          <w:rFonts w:ascii="Times New Roman" w:cs="Times New Roman" w:eastAsia="Times New Roman" w:hAnsi="Times New Roman"/>
          <w:sz w:val="18"/>
          <w:szCs w:val="18"/>
          <w:color w:val="auto"/>
        </w:rPr>
      </w:pPr>
    </w:p>
    <w:p>
      <w:pPr>
        <w:jc w:val="both"/>
        <w:ind w:left="520" w:hanging="3"/>
        <w:spacing w:after="0" w:line="256" w:lineRule="auto"/>
        <w:tabs>
          <w:tab w:leader="none" w:pos="7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may be executed in two (2) counterparts, each of which shall be deemed an original, and both of which together shall constitute one and the same instrument. Any such counterpart, to the extent delivered by means of electronic delivery,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claim or defense with respect to the formation of a contract, and each Party forever waives any such claim or defense, except to the extent that such claim or defense relates to lack of authenticity.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firstLine="509"/>
        <w:spacing w:after="0" w:line="282" w:lineRule="auto"/>
        <w:rPr>
          <w:sz w:val="20"/>
          <w:szCs w:val="20"/>
          <w:color w:val="auto"/>
        </w:rPr>
      </w:pPr>
      <w:r>
        <w:rPr>
          <w:rFonts w:ascii="Times New Roman" w:cs="Times New Roman" w:eastAsia="Times New Roman" w:hAnsi="Times New Roman"/>
          <w:sz w:val="18"/>
          <w:szCs w:val="18"/>
          <w:color w:val="auto"/>
        </w:rPr>
        <w:t>IN WITNESS WHEREOF, and intending to be legally bound hereby, the Parties have caused this Fifth Amendment to Collaboration and License Agreement to be executed by their respective duly authorized officers as of the Fifth Amendment Effective Date.</w:t>
      </w:r>
    </w:p>
    <w:p>
      <w:pPr>
        <w:spacing w:after="0" w:line="37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Bristol-Myers Squibb Company</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Maria 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149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Maria Engler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Senior Director, Global Alliance</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149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Lloyd M. Segal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149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Steve Forte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M. Segal,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Repare Therapeutics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Lloyd M. Segal</w:t>
            </w:r>
          </w:p>
        </w:tc>
      </w:tr>
      <w:tr>
        <w:trPr>
          <w:trHeight w:val="205"/>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Lloyd M. Segal</w:t>
            </w:r>
          </w:p>
        </w:tc>
      </w:tr>
      <w:tr>
        <w:trPr>
          <w:trHeight w:val="214"/>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424"/>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Forte,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Repare Therapeutics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Steve Forte</w:t>
            </w:r>
          </w:p>
        </w:tc>
      </w:tr>
      <w:tr>
        <w:trPr>
          <w:trHeight w:val="205"/>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Steve Forte</w:t>
            </w:r>
          </w:p>
        </w:tc>
      </w:tr>
      <w:tr>
        <w:trPr>
          <w:trHeight w:val="214"/>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424"/>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Repare Therapeutics Inc. (the “Company”) for the period ended March 31, 2024 as filed with the Securities and Exchange Commission on the date hereof (the “Report”), Lloyd M. Segal, as President and Chief Executive Officer of the Company, and Steve Forte, as Executive Vice President and Chief Financial Officer of the Company, each hereby certifies, pursuant to 18 U.S.C. § 1350, as adopted pursuant to § 906 of the Sarbanes-Oxley Act of 2002, that, to the best of his knowledge:</w:t>
      </w:r>
    </w:p>
    <w:p>
      <w:pPr>
        <w:spacing w:after="0" w:line="18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Lloyd M. Segal</w:t>
            </w:r>
          </w:p>
        </w:tc>
      </w:tr>
      <w:tr>
        <w:trPr>
          <w:trHeight w:val="205"/>
        </w:trPr>
        <w:tc>
          <w:tcPr>
            <w:tcW w:w="5840" w:type="dxa"/>
            <w:vAlign w:val="bottom"/>
          </w:tcPr>
          <w:p>
            <w:pPr>
              <w:spacing w:after="0"/>
              <w:rPr>
                <w:sz w:val="17"/>
                <w:szCs w:val="17"/>
                <w:color w:val="auto"/>
              </w:rPr>
            </w:pPr>
          </w:p>
        </w:tc>
        <w:tc>
          <w:tcPr>
            <w:tcW w:w="5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Lloyd M. Segal</w:t>
            </w:r>
          </w:p>
        </w:tc>
      </w:tr>
      <w:tr>
        <w:trPr>
          <w:trHeight w:val="214"/>
        </w:trPr>
        <w:tc>
          <w:tcPr>
            <w:tcW w:w="58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8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Forte</w:t>
            </w:r>
          </w:p>
        </w:tc>
      </w:tr>
      <w:tr>
        <w:trPr>
          <w:trHeight w:val="205"/>
        </w:trPr>
        <w:tc>
          <w:tcPr>
            <w:tcW w:w="5840" w:type="dxa"/>
            <w:vAlign w:val="bottom"/>
          </w:tcPr>
          <w:p>
            <w:pPr>
              <w:spacing w:after="0"/>
              <w:rPr>
                <w:sz w:val="17"/>
                <w:szCs w:val="17"/>
                <w:color w:val="auto"/>
              </w:rPr>
            </w:pPr>
          </w:p>
        </w:tc>
        <w:tc>
          <w:tcPr>
            <w:tcW w:w="5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Steve Forte</w:t>
            </w:r>
          </w:p>
        </w:tc>
      </w:tr>
      <w:tr>
        <w:trPr>
          <w:trHeight w:val="214"/>
        </w:trPr>
        <w:tc>
          <w:tcPr>
            <w:tcW w:w="58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6"/>
        </w:trPr>
        <w:tc>
          <w:tcPr>
            <w:tcW w:w="58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7"/>
    </w:lvl>
  </w:abstractNum>
  <w:abstractNum w:abstractNumId="6">
    <w:nsid w:val="25E45D32"/>
    <w:multiLevelType w:val="hybridMultilevel"/>
    <w:lvl w:ilvl="0">
      <w:lvlJc w:val="left"/>
      <w:lvlText w:val="(%1)"/>
      <w:numFmt w:val="lowerRoman"/>
      <w:start w:val="2"/>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1."/>
      <w:numFmt w:val="decimal"/>
      <w:start w:val="4"/>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lvl w:ilvl="1">
      <w:lvlJc w:val="left"/>
      <w:lvlText w:val="%2"/>
      <w:numFmt w:val="decimal"/>
      <w:start w:val="104"/>
    </w:lvl>
  </w:abstractNum>
  <w:abstractNum w:abstractNumId="21">
    <w:nsid w:val="8EDBDAB"/>
    <w:multiLevelType w:val="hybridMultilevel"/>
    <w:lvl w:ilvl="0">
      <w:lvlJc w:val="left"/>
      <w:lvlText w:val="**"/>
      <w:numFmt w:val="bullet"/>
      <w:start w:val="1"/>
    </w:lvl>
    <w:lvl w:ilvl="1">
      <w:lvlJc w:val="left"/>
      <w:lvlText w:val="%2"/>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07" Type="http://schemas.openxmlformats.org/officeDocument/2006/relationships/hyperlink" Target="https://www.sec.gov/Archives/edgar/data/1808158/000119312520176579/d920931dex31.htm" TargetMode="External"/><Relationship Id="rId208" Type="http://schemas.openxmlformats.org/officeDocument/2006/relationships/hyperlink" Target="https://www.sec.gov/Archives/edgar/data/1808158/000119312520176579/d92093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2024-05-07T15:44:51Z</dcterms:created>
  <dcterms:modified xsi:type="dcterms:W3CDTF">2024-05-07T15:44:51Z</dcterms:modified>
</cp:coreProperties>
</file>