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August 09,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Repare Therapeutics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3920" w:type="dxa"/>
            <w:vAlign w:val="bottom"/>
          </w:tcPr>
          <w:p>
            <w:pPr>
              <w:jc w:val="center"/>
              <w:ind w:right="301"/>
              <w:spacing w:after="0"/>
              <w:rPr>
                <w:sz w:val="20"/>
                <w:szCs w:val="20"/>
                <w:color w:val="auto"/>
              </w:rPr>
            </w:pPr>
            <w:r>
              <w:rPr>
                <w:rFonts w:ascii="Arial" w:cs="Arial" w:eastAsia="Arial" w:hAnsi="Arial"/>
                <w:sz w:val="18"/>
                <w:szCs w:val="18"/>
                <w:b w:val="1"/>
                <w:bCs w:val="1"/>
                <w:color w:val="auto"/>
                <w:w w:val="87"/>
              </w:rPr>
              <w:t>Quebec</w:t>
            </w:r>
          </w:p>
        </w:tc>
        <w:tc>
          <w:tcPr>
            <w:tcW w:w="2940" w:type="dxa"/>
            <w:vAlign w:val="bottom"/>
          </w:tcPr>
          <w:p>
            <w:pPr>
              <w:jc w:val="right"/>
              <w:ind w:right="1301"/>
              <w:spacing w:after="0"/>
              <w:rPr>
                <w:sz w:val="20"/>
                <w:szCs w:val="20"/>
                <w:color w:val="auto"/>
              </w:rPr>
            </w:pPr>
            <w:r>
              <w:rPr>
                <w:rFonts w:ascii="Arial" w:cs="Arial" w:eastAsia="Arial" w:hAnsi="Arial"/>
                <w:sz w:val="18"/>
                <w:szCs w:val="18"/>
                <w:b w:val="1"/>
                <w:bCs w:val="1"/>
                <w:color w:val="auto"/>
              </w:rPr>
              <w:t>001-39335</w:t>
            </w:r>
          </w:p>
        </w:tc>
        <w:tc>
          <w:tcPr>
            <w:tcW w:w="2080" w:type="dxa"/>
            <w:vAlign w:val="bottom"/>
          </w:tcPr>
          <w:p>
            <w:pPr>
              <w:jc w:val="center"/>
              <w:ind w:left="904"/>
              <w:spacing w:after="0"/>
              <w:rPr>
                <w:sz w:val="20"/>
                <w:szCs w:val="20"/>
                <w:color w:val="auto"/>
              </w:rPr>
            </w:pPr>
            <w:r>
              <w:rPr>
                <w:rFonts w:ascii="Arial" w:cs="Arial" w:eastAsia="Arial" w:hAnsi="Arial"/>
                <w:sz w:val="18"/>
                <w:szCs w:val="18"/>
                <w:b w:val="1"/>
                <w:bCs w:val="1"/>
                <w:color w:val="auto"/>
                <w:w w:val="89"/>
              </w:rPr>
              <w:t>Not applicable</w:t>
            </w:r>
          </w:p>
        </w:tc>
      </w:tr>
      <w:tr>
        <w:trPr>
          <w:trHeight w:val="163"/>
        </w:trPr>
        <w:tc>
          <w:tcPr>
            <w:tcW w:w="3920" w:type="dxa"/>
            <w:vAlign w:val="bottom"/>
          </w:tcPr>
          <w:p>
            <w:pPr>
              <w:jc w:val="center"/>
              <w:ind w:right="321"/>
              <w:spacing w:after="0"/>
              <w:rPr>
                <w:sz w:val="20"/>
                <w:szCs w:val="20"/>
                <w:color w:val="auto"/>
              </w:rPr>
            </w:pPr>
            <w:r>
              <w:rPr>
                <w:rFonts w:ascii="Arial" w:cs="Arial" w:eastAsia="Arial" w:hAnsi="Arial"/>
                <w:sz w:val="13"/>
                <w:szCs w:val="13"/>
                <w:b w:val="1"/>
                <w:bCs w:val="1"/>
                <w:color w:val="auto"/>
                <w:w w:val="95"/>
              </w:rPr>
              <w:t>(State or Other Jurisdiction</w:t>
            </w:r>
          </w:p>
        </w:tc>
        <w:tc>
          <w:tcPr>
            <w:tcW w:w="2940" w:type="dxa"/>
            <w:vAlign w:val="bottom"/>
          </w:tcPr>
          <w:p>
            <w:pPr>
              <w:jc w:val="center"/>
              <w:ind w:right="521"/>
              <w:spacing w:after="0"/>
              <w:rPr>
                <w:sz w:val="20"/>
                <w:szCs w:val="20"/>
                <w:color w:val="auto"/>
              </w:rPr>
            </w:pPr>
            <w:r>
              <w:rPr>
                <w:rFonts w:ascii="Arial" w:cs="Arial" w:eastAsia="Arial" w:hAnsi="Arial"/>
                <w:sz w:val="13"/>
                <w:szCs w:val="13"/>
                <w:b w:val="1"/>
                <w:bCs w:val="1"/>
                <w:color w:val="auto"/>
                <w:w w:val="95"/>
              </w:rPr>
              <w:t>(Commission File Number)</w:t>
            </w:r>
          </w:p>
        </w:tc>
        <w:tc>
          <w:tcPr>
            <w:tcW w:w="208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920" w:type="dxa"/>
            <w:vAlign w:val="bottom"/>
          </w:tcPr>
          <w:p>
            <w:pPr>
              <w:jc w:val="center"/>
              <w:ind w:right="321"/>
              <w:spacing w:after="0"/>
              <w:rPr>
                <w:sz w:val="20"/>
                <w:szCs w:val="20"/>
                <w:color w:val="auto"/>
              </w:rPr>
            </w:pPr>
            <w:r>
              <w:rPr>
                <w:rFonts w:ascii="Arial" w:cs="Arial" w:eastAsia="Arial" w:hAnsi="Arial"/>
                <w:sz w:val="13"/>
                <w:szCs w:val="13"/>
                <w:b w:val="1"/>
                <w:bCs w:val="1"/>
                <w:color w:val="auto"/>
                <w:w w:val="96"/>
              </w:rPr>
              <w:t>of Incorporation)</w:t>
            </w:r>
          </w:p>
        </w:tc>
        <w:tc>
          <w:tcPr>
            <w:tcW w:w="2940" w:type="dxa"/>
            <w:vAlign w:val="bottom"/>
          </w:tcPr>
          <w:p>
            <w:pPr>
              <w:spacing w:after="0"/>
              <w:rPr>
                <w:sz w:val="15"/>
                <w:szCs w:val="15"/>
                <w:color w:val="auto"/>
              </w:rPr>
            </w:pPr>
          </w:p>
        </w:tc>
        <w:tc>
          <w:tcPr>
            <w:tcW w:w="208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73"/>
        </w:trPr>
        <w:tc>
          <w:tcPr>
            <w:tcW w:w="3920" w:type="dxa"/>
            <w:vAlign w:val="bottom"/>
          </w:tcPr>
          <w:p>
            <w:pPr>
              <w:jc w:val="center"/>
              <w:ind w:right="321"/>
              <w:spacing w:after="0"/>
              <w:rPr>
                <w:sz w:val="20"/>
                <w:szCs w:val="20"/>
                <w:color w:val="auto"/>
              </w:rPr>
            </w:pPr>
            <w:r>
              <w:rPr>
                <w:rFonts w:ascii="Arial" w:cs="Arial" w:eastAsia="Arial" w:hAnsi="Arial"/>
                <w:sz w:val="18"/>
                <w:szCs w:val="18"/>
                <w:b w:val="1"/>
                <w:bCs w:val="1"/>
                <w:color w:val="auto"/>
                <w:w w:val="91"/>
              </w:rPr>
              <w:t>7171 Frederick-Banting, Building 2, Suite 270</w:t>
            </w:r>
          </w:p>
        </w:tc>
        <w:tc>
          <w:tcPr>
            <w:tcW w:w="29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43"/>
        </w:trPr>
        <w:tc>
          <w:tcPr>
            <w:tcW w:w="3920" w:type="dxa"/>
            <w:vAlign w:val="bottom"/>
          </w:tcPr>
          <w:p>
            <w:pPr>
              <w:jc w:val="center"/>
              <w:ind w:right="321"/>
              <w:spacing w:after="0"/>
              <w:rPr>
                <w:sz w:val="20"/>
                <w:szCs w:val="20"/>
                <w:color w:val="auto"/>
              </w:rPr>
            </w:pPr>
            <w:r>
              <w:rPr>
                <w:rFonts w:ascii="Arial" w:cs="Arial" w:eastAsia="Arial" w:hAnsi="Arial"/>
                <w:sz w:val="18"/>
                <w:szCs w:val="18"/>
                <w:b w:val="1"/>
                <w:bCs w:val="1"/>
                <w:color w:val="auto"/>
                <w:w w:val="91"/>
              </w:rPr>
              <w:t>St-Laurent, Quebec, Canada</w:t>
            </w:r>
          </w:p>
        </w:tc>
        <w:tc>
          <w:tcPr>
            <w:tcW w:w="2940" w:type="dxa"/>
            <w:vAlign w:val="bottom"/>
          </w:tcPr>
          <w:p>
            <w:pPr>
              <w:spacing w:after="0"/>
              <w:rPr>
                <w:sz w:val="21"/>
                <w:szCs w:val="21"/>
                <w:color w:val="auto"/>
              </w:rPr>
            </w:pPr>
          </w:p>
        </w:tc>
        <w:tc>
          <w:tcPr>
            <w:tcW w:w="2080" w:type="dxa"/>
            <w:vAlign w:val="bottom"/>
          </w:tcPr>
          <w:p>
            <w:pPr>
              <w:jc w:val="center"/>
              <w:ind w:left="904"/>
              <w:spacing w:after="0"/>
              <w:rPr>
                <w:sz w:val="20"/>
                <w:szCs w:val="20"/>
                <w:color w:val="auto"/>
              </w:rPr>
            </w:pPr>
            <w:r>
              <w:rPr>
                <w:rFonts w:ascii="Arial" w:cs="Arial" w:eastAsia="Arial" w:hAnsi="Arial"/>
                <w:sz w:val="18"/>
                <w:szCs w:val="18"/>
                <w:b w:val="1"/>
                <w:bCs w:val="1"/>
                <w:color w:val="auto"/>
                <w:w w:val="92"/>
              </w:rPr>
              <w:t>H4S 1Z9</w:t>
            </w:r>
          </w:p>
        </w:tc>
      </w:tr>
      <w:tr>
        <w:trPr>
          <w:trHeight w:val="188"/>
        </w:trPr>
        <w:tc>
          <w:tcPr>
            <w:tcW w:w="3920" w:type="dxa"/>
            <w:vAlign w:val="bottom"/>
          </w:tcPr>
          <w:p>
            <w:pPr>
              <w:jc w:val="center"/>
              <w:ind w:right="32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940" w:type="dxa"/>
            <w:vAlign w:val="bottom"/>
          </w:tcPr>
          <w:p>
            <w:pPr>
              <w:spacing w:after="0"/>
              <w:rPr>
                <w:sz w:val="16"/>
                <w:szCs w:val="16"/>
                <w:color w:val="auto"/>
              </w:rPr>
            </w:pPr>
          </w:p>
        </w:tc>
        <w:tc>
          <w:tcPr>
            <w:tcW w:w="208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857 412-7018</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920" w:type="dxa"/>
            <w:vAlign w:val="bottom"/>
            <w:gridSpan w:val="5"/>
          </w:tcPr>
          <w:p>
            <w:pPr>
              <w:ind w:left="10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400"/>
        </w:trPr>
        <w:tc>
          <w:tcPr>
            <w:tcW w:w="3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41"/>
        </w:trPr>
        <w:tc>
          <w:tcPr>
            <w:tcW w:w="332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b w:val="1"/>
                <w:bCs w:val="1"/>
                <w:color w:val="auto"/>
                <w:w w:val="86"/>
              </w:rPr>
              <w:t>Title of each class</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320" w:type="dxa"/>
            <w:vAlign w:val="bottom"/>
          </w:tcPr>
          <w:p>
            <w:pPr>
              <w:jc w:val="center"/>
              <w:ind w:left="850"/>
              <w:spacing w:after="0"/>
              <w:rPr>
                <w:sz w:val="20"/>
                <w:szCs w:val="20"/>
                <w:color w:val="auto"/>
              </w:rPr>
            </w:pPr>
            <w:r>
              <w:rPr>
                <w:rFonts w:ascii="Arial" w:cs="Arial" w:eastAsia="Arial" w:hAnsi="Arial"/>
                <w:sz w:val="18"/>
                <w:szCs w:val="18"/>
                <w:color w:val="auto"/>
                <w:w w:val="88"/>
              </w:rPr>
              <w:t>Common shares, no par value</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5"/>
              </w:rPr>
              <w:t>RPTX</w:t>
            </w:r>
          </w:p>
        </w:tc>
        <w:tc>
          <w:tcPr>
            <w:tcW w:w="1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August 9, 2023, Repare Therapeutics Inc. (the "Company") issued a press release announcing its recent business highlights and financial results for the three and six months ended June 30, 2023. A copy of the press release is furnished hereto as Exhibit 99.1 and is incorporated herein by reference.</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this Current Report on Form 8-K, including Exhibit 99.1 attached hereto, is being furnished and shall not be deemed “filed” for purposes of Section 18 of the Securities Exchange Act of 1934, as amended (the “Exchange Act”) or otherwise subject to the liabilities of that section. The information contained herein and in the accompanying exhibit is not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Exhibit</w:t>
            </w:r>
          </w:p>
        </w:tc>
        <w:tc>
          <w:tcPr>
            <w:tcW w:w="2560" w:type="dxa"/>
            <w:vAlign w:val="bottom"/>
          </w:tcPr>
          <w:p>
            <w:pPr>
              <w:spacing w:after="0"/>
              <w:rPr>
                <w:sz w:val="20"/>
                <w:szCs w:val="20"/>
                <w:color w:val="auto"/>
              </w:rPr>
            </w:pPr>
          </w:p>
        </w:tc>
        <w:tc>
          <w:tcPr>
            <w:tcW w:w="7540" w:type="dxa"/>
            <w:vAlign w:val="bottom"/>
          </w:tcPr>
          <w:p>
            <w:pPr>
              <w:spacing w:after="0"/>
              <w:rPr>
                <w:sz w:val="20"/>
                <w:szCs w:val="20"/>
                <w:color w:val="auto"/>
              </w:rPr>
            </w:pPr>
          </w:p>
        </w:tc>
      </w:tr>
      <w:tr>
        <w:trPr>
          <w:trHeight w:val="250"/>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w:t>
            </w:r>
          </w:p>
        </w:tc>
        <w:tc>
          <w:tcPr>
            <w:tcW w:w="2560" w:type="dxa"/>
            <w:vAlign w:val="bottom"/>
            <w:tcBorders>
              <w:bottom w:val="single" w:sz="8" w:color="auto"/>
            </w:tcBorders>
          </w:tcPr>
          <w:p>
            <w:pPr>
              <w:spacing w:after="0"/>
              <w:rPr>
                <w:sz w:val="21"/>
                <w:szCs w:val="21"/>
                <w:color w:val="auto"/>
              </w:rPr>
            </w:pPr>
          </w:p>
        </w:tc>
        <w:tc>
          <w:tcPr>
            <w:tcW w:w="754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Description</w:t>
            </w:r>
          </w:p>
        </w:tc>
      </w:tr>
      <w:tr>
        <w:trPr>
          <w:trHeight w:val="189"/>
        </w:trPr>
        <w:tc>
          <w:tcPr>
            <w:tcW w:w="1140" w:type="dxa"/>
            <w:vAlign w:val="bottom"/>
          </w:tcPr>
          <w:p>
            <w:pPr>
              <w:jc w:val="right"/>
              <w:ind w:right="410"/>
              <w:spacing w:after="0" w:line="189" w:lineRule="exact"/>
              <w:rPr>
                <w:sz w:val="20"/>
                <w:szCs w:val="20"/>
                <w:color w:val="auto"/>
              </w:rPr>
            </w:pPr>
            <w:r>
              <w:rPr>
                <w:rFonts w:ascii="Arial" w:cs="Arial" w:eastAsia="Arial" w:hAnsi="Arial"/>
                <w:sz w:val="18"/>
                <w:szCs w:val="18"/>
                <w:color w:val="auto"/>
              </w:rPr>
              <w:t>99.1</w:t>
            </w:r>
          </w:p>
        </w:tc>
        <w:tc>
          <w:tcPr>
            <w:tcW w:w="2560" w:type="dxa"/>
            <w:vAlign w:val="bottom"/>
            <w:tcBorders>
              <w:bottom w:val="single" w:sz="8" w:color="0000FF"/>
            </w:tcBorders>
          </w:tcPr>
          <w:p>
            <w:pPr>
              <w:spacing w:after="0" w:line="189" w:lineRule="exact"/>
              <w:rPr>
                <w:sz w:val="20"/>
                <w:szCs w:val="20"/>
                <w:color w:val="auto"/>
              </w:rPr>
            </w:pPr>
            <w:r>
              <w:rPr>
                <w:rFonts w:ascii="Arial" w:cs="Arial" w:eastAsia="Arial" w:hAnsi="Arial"/>
                <w:sz w:val="18"/>
                <w:szCs w:val="18"/>
                <w:color w:val="0000FF"/>
                <w:w w:val="86"/>
              </w:rPr>
              <w:t>Press Release dated August 9, 2023</w:t>
            </w:r>
          </w:p>
        </w:tc>
        <w:tc>
          <w:tcPr>
            <w:tcW w:w="7540" w:type="dxa"/>
            <w:vAlign w:val="bottom"/>
          </w:tcPr>
          <w:p>
            <w:pPr>
              <w:spacing w:after="0"/>
              <w:rPr>
                <w:sz w:val="16"/>
                <w:szCs w:val="16"/>
                <w:color w:val="auto"/>
              </w:rPr>
            </w:pPr>
          </w:p>
        </w:tc>
      </w:tr>
    </w:tbl>
    <w:p>
      <w:pPr>
        <w:spacing w:after="0" w:line="40" w:lineRule="exact"/>
        <w:rPr>
          <w:sz w:val="20"/>
          <w:szCs w:val="20"/>
          <w:color w:val="auto"/>
        </w:rPr>
      </w:pPr>
    </w:p>
    <w:p>
      <w:pPr>
        <w:ind w:left="1140" w:hanging="796"/>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REPARE THERAPEUTICS INC.</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700" w:val="left"/>
          <w:tab w:leader="none" w:pos="562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6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Lloyd M. Segal</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30302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0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Repare Therapeutcs Provides Business Update and Reports Second Quarter 2023 Financial Results</w:t>
      </w:r>
    </w:p>
    <w:p>
      <w:pPr>
        <w:spacing w:after="0" w:line="328" w:lineRule="exact"/>
        <w:rPr>
          <w:sz w:val="20"/>
          <w:szCs w:val="20"/>
          <w:color w:val="auto"/>
        </w:rPr>
      </w:pPr>
    </w:p>
    <w:p>
      <w:pPr>
        <w:jc w:val="center"/>
        <w:ind w:right="40"/>
        <w:spacing w:after="0" w:line="274" w:lineRule="auto"/>
        <w:rPr>
          <w:sz w:val="20"/>
          <w:szCs w:val="20"/>
          <w:color w:val="auto"/>
        </w:rPr>
      </w:pPr>
      <w:r>
        <w:rPr>
          <w:rFonts w:ascii="Arial" w:cs="Arial" w:eastAsia="Arial" w:hAnsi="Arial"/>
          <w:sz w:val="22"/>
          <w:szCs w:val="22"/>
          <w:i w:val="1"/>
          <w:iCs w:val="1"/>
          <w:color w:val="auto"/>
        </w:rPr>
        <w:t>Presented inital camonsertb-PARPi combinaton Phase 1/2 clinical data at AACR 2023 demonstratng durable clinical beneft across tumor types, genomic alteratons, PARPi choice or platnum resistance</w:t>
      </w:r>
    </w:p>
    <w:p>
      <w:pPr>
        <w:spacing w:after="0" w:line="232" w:lineRule="exact"/>
        <w:rPr>
          <w:sz w:val="20"/>
          <w:szCs w:val="20"/>
          <w:color w:val="auto"/>
        </w:rPr>
      </w:pPr>
    </w:p>
    <w:p>
      <w:pPr>
        <w:jc w:val="center"/>
        <w:spacing w:after="0" w:line="274" w:lineRule="auto"/>
        <w:rPr>
          <w:sz w:val="20"/>
          <w:szCs w:val="20"/>
          <w:color w:val="auto"/>
        </w:rPr>
      </w:pPr>
      <w:r>
        <w:rPr>
          <w:rFonts w:ascii="Arial" w:cs="Arial" w:eastAsia="Arial" w:hAnsi="Arial"/>
          <w:sz w:val="22"/>
          <w:szCs w:val="22"/>
          <w:i w:val="1"/>
          <w:iCs w:val="1"/>
          <w:color w:val="auto"/>
        </w:rPr>
        <w:t>Roche has included a camonsertb-based arm in its Phase 2 TAPISTRY study and its Phase 1/2 Morpheus Lung study of multple combinatons in metastatc non-small cell lung cancer</w:t>
      </w:r>
    </w:p>
    <w:p>
      <w:pPr>
        <w:spacing w:after="0" w:line="178" w:lineRule="exact"/>
        <w:rPr>
          <w:sz w:val="20"/>
          <w:szCs w:val="20"/>
          <w:color w:val="auto"/>
        </w:rPr>
      </w:pPr>
    </w:p>
    <w:p>
      <w:pPr>
        <w:jc w:val="center"/>
        <w:ind w:right="40"/>
        <w:spacing w:after="0" w:line="274" w:lineRule="auto"/>
        <w:rPr>
          <w:sz w:val="20"/>
          <w:szCs w:val="20"/>
          <w:color w:val="auto"/>
        </w:rPr>
      </w:pPr>
      <w:r>
        <w:rPr>
          <w:rFonts w:ascii="Arial" w:cs="Arial" w:eastAsia="Arial" w:hAnsi="Arial"/>
          <w:sz w:val="22"/>
          <w:szCs w:val="22"/>
          <w:i w:val="1"/>
          <w:iCs w:val="1"/>
          <w:color w:val="auto"/>
        </w:rPr>
        <w:t>Reported clinical proof of concept for lunresertb (RP-6306) in June 2023 including achievement of monotherapy safety and tolerability primary endpoints and identfcaton of two proposed dose/schedules</w:t>
      </w:r>
    </w:p>
    <w:p>
      <w:pPr>
        <w:spacing w:after="0" w:line="178" w:lineRule="exact"/>
        <w:rPr>
          <w:sz w:val="20"/>
          <w:szCs w:val="20"/>
          <w:color w:val="auto"/>
        </w:rPr>
      </w:pPr>
    </w:p>
    <w:p>
      <w:pPr>
        <w:jc w:val="center"/>
        <w:ind w:right="40"/>
        <w:spacing w:after="0" w:line="274" w:lineRule="auto"/>
        <w:rPr>
          <w:sz w:val="20"/>
          <w:szCs w:val="20"/>
          <w:color w:val="auto"/>
        </w:rPr>
      </w:pPr>
      <w:r>
        <w:rPr>
          <w:rFonts w:ascii="Arial" w:cs="Arial" w:eastAsia="Arial" w:hAnsi="Arial"/>
          <w:sz w:val="22"/>
          <w:szCs w:val="22"/>
          <w:i w:val="1"/>
          <w:iCs w:val="1"/>
          <w:color w:val="auto"/>
        </w:rPr>
        <w:t>Presented early lunresertb combinaton response data in June 2023, and expects to present further Phase 1 MYTHIC Module 2 data at a medical conference in the fourth quarter of this year</w:t>
      </w:r>
    </w:p>
    <w:p>
      <w:pPr>
        <w:spacing w:after="0" w:line="178" w:lineRule="exact"/>
        <w:rPr>
          <w:sz w:val="20"/>
          <w:szCs w:val="20"/>
          <w:color w:val="auto"/>
        </w:rPr>
      </w:pPr>
    </w:p>
    <w:p>
      <w:pPr>
        <w:jc w:val="center"/>
        <w:ind w:right="40"/>
        <w:spacing w:after="0" w:line="274" w:lineRule="auto"/>
        <w:rPr>
          <w:sz w:val="20"/>
          <w:szCs w:val="20"/>
          <w:color w:val="auto"/>
        </w:rPr>
      </w:pPr>
      <w:r>
        <w:rPr>
          <w:rFonts w:ascii="Arial" w:cs="Arial" w:eastAsia="Arial" w:hAnsi="Arial"/>
          <w:sz w:val="22"/>
          <w:szCs w:val="22"/>
          <w:i w:val="1"/>
          <w:iCs w:val="1"/>
          <w:color w:val="auto"/>
        </w:rPr>
        <w:t>Granted FDA Fast Track designaton for lunresertb in combinaton with camonsertb for the treatment of adult patents with CCNE1 amplifed, or FBXW7 or PPP2R1A mutated endometrial cancer in August</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22"/>
          <w:szCs w:val="22"/>
          <w:i w:val="1"/>
          <w:iCs w:val="1"/>
          <w:color w:val="auto"/>
        </w:rPr>
        <w:t>Initated IND-enabling studies for newly designated Polθ inhibitor RP-3467</w:t>
      </w:r>
    </w:p>
    <w:p>
      <w:pPr>
        <w:spacing w:after="0" w:line="339"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color w:val="auto"/>
        </w:rPr>
        <w:t xml:space="preserve">CAMBRIDGE, Mass. &amp; MONTREAL (BUSINESS WIRE)—August 9, 2023— </w:t>
      </w:r>
      <w:r>
        <w:rPr>
          <w:rFonts w:ascii="Arial" w:cs="Arial" w:eastAsia="Arial" w:hAnsi="Arial"/>
          <w:sz w:val="22"/>
          <w:szCs w:val="22"/>
          <w:color w:val="auto"/>
        </w:rPr>
        <w:t>Repare Therapeutcs Inc. (“Repare” or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(Nasdaq: RPTX), a leading clinical-stage precision oncology company, today reported fnancial results for the second quarter ended June 30, 2023.</w:t>
      </w:r>
    </w:p>
    <w:p>
      <w:pPr>
        <w:spacing w:after="0" w:line="7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“During the second quarter we made great progress advancing our clinical programs and presentng novel fndings from our ongoing clinical trials, including reportng on camonsertb’s combinaton with three PARP inhibitors and inital clinical proof of concept for lunresertb,” said Lloyd M. Segal, President and Chief Executve Ofcer of Repare. “While these clinical programs move towards Phase 2 studies, we contnue to support our preclinical pipeline, for example with the designaton of our Polθ inhibitor, RP-3467. We look forward to reportng inital combinaton data of lunresertb with camonsertb in the fourth quarter of this year as we contnue advancing our diferentated, synthetc lethal-based oncology pipeline.”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2023 Review and Operatonal Updates:</w:t>
      </w:r>
    </w:p>
    <w:p>
      <w:pPr>
        <w:spacing w:after="0" w:line="125" w:lineRule="exact"/>
        <w:rPr>
          <w:sz w:val="20"/>
          <w:szCs w:val="20"/>
          <w:color w:val="auto"/>
        </w:rPr>
      </w:pPr>
    </w:p>
    <w:p>
      <w:pPr>
        <w:jc w:val="both"/>
        <w:ind w:left="1020" w:hanging="503"/>
        <w:spacing w:after="0" w:line="268" w:lineRule="auto"/>
        <w:tabs>
          <w:tab w:leader="none" w:pos="102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Advancing camonsertb, a potent and selectve oral small molecule inhibitor of ATR (Ataxia-Telangiectasia and Rad3-related protein kinase) for the treatment of tumors with specifc synthetc lethal genomic alteratons in partnership with Roche.</w:t>
      </w:r>
    </w:p>
    <w:p>
      <w:pPr>
        <w:spacing w:after="0" w:line="72" w:lineRule="exact"/>
        <w:rPr>
          <w:rFonts w:ascii="Arial" w:cs="Arial" w:eastAsia="Arial" w:hAnsi="Arial"/>
          <w:sz w:val="22"/>
          <w:szCs w:val="22"/>
          <w:color w:val="auto"/>
        </w:rPr>
      </w:pPr>
    </w:p>
    <w:p>
      <w:pPr>
        <w:ind w:left="1540" w:hanging="509"/>
        <w:spacing w:after="0" w:line="259" w:lineRule="auto"/>
        <w:rPr>
          <w:rFonts w:ascii="Arial" w:cs="Arial" w:eastAsia="Arial" w:hAnsi="Arial"/>
          <w:sz w:val="22"/>
          <w:szCs w:val="22"/>
          <w:color w:val="auto"/>
        </w:rPr>
      </w:pPr>
      <w:r>
        <w:rPr>
          <w:rFonts w:ascii="Arial" w:cs="Arial" w:eastAsia="Arial" w:hAnsi="Arial"/>
          <w:sz w:val="22"/>
          <w:szCs w:val="22"/>
          <w:color w:val="auto"/>
        </w:rPr>
        <w:t>o</w:t>
      </w:r>
      <w:r>
        <w:rPr>
          <w:rFonts w:ascii="Arial" w:cs="Arial" w:eastAsia="Arial" w:hAnsi="Arial"/>
          <w:sz w:val="22"/>
          <w:szCs w:val="22"/>
          <w:color w:val="auto"/>
        </w:rPr>
        <w:t>Roche has included a camonsertb-based arm in its Phase 2, global, multcenter, open-label, mult-cohort TAPISTRY study (NCT04589845) and its Phase 1/2 study of multple immunotherapy-based treatment combinatons in partcipants with metastatc non-small cell lung cancer (Morpheus Lung; NCT03337698). Repare is eligible to receive a milestone payment of $40 million upon dosing of the frst patent with camonsertb in the TAPISTRY study and could be eligible for an additonal $15 million milestone if this study becomes registratonal.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both"/>
        <w:ind w:left="1023" w:hanging="514"/>
        <w:spacing w:after="0" w:line="274" w:lineRule="auto"/>
        <w:tabs>
          <w:tab w:leader="none" w:pos="1023" w:val="left"/>
        </w:tabs>
        <w:numPr>
          <w:ilvl w:val="1"/>
          <w:numId w:val="4"/>
        </w:numPr>
        <w:rPr>
          <w:rFonts w:ascii="Arial" w:cs="Arial" w:eastAsia="Arial" w:hAnsi="Arial"/>
          <w:sz w:val="21"/>
          <w:szCs w:val="21"/>
          <w:color w:val="auto"/>
        </w:rPr>
      </w:pPr>
      <w:r>
        <w:rPr>
          <w:rFonts w:ascii="Arial" w:cs="Arial" w:eastAsia="Arial" w:hAnsi="Arial"/>
          <w:sz w:val="21"/>
          <w:szCs w:val="21"/>
          <w:color w:val="auto"/>
        </w:rPr>
        <w:t>Repare is contnuing to conduct dose optmizaton and efcacy assessments in tumor specifc expansions in the ATTACC study in collaboraton with Roche to support future clinical development plans for camonsertb combinatons with PARP inhibitors. In April 2023, we received a payment of $4 million from Roche for additonal revisions to the clinical development plan under the Roche Agreement. Repare is eligible to receive further milestone payments upon the initaton of registratonal trials or the transiton of existng trials to become registratonal for camonsertb in specifc tumor types.</w:t>
      </w:r>
    </w:p>
    <w:p>
      <w:pPr>
        <w:spacing w:after="0" w:line="73" w:lineRule="exact"/>
        <w:rPr>
          <w:rFonts w:ascii="Arial" w:cs="Arial" w:eastAsia="Arial" w:hAnsi="Arial"/>
          <w:sz w:val="21"/>
          <w:szCs w:val="21"/>
          <w:color w:val="auto"/>
        </w:rPr>
      </w:pPr>
    </w:p>
    <w:p>
      <w:pPr>
        <w:jc w:val="both"/>
        <w:ind w:left="1023" w:hanging="514"/>
        <w:spacing w:after="0" w:line="262" w:lineRule="auto"/>
        <w:tabs>
          <w:tab w:leader="none" w:pos="1023" w:val="left"/>
        </w:tabs>
        <w:numPr>
          <w:ilvl w:val="1"/>
          <w:numId w:val="4"/>
        </w:numPr>
        <w:rPr>
          <w:rFonts w:ascii="Arial" w:cs="Arial" w:eastAsia="Arial" w:hAnsi="Arial"/>
          <w:sz w:val="22"/>
          <w:szCs w:val="22"/>
          <w:color w:val="auto"/>
        </w:rPr>
      </w:pPr>
      <w:r>
        <w:rPr>
          <w:rFonts w:ascii="Arial" w:cs="Arial" w:eastAsia="Arial" w:hAnsi="Arial"/>
          <w:sz w:val="22"/>
          <w:szCs w:val="22"/>
          <w:color w:val="auto"/>
        </w:rPr>
        <w:t xml:space="preserve">Published data in </w:t>
      </w:r>
      <w:r>
        <w:rPr>
          <w:rFonts w:ascii="Arial" w:cs="Arial" w:eastAsia="Arial" w:hAnsi="Arial"/>
          <w:sz w:val="22"/>
          <w:szCs w:val="22"/>
          <w:i w:val="1"/>
          <w:iCs w:val="1"/>
          <w:color w:val="auto"/>
        </w:rPr>
        <w:t>Nature Medicine</w:t>
      </w:r>
      <w:r>
        <w:rPr>
          <w:rFonts w:ascii="Arial" w:cs="Arial" w:eastAsia="Arial" w:hAnsi="Arial"/>
          <w:sz w:val="22"/>
          <w:szCs w:val="22"/>
          <w:color w:val="auto"/>
        </w:rPr>
        <w:t xml:space="preserve"> from the ongoing Phase 1/2 TRESR clinical trial evaluatng camonsertb monotherapy in 120 patents (NCT04497116). The artcle, enttled “Camonsertb in DNA damage response-defcient advanced solid tumors: phase 1 trial results” can be accessed at htps://doi.org/10.1038/s41591-023-02399-0.</w:t>
      </w:r>
    </w:p>
    <w:p>
      <w:pPr>
        <w:spacing w:after="0" w:line="83" w:lineRule="exact"/>
        <w:rPr>
          <w:rFonts w:ascii="Arial" w:cs="Arial" w:eastAsia="Arial" w:hAnsi="Arial"/>
          <w:sz w:val="22"/>
          <w:szCs w:val="22"/>
          <w:color w:val="auto"/>
        </w:rPr>
      </w:pPr>
    </w:p>
    <w:p>
      <w:pPr>
        <w:jc w:val="both"/>
        <w:ind w:left="1023" w:hanging="514"/>
        <w:spacing w:after="0" w:line="265" w:lineRule="auto"/>
        <w:tabs>
          <w:tab w:leader="none" w:pos="1023" w:val="left"/>
        </w:tabs>
        <w:numPr>
          <w:ilvl w:val="1"/>
          <w:numId w:val="4"/>
        </w:numPr>
        <w:rPr>
          <w:rFonts w:ascii="Arial" w:cs="Arial" w:eastAsia="Arial" w:hAnsi="Arial"/>
          <w:sz w:val="22"/>
          <w:szCs w:val="22"/>
          <w:color w:val="auto"/>
        </w:rPr>
      </w:pPr>
      <w:r>
        <w:rPr>
          <w:rFonts w:ascii="Arial" w:cs="Arial" w:eastAsia="Arial" w:hAnsi="Arial"/>
          <w:sz w:val="22"/>
          <w:szCs w:val="22"/>
          <w:color w:val="auto"/>
        </w:rPr>
        <w:t>Announced inital clinical data from the Phase 1/2 TRESR and ATTACC trials evaluatng camonsertb in combinaton with three poly (ADP-ribose) polymerase (PARP) inhibitors in a Clinical Trials Plenary Session at the 2023 American Associaton for Cancer Research (AACR) Annual Meetng.</w:t>
      </w:r>
    </w:p>
    <w:p>
      <w:pPr>
        <w:spacing w:after="0" w:line="80" w:lineRule="exact"/>
        <w:rPr>
          <w:rFonts w:ascii="Arial" w:cs="Arial" w:eastAsia="Arial" w:hAnsi="Arial"/>
          <w:sz w:val="22"/>
          <w:szCs w:val="22"/>
          <w:color w:val="auto"/>
        </w:rPr>
      </w:pPr>
    </w:p>
    <w:p>
      <w:pPr>
        <w:jc w:val="both"/>
        <w:ind w:left="1023" w:hanging="514"/>
        <w:spacing w:after="0" w:line="301" w:lineRule="auto"/>
        <w:tabs>
          <w:tab w:leader="none" w:pos="1023" w:val="left"/>
        </w:tabs>
        <w:numPr>
          <w:ilvl w:val="1"/>
          <w:numId w:val="4"/>
        </w:numPr>
        <w:rPr>
          <w:rFonts w:ascii="Arial" w:cs="Arial" w:eastAsia="Arial" w:hAnsi="Arial"/>
          <w:sz w:val="19"/>
          <w:szCs w:val="19"/>
          <w:color w:val="auto"/>
        </w:rPr>
      </w:pPr>
      <w:r>
        <w:rPr>
          <w:rFonts w:ascii="Arial" w:cs="Arial" w:eastAsia="Arial" w:hAnsi="Arial"/>
          <w:sz w:val="19"/>
          <w:szCs w:val="19"/>
          <w:color w:val="auto"/>
        </w:rPr>
        <w:t>Camonsertb-PARP inhibitor combinatons appeared to be well tolerated and resulted in durable clinical beneft across tumor types and genomic alteratons, regardless of choice of PARP inhibitor and presence of platnum resistance. Overall clinical beneft rate (CBR) for all patents was 48%. Patents with platnum-resistant tumors had an overall response rate (ORR) of 12% and CBR of 49% and benefted similarly to non-platnum-resistant tumors (ORR 13%, CBR 46%). Compelling results were observed partcularly in patents with advanced ovarian cancer (n=19), including overall response of 32%, CBR of 58% and median progression-free survival of approximately 7 months with treatment greater than 16 weeks and ongoing in 9 patents, as of the 2023 AACR Annual Meetng data cutof of February 27, 2023. The molecular response rate (MRR) of circulatng tumor DNA was signifcantly higher in patents with clinical beneft (83%) compared to those without (48%; p=0.015) and signifcantly higher than seen in the camonsertb monotherapy trial in which camonsertb was administered at higher doses (66% vs. 43%; p=0.02). Molecular responses were also observed in patents with prior PARP inhibitor exposure (57%) and platnum resistance (64%).</w:t>
      </w:r>
    </w:p>
    <w:p>
      <w:pPr>
        <w:spacing w:after="0" w:line="57" w:lineRule="exact"/>
        <w:rPr>
          <w:rFonts w:ascii="Arial" w:cs="Arial" w:eastAsia="Arial" w:hAnsi="Arial"/>
          <w:sz w:val="19"/>
          <w:szCs w:val="19"/>
          <w:color w:val="auto"/>
        </w:rPr>
      </w:pPr>
    </w:p>
    <w:p>
      <w:pPr>
        <w:ind w:left="503" w:hanging="503"/>
        <w:spacing w:after="0" w:line="357" w:lineRule="auto"/>
        <w:tabs>
          <w:tab w:leader="none" w:pos="503"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Advancing lunresertb (RP-6306), a frst-in-class, oral PKMYT1 inhibitor, for the treatment of molecularly select advanced solid tumors as a monotherapy and in combinatons in multple clinical studies.</w:t>
      </w:r>
    </w:p>
    <w:p>
      <w:pPr>
        <w:jc w:val="both"/>
        <w:ind w:left="1023" w:hanging="514"/>
        <w:spacing w:after="0" w:line="303" w:lineRule="auto"/>
        <w:tabs>
          <w:tab w:leader="none" w:pos="1023" w:val="left"/>
        </w:tabs>
        <w:numPr>
          <w:ilvl w:val="1"/>
          <w:numId w:val="4"/>
        </w:numPr>
        <w:rPr>
          <w:rFonts w:ascii="Arial" w:cs="Arial" w:eastAsia="Arial" w:hAnsi="Arial"/>
          <w:sz w:val="19"/>
          <w:szCs w:val="19"/>
          <w:color w:val="auto"/>
        </w:rPr>
      </w:pPr>
      <w:r>
        <w:rPr>
          <w:rFonts w:ascii="Arial" w:cs="Arial" w:eastAsia="Arial" w:hAnsi="Arial"/>
          <w:sz w:val="19"/>
          <w:szCs w:val="19"/>
          <w:color w:val="auto"/>
        </w:rPr>
        <w:t>Announced clinical proof of concept for lunresertb, including monotherapy data from the Phase 1 MYTHIC clinical trial and early insights from ongoing combinaton trials in June 2023. Achieved primary endpoints of safety and tolerability and proposed dose and schedule. The tolerability profle of lunresertb monotherapy appears favorable and diferentated from other clinical cell cycle inhibitors, as lunresertb treatment does not result in signifcant myelotoxicity nor diarrhea. No grade 4 toxicity was observed with lunresertb, while grade 3 treatment emergent adverse events of interest included rash (7.9%), anemia (6.3%) and nausea or vomitng (1.6%). The dose limitng toxicity was reversible rash, alleviated with dose modifcatons and simple supportve measures. Two proposed dose/schedules were identfed – 240mg daily contnuously and 80-100mg BID intermitent weekly – to ofer maximum fexibility in combinaton studies.</w:t>
      </w:r>
    </w:p>
    <w:p>
      <w:pPr>
        <w:spacing w:after="0" w:line="55" w:lineRule="exact"/>
        <w:rPr>
          <w:rFonts w:ascii="Arial" w:cs="Arial" w:eastAsia="Arial" w:hAnsi="Arial"/>
          <w:sz w:val="19"/>
          <w:szCs w:val="19"/>
          <w:color w:val="auto"/>
        </w:rPr>
      </w:pPr>
    </w:p>
    <w:p>
      <w:pPr>
        <w:jc w:val="both"/>
        <w:ind w:left="1023" w:hanging="514"/>
        <w:spacing w:after="0" w:line="265" w:lineRule="auto"/>
        <w:tabs>
          <w:tab w:leader="none" w:pos="1023" w:val="left"/>
        </w:tabs>
        <w:numPr>
          <w:ilvl w:val="1"/>
          <w:numId w:val="4"/>
        </w:numPr>
        <w:rPr>
          <w:rFonts w:ascii="Arial" w:cs="Arial" w:eastAsia="Arial" w:hAnsi="Arial"/>
          <w:sz w:val="22"/>
          <w:szCs w:val="22"/>
          <w:color w:val="auto"/>
        </w:rPr>
      </w:pPr>
      <w:r>
        <w:rPr>
          <w:rFonts w:ascii="Arial" w:cs="Arial" w:eastAsia="Arial" w:hAnsi="Arial"/>
          <w:sz w:val="22"/>
          <w:szCs w:val="22"/>
          <w:color w:val="auto"/>
        </w:rPr>
        <w:t>Preliminary ant-tumor actvity was observed for monotherapy, including moderate tumor shrinkages and a confrmed partal response per RECIST 1.1 criteria in a patent with metastatc recurrent uterine carcinosarcoma.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56515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34" w:right="339" w:bottom="1440" w:gutter="0" w:footer="0" w:header="0"/>
        </w:sectPr>
      </w:pPr>
    </w:p>
    <w:bookmarkStart w:id="6" w:name="page7"/>
    <w:bookmarkEnd w:id="6"/>
    <w:p>
      <w:pPr>
        <w:ind w:left="1540" w:hanging="514"/>
        <w:spacing w:after="0" w:line="274" w:lineRule="auto"/>
        <w:tabs>
          <w:tab w:leader="none" w:pos="1540" w:val="left"/>
        </w:tabs>
        <w:numPr>
          <w:ilvl w:val="1"/>
          <w:numId w:val="5"/>
        </w:numPr>
        <w:rPr>
          <w:rFonts w:ascii="Arial" w:cs="Arial" w:eastAsia="Arial" w:hAnsi="Arial"/>
          <w:sz w:val="22"/>
          <w:szCs w:val="22"/>
          <w:color w:val="auto"/>
        </w:rPr>
      </w:pPr>
      <w:r>
        <w:rPr>
          <w:rFonts w:ascii="Arial" w:cs="Arial" w:eastAsia="Arial" w:hAnsi="Arial"/>
          <w:sz w:val="22"/>
          <w:szCs w:val="22"/>
          <w:color w:val="auto"/>
        </w:rPr>
        <w:t>Early clinical responses per RECIST 1.1 criteria have been observed with lunresertb and combinatons with gemcitabine, camonsertb, and FOLFIRI in multple tumor types and genotypes.</w:t>
      </w:r>
    </w:p>
    <w:p>
      <w:pPr>
        <w:spacing w:after="0" w:line="70" w:lineRule="exact"/>
        <w:rPr>
          <w:rFonts w:ascii="Arial" w:cs="Arial" w:eastAsia="Arial" w:hAnsi="Arial"/>
          <w:sz w:val="22"/>
          <w:szCs w:val="22"/>
          <w:color w:val="auto"/>
        </w:rPr>
      </w:pPr>
    </w:p>
    <w:p>
      <w:pPr>
        <w:jc w:val="both"/>
        <w:ind w:left="1540" w:hanging="514"/>
        <w:spacing w:after="0" w:line="265" w:lineRule="auto"/>
        <w:tabs>
          <w:tab w:leader="none" w:pos="1540" w:val="left"/>
        </w:tabs>
        <w:numPr>
          <w:ilvl w:val="1"/>
          <w:numId w:val="5"/>
        </w:numPr>
        <w:rPr>
          <w:rFonts w:ascii="Arial" w:cs="Arial" w:eastAsia="Arial" w:hAnsi="Arial"/>
          <w:sz w:val="22"/>
          <w:szCs w:val="22"/>
          <w:color w:val="auto"/>
        </w:rPr>
      </w:pPr>
      <w:r>
        <w:rPr>
          <w:rFonts w:ascii="Arial" w:cs="Arial" w:eastAsia="Arial" w:hAnsi="Arial"/>
          <w:sz w:val="22"/>
          <w:szCs w:val="22"/>
          <w:color w:val="auto"/>
        </w:rPr>
        <w:t>Repare is collaboratng with Princess Margaret Cancer Center to initate clinical testng, as part of an investgator-sponsored trial (IST) of a fourth lunresertb combinaton with carboplatn and paclitaxel for the treatment of recurrent gynecological malignancies, with frst patent dosing expected this year.</w:t>
      </w:r>
    </w:p>
    <w:p>
      <w:pPr>
        <w:spacing w:after="0" w:line="80" w:lineRule="exact"/>
        <w:rPr>
          <w:rFonts w:ascii="Arial" w:cs="Arial" w:eastAsia="Arial" w:hAnsi="Arial"/>
          <w:sz w:val="22"/>
          <w:szCs w:val="22"/>
          <w:color w:val="auto"/>
        </w:rPr>
      </w:pPr>
    </w:p>
    <w:p>
      <w:pPr>
        <w:jc w:val="both"/>
        <w:ind w:left="1540" w:hanging="514"/>
        <w:spacing w:after="0" w:line="316" w:lineRule="auto"/>
        <w:tabs>
          <w:tab w:leader="none" w:pos="1540" w:val="left"/>
        </w:tabs>
        <w:numPr>
          <w:ilvl w:val="1"/>
          <w:numId w:val="5"/>
        </w:numPr>
        <w:rPr>
          <w:rFonts w:ascii="Arial" w:cs="Arial" w:eastAsia="Arial" w:hAnsi="Arial"/>
          <w:sz w:val="19"/>
          <w:szCs w:val="19"/>
          <w:color w:val="auto"/>
        </w:rPr>
      </w:pPr>
      <w:r>
        <w:rPr>
          <w:rFonts w:ascii="Arial" w:cs="Arial" w:eastAsia="Arial" w:hAnsi="Arial"/>
          <w:sz w:val="19"/>
          <w:szCs w:val="19"/>
          <w:color w:val="auto"/>
        </w:rPr>
        <w:t>Repare is also collaboratng with the Canadian Cancer Trials Group in an ongoing basket Phase 2 IST that is enrolling patents with selected, advanced cancers receiving lunresertb as combinaton with gemcitabine (NCT05605509), and in a second actve study that will evaluate lunresertb in combinaton with gemcitabine in patents with CDK4/6 inhibitor treated ER+/HER2- metastatc breast cancer (NCT05601440).</w:t>
      </w:r>
    </w:p>
    <w:p>
      <w:pPr>
        <w:spacing w:after="0" w:line="37" w:lineRule="exact"/>
        <w:rPr>
          <w:rFonts w:ascii="Arial" w:cs="Arial" w:eastAsia="Arial" w:hAnsi="Arial"/>
          <w:sz w:val="19"/>
          <w:szCs w:val="19"/>
          <w:color w:val="auto"/>
        </w:rPr>
      </w:pPr>
    </w:p>
    <w:p>
      <w:pPr>
        <w:jc w:val="both"/>
        <w:ind w:left="1540" w:hanging="514"/>
        <w:spacing w:after="0" w:line="259" w:lineRule="auto"/>
        <w:tabs>
          <w:tab w:leader="none" w:pos="1540" w:val="left"/>
        </w:tabs>
        <w:numPr>
          <w:ilvl w:val="1"/>
          <w:numId w:val="5"/>
        </w:numPr>
        <w:rPr>
          <w:rFonts w:ascii="Arial" w:cs="Arial" w:eastAsia="Arial" w:hAnsi="Arial"/>
          <w:sz w:val="22"/>
          <w:szCs w:val="22"/>
          <w:color w:val="auto"/>
        </w:rPr>
      </w:pPr>
      <w:r>
        <w:rPr>
          <w:rFonts w:ascii="Arial" w:cs="Arial" w:eastAsia="Arial" w:hAnsi="Arial"/>
          <w:sz w:val="22"/>
          <w:szCs w:val="22"/>
          <w:color w:val="auto"/>
        </w:rPr>
        <w:t>In August 2023, the U.S. Food and Drug Administraton (FDA) granted Fast Track designaton (FTD) to lunresertb in combinaton with camonsertb for the treatment of adult patents with CCNE1 amplifed, or FBXW7 or PPP2R1A mutated endometrial cancer previously treated with a platnum-containing regimen and immune checkpoint inhibitor when indicated. FTD is intended to facilitate the development and expedite the review of drugs to treat serious conditons and fulfll an unmet medical need, enabling drugs to reach patents earlier.</w:t>
      </w:r>
    </w:p>
    <w:p>
      <w:pPr>
        <w:spacing w:after="0" w:line="90" w:lineRule="exact"/>
        <w:rPr>
          <w:rFonts w:ascii="Arial" w:cs="Arial" w:eastAsia="Arial" w:hAnsi="Arial"/>
          <w:sz w:val="22"/>
          <w:szCs w:val="22"/>
          <w:color w:val="auto"/>
        </w:rPr>
      </w:pPr>
    </w:p>
    <w:p>
      <w:pPr>
        <w:ind w:left="1540" w:hanging="514"/>
        <w:spacing w:after="0" w:line="274" w:lineRule="auto"/>
        <w:tabs>
          <w:tab w:leader="none" w:pos="1540"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Company expects to present further Phase 1 MYTHIC Module 2 combinaton data with camonsertb at a medical conference in the fourth quarter of this year.</w:t>
      </w:r>
    </w:p>
    <w:p>
      <w:pPr>
        <w:spacing w:after="0" w:line="68" w:lineRule="exact"/>
        <w:rPr>
          <w:rFonts w:ascii="Arial" w:cs="Arial" w:eastAsia="Arial" w:hAnsi="Arial"/>
          <w:sz w:val="22"/>
          <w:szCs w:val="22"/>
          <w:color w:val="auto"/>
        </w:rPr>
      </w:pPr>
    </w:p>
    <w:p>
      <w:pPr>
        <w:ind w:left="1020" w:hanging="503"/>
        <w:spacing w:after="0"/>
        <w:tabs>
          <w:tab w:leader="none" w:pos="1020"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Advancing preclinical programs into clinical development.</w:t>
      </w:r>
    </w:p>
    <w:p>
      <w:pPr>
        <w:spacing w:after="0" w:line="127" w:lineRule="exact"/>
        <w:rPr>
          <w:rFonts w:ascii="Arial" w:cs="Arial" w:eastAsia="Arial" w:hAnsi="Arial"/>
          <w:sz w:val="22"/>
          <w:szCs w:val="22"/>
          <w:color w:val="auto"/>
        </w:rPr>
      </w:pPr>
    </w:p>
    <w:p>
      <w:pPr>
        <w:ind w:left="1540" w:hanging="514"/>
        <w:spacing w:after="0" w:line="274" w:lineRule="auto"/>
        <w:tabs>
          <w:tab w:leader="none" w:pos="1540" w:val="left"/>
        </w:tabs>
        <w:numPr>
          <w:ilvl w:val="1"/>
          <w:numId w:val="5"/>
        </w:numPr>
        <w:rPr>
          <w:rFonts w:ascii="Arial" w:cs="Arial" w:eastAsia="Arial" w:hAnsi="Arial"/>
          <w:sz w:val="22"/>
          <w:szCs w:val="22"/>
          <w:color w:val="auto"/>
        </w:rPr>
      </w:pPr>
      <w:r>
        <w:rPr>
          <w:rFonts w:ascii="Arial" w:cs="Arial" w:eastAsia="Arial" w:hAnsi="Arial"/>
          <w:sz w:val="22"/>
          <w:szCs w:val="22"/>
          <w:color w:val="auto"/>
        </w:rPr>
        <w:t>RP-1664 IND-enabling studies, which began in the frst quarter of 2023, remain ongoing with potental for the program to enter the clinic in early 2024.</w:t>
      </w:r>
    </w:p>
    <w:p>
      <w:pPr>
        <w:spacing w:after="0" w:line="70" w:lineRule="exact"/>
        <w:rPr>
          <w:rFonts w:ascii="Arial" w:cs="Arial" w:eastAsia="Arial" w:hAnsi="Arial"/>
          <w:sz w:val="22"/>
          <w:szCs w:val="22"/>
          <w:color w:val="auto"/>
        </w:rPr>
      </w:pPr>
    </w:p>
    <w:p>
      <w:pPr>
        <w:jc w:val="both"/>
        <w:ind w:left="1540" w:hanging="514"/>
        <w:spacing w:after="0" w:line="259" w:lineRule="auto"/>
        <w:tabs>
          <w:tab w:leader="none" w:pos="1540" w:val="left"/>
        </w:tabs>
        <w:numPr>
          <w:ilvl w:val="1"/>
          <w:numId w:val="5"/>
        </w:numPr>
        <w:rPr>
          <w:rFonts w:ascii="Arial" w:cs="Arial" w:eastAsia="Arial" w:hAnsi="Arial"/>
          <w:sz w:val="22"/>
          <w:szCs w:val="22"/>
          <w:color w:val="auto"/>
        </w:rPr>
      </w:pPr>
      <w:r>
        <w:rPr>
          <w:rFonts w:ascii="Arial" w:cs="Arial" w:eastAsia="Arial" w:hAnsi="Arial"/>
          <w:sz w:val="22"/>
          <w:szCs w:val="22"/>
          <w:color w:val="auto"/>
        </w:rPr>
        <w:t>Initated IND-enabling studies for the newly designated Polθ inhibitor RP-3467 in June 2023. RP-3467 has shown greater potency in preclinical studies compared to RP-2119, our frst Polθ inhibitor designated in 2022, and has potental to enter the clinic in 2024. The research term of our Polθ collaboraton with Ono Pharmaceutcal Company Ltd., as previously extended, expired on July 31, 2023. With the terminaton of the agreement with Ono Pharmaceutcal Company Ltd., Repare's Polθ program, including RP-3467, is wholly-owned by Repare.</w:t>
      </w:r>
    </w:p>
    <w:p>
      <w:pPr>
        <w:spacing w:after="0" w:line="88" w:lineRule="exact"/>
        <w:rPr>
          <w:rFonts w:ascii="Arial" w:cs="Arial" w:eastAsia="Arial" w:hAnsi="Arial"/>
          <w:sz w:val="22"/>
          <w:szCs w:val="22"/>
          <w:color w:val="auto"/>
        </w:rPr>
      </w:pPr>
    </w:p>
    <w:p>
      <w:pPr>
        <w:ind w:left="1020" w:hanging="503"/>
        <w:spacing w:after="0" w:line="279" w:lineRule="auto"/>
        <w:tabs>
          <w:tab w:leader="none" w:pos="1020"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The Company intends to host an R&amp;D day focused on its ongoing pre-clinical programs and its overall pipeline in the fourth quarter of this year.</w:t>
      </w:r>
    </w:p>
    <w:p>
      <w:pPr>
        <w:spacing w:after="0" w:line="59" w:lineRule="exact"/>
        <w:rPr>
          <w:rFonts w:ascii="Arial" w:cs="Arial" w:eastAsia="Arial" w:hAnsi="Arial"/>
          <w:sz w:val="22"/>
          <w:szCs w:val="22"/>
          <w:color w:val="auto"/>
        </w:rPr>
      </w:pPr>
    </w:p>
    <w:p>
      <w:pPr>
        <w:ind w:left="1020" w:hanging="503"/>
        <w:spacing w:after="0" w:line="279" w:lineRule="auto"/>
        <w:tabs>
          <w:tab w:leader="none" w:pos="1020"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In May 2023, Bristol Myers Squibb exercised its opton for a third druggable target and separately triggered a $1 million payment for a previously exercised druggable target opton.</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2023 Financial Results:</w:t>
      </w:r>
    </w:p>
    <w:p>
      <w:pPr>
        <w:spacing w:after="0" w:line="125" w:lineRule="exact"/>
        <w:rPr>
          <w:sz w:val="20"/>
          <w:szCs w:val="20"/>
          <w:color w:val="auto"/>
        </w:rPr>
      </w:pPr>
    </w:p>
    <w:p>
      <w:pPr>
        <w:jc w:val="both"/>
        <w:ind w:left="1020" w:hanging="503"/>
        <w:spacing w:after="0" w:line="355" w:lineRule="auto"/>
        <w:tabs>
          <w:tab w:leader="none" w:pos="102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Cash and cash equivalents and marketable securites: </w:t>
      </w:r>
      <w:r>
        <w:rPr>
          <w:rFonts w:ascii="Arial" w:cs="Arial" w:eastAsia="Arial" w:hAnsi="Arial"/>
          <w:sz w:val="19"/>
          <w:szCs w:val="19"/>
          <w:color w:val="auto"/>
        </w:rPr>
        <w:t>Cash and cash equivalents and marketable securites as of</w:t>
      </w:r>
      <w:r>
        <w:rPr>
          <w:rFonts w:ascii="Arial" w:cs="Arial" w:eastAsia="Arial" w:hAnsi="Arial"/>
          <w:sz w:val="19"/>
          <w:szCs w:val="19"/>
          <w:b w:val="1"/>
          <w:bCs w:val="1"/>
          <w:color w:val="auto"/>
        </w:rPr>
        <w:t xml:space="preserve"> </w:t>
      </w:r>
      <w:r>
        <w:rPr>
          <w:rFonts w:ascii="Arial" w:cs="Arial" w:eastAsia="Arial" w:hAnsi="Arial"/>
          <w:sz w:val="19"/>
          <w:szCs w:val="19"/>
          <w:color w:val="auto"/>
        </w:rPr>
        <w:t>June 30, 2023 were $280.7 million, which Repare believes will be sufcient to fund its planned operatons into 2026.</w:t>
      </w:r>
    </w:p>
    <w:p>
      <w:pPr>
        <w:spacing w:after="0" w:line="1" w:lineRule="exact"/>
        <w:rPr>
          <w:rFonts w:ascii="Arial" w:cs="Arial" w:eastAsia="Arial" w:hAnsi="Arial"/>
          <w:sz w:val="19"/>
          <w:szCs w:val="19"/>
          <w:color w:val="auto"/>
        </w:rPr>
      </w:pPr>
    </w:p>
    <w:p>
      <w:pPr>
        <w:jc w:val="both"/>
        <w:ind w:left="1020" w:hanging="503"/>
        <w:spacing w:after="0" w:line="261" w:lineRule="auto"/>
        <w:tabs>
          <w:tab w:leader="none" w:pos="1020"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 xml:space="preserve">Revenue from collaboraton agreements: </w:t>
      </w:r>
      <w:r>
        <w:rPr>
          <w:rFonts w:ascii="Arial" w:cs="Arial" w:eastAsia="Arial" w:hAnsi="Arial"/>
          <w:sz w:val="22"/>
          <w:szCs w:val="22"/>
          <w:color w:val="auto"/>
        </w:rPr>
        <w:t>Revenue from collaboraton agreements were $30.2 million and $35.9</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for the three and six months ended June 30, 2023, respectvely, as compared to $0.7 million and $1.1 million for the three and six months ended June 30, 2022. The increase in revenue for the three- and six-month periods were primarily due to revenue recognized from our collaboraton and license agreement with BMS and our collaboraton agreement with 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7" w:name="page8"/>
    <w:bookmarkEnd w:id="7"/>
    <w:p>
      <w:pPr>
        <w:jc w:val="both"/>
        <w:ind w:left="1020" w:hanging="503"/>
        <w:spacing w:after="0" w:line="261" w:lineRule="auto"/>
        <w:tabs>
          <w:tab w:leader="none" w:pos="1020" w:val="left"/>
        </w:tabs>
        <w:numPr>
          <w:ilvl w:val="0"/>
          <w:numId w:val="7"/>
        </w:numPr>
        <w:rPr>
          <w:rFonts w:ascii="Arial" w:cs="Arial" w:eastAsia="Arial" w:hAnsi="Arial"/>
          <w:sz w:val="22"/>
          <w:szCs w:val="22"/>
          <w:color w:val="auto"/>
        </w:rPr>
      </w:pPr>
      <w:r>
        <w:rPr>
          <w:rFonts w:ascii="Arial" w:cs="Arial" w:eastAsia="Arial" w:hAnsi="Arial"/>
          <w:sz w:val="22"/>
          <w:szCs w:val="22"/>
          <w:b w:val="1"/>
          <w:bCs w:val="1"/>
          <w:color w:val="auto"/>
        </w:rPr>
        <w:t xml:space="preserve">Research and development expenses, net of tax credits (Net R&amp;D): </w:t>
      </w:r>
      <w:r>
        <w:rPr>
          <w:rFonts w:ascii="Arial" w:cs="Arial" w:eastAsia="Arial" w:hAnsi="Arial"/>
          <w:sz w:val="22"/>
          <w:szCs w:val="22"/>
          <w:color w:val="auto"/>
        </w:rPr>
        <w:t>Net R&amp;D expenses were $33.8 million and</w:t>
      </w:r>
      <w:r>
        <w:rPr>
          <w:rFonts w:ascii="Arial" w:cs="Arial" w:eastAsia="Arial" w:hAnsi="Arial"/>
          <w:sz w:val="22"/>
          <w:szCs w:val="22"/>
          <w:b w:val="1"/>
          <w:bCs w:val="1"/>
          <w:color w:val="auto"/>
        </w:rPr>
        <w:t xml:space="preserve"> </w:t>
      </w:r>
      <w:r>
        <w:rPr>
          <w:rFonts w:ascii="Arial" w:cs="Arial" w:eastAsia="Arial" w:hAnsi="Arial"/>
          <w:sz w:val="22"/>
          <w:szCs w:val="22"/>
          <w:color w:val="auto"/>
        </w:rPr>
        <w:t>$65.6 million for the three and six months ended June 30, 2023, respectvely, as compared to $31.5 million and $57.9 million for the three and six months ended June 30, 2022. The increase in Net R&amp;D expenses for the three-and six-month periods was primarily due to higher personnel-related costs and direct external costs related to the advancement of preclinical programs into IND-enabling studies.</w:t>
      </w:r>
    </w:p>
    <w:p>
      <w:pPr>
        <w:spacing w:after="0" w:line="82" w:lineRule="exact"/>
        <w:rPr>
          <w:rFonts w:ascii="Arial" w:cs="Arial" w:eastAsia="Arial" w:hAnsi="Arial"/>
          <w:sz w:val="22"/>
          <w:szCs w:val="22"/>
          <w:color w:val="auto"/>
        </w:rPr>
      </w:pPr>
    </w:p>
    <w:p>
      <w:pPr>
        <w:jc w:val="both"/>
        <w:ind w:left="1020" w:hanging="503"/>
        <w:spacing w:after="0" w:line="262" w:lineRule="auto"/>
        <w:tabs>
          <w:tab w:leader="none" w:pos="1020" w:val="left"/>
        </w:tabs>
        <w:numPr>
          <w:ilvl w:val="0"/>
          <w:numId w:val="7"/>
        </w:numPr>
        <w:rPr>
          <w:rFonts w:ascii="Arial" w:cs="Arial" w:eastAsia="Arial" w:hAnsi="Arial"/>
          <w:sz w:val="22"/>
          <w:szCs w:val="22"/>
          <w:color w:val="auto"/>
        </w:rPr>
      </w:pPr>
      <w:r>
        <w:rPr>
          <w:rFonts w:ascii="Arial" w:cs="Arial" w:eastAsia="Arial" w:hAnsi="Arial"/>
          <w:sz w:val="22"/>
          <w:szCs w:val="22"/>
          <w:b w:val="1"/>
          <w:bCs w:val="1"/>
          <w:color w:val="auto"/>
        </w:rPr>
        <w:t xml:space="preserve">General and administratve (G&amp;A) expenses: </w:t>
      </w:r>
      <w:r>
        <w:rPr>
          <w:rFonts w:ascii="Arial" w:cs="Arial" w:eastAsia="Arial" w:hAnsi="Arial"/>
          <w:sz w:val="22"/>
          <w:szCs w:val="22"/>
          <w:color w:val="auto"/>
        </w:rPr>
        <w:t>G&amp;A expenses were $8.7 million and $17.2 million for the three and</w:t>
      </w:r>
      <w:r>
        <w:rPr>
          <w:rFonts w:ascii="Arial" w:cs="Arial" w:eastAsia="Arial" w:hAnsi="Arial"/>
          <w:sz w:val="22"/>
          <w:szCs w:val="22"/>
          <w:b w:val="1"/>
          <w:bCs w:val="1"/>
          <w:color w:val="auto"/>
        </w:rPr>
        <w:t xml:space="preserve"> </w:t>
      </w:r>
      <w:r>
        <w:rPr>
          <w:rFonts w:ascii="Arial" w:cs="Arial" w:eastAsia="Arial" w:hAnsi="Arial"/>
          <w:sz w:val="22"/>
          <w:szCs w:val="22"/>
          <w:color w:val="auto"/>
        </w:rPr>
        <w:t>six months ended June 30, 2023, respectvely, compared to $7.9 million and $16.7 million for the three and six months ended June 30, 2022. The increase in G&amp;A was primarily due higher personnel related costs, ofset by lower D&amp;O insurance premiums.</w:t>
      </w:r>
    </w:p>
    <w:p>
      <w:pPr>
        <w:spacing w:after="0" w:line="83" w:lineRule="exact"/>
        <w:rPr>
          <w:rFonts w:ascii="Arial" w:cs="Arial" w:eastAsia="Arial" w:hAnsi="Arial"/>
          <w:sz w:val="22"/>
          <w:szCs w:val="22"/>
          <w:color w:val="auto"/>
        </w:rPr>
      </w:pPr>
    </w:p>
    <w:p>
      <w:pPr>
        <w:jc w:val="both"/>
        <w:ind w:left="1020" w:hanging="503"/>
        <w:spacing w:after="0" w:line="266" w:lineRule="auto"/>
        <w:tabs>
          <w:tab w:leader="none" w:pos="1020" w:val="left"/>
        </w:tabs>
        <w:numPr>
          <w:ilvl w:val="0"/>
          <w:numId w:val="7"/>
        </w:numPr>
        <w:rPr>
          <w:rFonts w:ascii="Arial" w:cs="Arial" w:eastAsia="Arial" w:hAnsi="Arial"/>
          <w:sz w:val="22"/>
          <w:szCs w:val="22"/>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Net loss was $11.9 million, or $0.28 per share, and $46.9 million, or $1.11 per share, in the three and six</w:t>
      </w:r>
      <w:r>
        <w:rPr>
          <w:rFonts w:ascii="Arial" w:cs="Arial" w:eastAsia="Arial" w:hAnsi="Arial"/>
          <w:sz w:val="22"/>
          <w:szCs w:val="22"/>
          <w:b w:val="1"/>
          <w:bCs w:val="1"/>
          <w:color w:val="auto"/>
        </w:rPr>
        <w:t xml:space="preserve"> </w:t>
      </w:r>
      <w:r>
        <w:rPr>
          <w:rFonts w:ascii="Arial" w:cs="Arial" w:eastAsia="Arial" w:hAnsi="Arial"/>
          <w:sz w:val="22"/>
          <w:szCs w:val="22"/>
          <w:color w:val="auto"/>
        </w:rPr>
        <w:t>months ended June 30, 2023, respectvely, and $38.1 million, or $0.91 per share, and $72.9 million, or $1.74 per share, in the three and six months ended June 30, 2022, respectvely.</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Repare Therapeutcs’ SNIPRx® Platorm</w:t>
      </w:r>
    </w:p>
    <w:p>
      <w:pPr>
        <w:spacing w:after="0" w:line="127"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Repare’s SNIPRx® platorm is a genome-wide CRISPR-based screening approach that utlizes proprietary isogenic cell lines to identfy novel and known synthetc lethal gene pairs and the corresponding patents who are most likely to beneft from the Company’s therapies based on the genetc profle of their tumors. Repare’s platorm enables the development of precision therapeutcs in patents whose tumors contain one or more genomic alteratons identfed by SNIPRx® screening, in order to selectvely target those tumors in patents most likely to achieve clinical beneft from resultng product candidates.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Repare Therapeutcs, Inc.</w:t>
      </w:r>
    </w:p>
    <w:p>
      <w:pPr>
        <w:spacing w:after="0" w:line="127"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 xml:space="preserve">Repare Therapeutcs is a leading clinical-stage precision oncology company enabled by its proprietary synthetc lethality approach to the discovery and development of novel therapeutcs. The Company utlizes its genome-wide, CRISPR-enabled SNIPRx® platorm to systematcally discover and develop highly targeted cancer therapies focused on genomic instability, including DNA damage repair. The Company’s pipeline includes lunresertb (also known as RP-6306), a PKMYT1 inhibitor currently in Phase 1 clinical development; camonsertb (also known as RP-3500 or RG6526), a potental leading ATR inhibitor currently in Phase 1/2 clinical development and partnered with Roche; RP-3467, a preclinical Polθ inhibitor program; as well as several additonal, undisclosed preclinical programs, including RP-1664. For more informaton, please visit </w:t>
      </w:r>
      <w:r>
        <w:rPr>
          <w:rFonts w:ascii="Arial" w:cs="Arial" w:eastAsia="Arial" w:hAnsi="Arial"/>
          <w:sz w:val="19"/>
          <w:szCs w:val="19"/>
          <w:u w:val="single" w:color="auto"/>
          <w:color w:val="auto"/>
        </w:rPr>
        <w:t>reparerx.com</w:t>
      </w:r>
      <w:r>
        <w:rPr>
          <w:rFonts w:ascii="Arial" w:cs="Arial" w:eastAsia="Arial" w:hAnsi="Arial"/>
          <w:sz w:val="19"/>
          <w:szCs w:val="19"/>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SNIPRx® is a registered trademark of Repare Therapeutcs Inc.</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This press release contains “forward-looking statements” within the meaning of the Private Securites Litgaton Reform Act of 1995 and securites laws in Canada. All statements in this press release other than statements of historical facts are “forward-looking statements. These statements may be identfed by words such as “aims,” “antcipates,” “believes,” “could,” “estmates,” “expects,” “forecasts,” “goal,” “intends,” “may,” “plans,” “possible,” “potental,” “seeks,” “will” and variatons of these words or similar expressions that are intended to identfy forward-looking statements, although not all forward-looking statements contain these words. Forward-looking statements in this press release include, but are not limited to, statements regarding: the safety, efcacy and clinical progress of the Company’s clinical programs, including lunresertb (RP-6306) and camonsertb; the clinical and preclinical development of the Company’s pipeline and its research and development programs, including the antcipated tming, antcipated patent enrollment, trial outcomes or associated costs of its clinical trials of lunresertb and camonsertb; and the status of clinical trials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 w:name="page9"/>
    <w:bookmarkEnd w:id="8"/>
    <w:p>
      <w:pPr>
        <w:jc w:val="both"/>
        <w:spacing w:after="0" w:line="300" w:lineRule="auto"/>
        <w:rPr>
          <w:sz w:val="20"/>
          <w:szCs w:val="20"/>
          <w:color w:val="auto"/>
        </w:rPr>
      </w:pPr>
      <w:r>
        <w:rPr>
          <w:rFonts w:ascii="Arial" w:cs="Arial" w:eastAsia="Arial" w:hAnsi="Arial"/>
          <w:sz w:val="19"/>
          <w:szCs w:val="19"/>
          <w:color w:val="auto"/>
        </w:rPr>
        <w:t xml:space="preserve">without limitaton, expectatons regarding the data that is being presented, the expected tming of data releases and development, as well as completon of clinical trials) and development tmelines for the Company’s product candidates. These forward-looking statements are based on the Company’s expectatons and assumptons as of the date of this press release. Each of these forward-looking statements involves risks and uncertaintes that could cause the Company’s clinical development programs, future results or performance to difer materially from those expressed or implied by the forward-looking statements. Many factors may cause diferences between current expectatons and actual results, including: the impacts of macroeconomic conditons, including the COVID-19 pandemic, the confict in Ukraine, rising infaton, and uncertain credit and fnancial markets on the Company’s business, clinical trials and fnancial positon; unexpected safety or efcacy data observed during preclinical studies or clinical trials; clinical trial site actvaton or enrollment rates that are lower than expected; changes in expected or existng competton; changes in the regulatory environment; the uncertaintes and tming of the regulatory approval process; and unexpected litgaton or other disputes. Other factors that may cause the Company’s actual results to difer from those expressed or implied in the forward-looking statements in this press release are identfed in the secton ttled "Risk Factors" in the Company’s Annual Report on Form 10-K for the year ended December 31, 2022 fled with the Securites and Exchange Commission (“SEC”) and the Québec Autorité des Marchés Financiers ("AMF") on February 28, 2023, and its other documents subsequently fled with or furnished to the SEC and AMF. The Company expressly disclaims any obligaton to update any forward-looking statements contained herein, whether as a result of any new informaton, future events, changed circumstances or otherwise, except as otherwise required by law. For more informaton, please visit reparerx.com and follow Repare on Twiter at @RepareRx and on LinkedIn at </w:t>
      </w:r>
      <w:r>
        <w:rPr>
          <w:rFonts w:ascii="Arial" w:cs="Arial" w:eastAsia="Arial" w:hAnsi="Arial"/>
          <w:sz w:val="19"/>
          <w:szCs w:val="19"/>
          <w:color w:val="0000FF"/>
        </w:rPr>
        <w:t>htps://www.linkedin.com/company/repare-therapeutcs/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2"/>
              </w:rPr>
              <w:t>As of</w:t>
            </w:r>
          </w:p>
        </w:tc>
        <w:tc>
          <w:tcPr>
            <w:tcW w:w="240" w:type="dxa"/>
            <w:vAlign w:val="bottom"/>
          </w:tcPr>
          <w:p>
            <w:pPr>
              <w:spacing w:after="0"/>
              <w:rPr>
                <w:sz w:val="13"/>
                <w:szCs w:val="13"/>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As of</w:t>
            </w:r>
          </w:p>
        </w:tc>
      </w:tr>
      <w:tr>
        <w:trPr>
          <w:trHeight w:val="175"/>
        </w:trPr>
        <w:tc>
          <w:tcPr>
            <w:tcW w:w="7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2"/>
              </w:rPr>
              <w:t>June 30,</w:t>
            </w:r>
          </w:p>
        </w:tc>
        <w:tc>
          <w:tcPr>
            <w:tcW w:w="24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December 31,</w:t>
            </w:r>
          </w:p>
        </w:tc>
      </w:tr>
      <w:tr>
        <w:trPr>
          <w:trHeight w:val="169"/>
        </w:trPr>
        <w:tc>
          <w:tcPr>
            <w:tcW w:w="76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center"/>
              <w:ind w:right="240"/>
              <w:spacing w:after="0"/>
              <w:rPr>
                <w:sz w:val="20"/>
                <w:szCs w:val="20"/>
                <w:color w:val="auto"/>
              </w:rPr>
            </w:pPr>
            <w:r>
              <w:rPr>
                <w:rFonts w:ascii="Arial" w:cs="Arial" w:eastAsia="Arial" w:hAnsi="Arial"/>
                <w:sz w:val="13"/>
                <w:szCs w:val="13"/>
                <w:b w:val="1"/>
                <w:bCs w:val="1"/>
                <w:color w:val="auto"/>
                <w:w w:val="89"/>
              </w:rPr>
              <w:t>2023</w:t>
            </w:r>
          </w:p>
        </w:tc>
        <w:tc>
          <w:tcPr>
            <w:tcW w:w="3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center"/>
              <w:ind w:right="160"/>
              <w:spacing w:after="0"/>
              <w:rPr>
                <w:sz w:val="20"/>
                <w:szCs w:val="20"/>
                <w:color w:val="auto"/>
              </w:rPr>
            </w:pPr>
            <w:r>
              <w:rPr>
                <w:rFonts w:ascii="Arial" w:cs="Arial" w:eastAsia="Arial" w:hAnsi="Arial"/>
                <w:sz w:val="13"/>
                <w:szCs w:val="13"/>
                <w:b w:val="1"/>
                <w:bCs w:val="1"/>
                <w:color w:val="auto"/>
                <w:w w:val="89"/>
              </w:rPr>
              <w:t>2022</w:t>
            </w:r>
          </w:p>
        </w:tc>
        <w:tc>
          <w:tcPr>
            <w:tcW w:w="140" w:type="dxa"/>
            <w:vAlign w:val="bottom"/>
          </w:tcPr>
          <w:p>
            <w:pPr>
              <w:spacing w:after="0"/>
              <w:rPr>
                <w:sz w:val="14"/>
                <w:szCs w:val="14"/>
                <w:color w:val="auto"/>
              </w:rPr>
            </w:pPr>
          </w:p>
        </w:tc>
      </w:tr>
      <w:tr>
        <w:trPr>
          <w:trHeight w:val="223"/>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115,544</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159,521</w:t>
            </w:r>
          </w:p>
        </w:tc>
        <w:tc>
          <w:tcPr>
            <w:tcW w:w="140" w:type="dxa"/>
            <w:vAlign w:val="bottom"/>
            <w:shd w:val="clear" w:color="auto" w:fill="CFF0FC"/>
          </w:tcPr>
          <w:p>
            <w:pPr>
              <w:spacing w:after="0"/>
              <w:rPr>
                <w:sz w:val="20"/>
                <w:szCs w:val="20"/>
                <w:color w:val="auto"/>
              </w:rPr>
            </w:pPr>
          </w:p>
        </w:tc>
      </w:tr>
      <w:tr>
        <w:trPr>
          <w:trHeight w:val="220"/>
        </w:trPr>
        <w:tc>
          <w:tcPr>
            <w:tcW w:w="7600" w:type="dxa"/>
            <w:vAlign w:val="bottom"/>
          </w:tcPr>
          <w:p>
            <w:pPr>
              <w:ind w:left="200"/>
              <w:spacing w:after="0"/>
              <w:rPr>
                <w:sz w:val="20"/>
                <w:szCs w:val="20"/>
                <w:color w:val="auto"/>
              </w:rPr>
            </w:pPr>
            <w:r>
              <w:rPr>
                <w:rFonts w:ascii="Arial" w:cs="Arial" w:eastAsia="Arial" w:hAnsi="Arial"/>
                <w:sz w:val="16"/>
                <w:szCs w:val="16"/>
                <w:color w:val="auto"/>
              </w:rPr>
              <w:t>Marketable securities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165,148</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184,420</w:t>
            </w:r>
          </w:p>
        </w:tc>
        <w:tc>
          <w:tcPr>
            <w:tcW w:w="140" w:type="dxa"/>
            <w:vAlign w:val="bottom"/>
          </w:tcPr>
          <w:p>
            <w:pPr>
              <w:spacing w:after="0"/>
              <w:rPr>
                <w:sz w:val="19"/>
                <w:szCs w:val="19"/>
                <w:color w:val="auto"/>
              </w:rPr>
            </w:pPr>
          </w:p>
        </w:tc>
      </w:tr>
      <w:tr>
        <w:trPr>
          <w:trHeight w:val="23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 receivable</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1,751</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r>
      <w:tr>
        <w:trPr>
          <w:trHeight w:val="220"/>
        </w:trPr>
        <w:tc>
          <w:tcPr>
            <w:tcW w:w="7600" w:type="dxa"/>
            <w:vAlign w:val="bottom"/>
          </w:tcPr>
          <w:p>
            <w:pPr>
              <w:ind w:left="200"/>
              <w:spacing w:after="0"/>
              <w:rPr>
                <w:sz w:val="20"/>
                <w:szCs w:val="20"/>
                <w:color w:val="auto"/>
              </w:rPr>
            </w:pPr>
            <w:r>
              <w:rPr>
                <w:rFonts w:ascii="Arial" w:cs="Arial" w:eastAsia="Arial" w:hAnsi="Arial"/>
                <w:sz w:val="16"/>
                <w:szCs w:val="16"/>
                <w:color w:val="auto"/>
              </w:rPr>
              <w:t>Other current receivables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5,281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4,323</w:t>
            </w:r>
          </w:p>
        </w:tc>
        <w:tc>
          <w:tcPr>
            <w:tcW w:w="140" w:type="dxa"/>
            <w:vAlign w:val="bottom"/>
          </w:tcPr>
          <w:p>
            <w:pPr>
              <w:spacing w:after="0"/>
              <w:rPr>
                <w:sz w:val="19"/>
                <w:szCs w:val="19"/>
                <w:color w:val="auto"/>
              </w:rPr>
            </w:pPr>
          </w:p>
        </w:tc>
      </w:tr>
      <w:tr>
        <w:trPr>
          <w:trHeight w:val="23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w:t>
            </w: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4,201</w:t>
            </w:r>
          </w:p>
        </w:tc>
        <w:tc>
          <w:tcPr>
            <w:tcW w:w="3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5,715</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0"/>
        </w:trPr>
        <w:tc>
          <w:tcPr>
            <w:tcW w:w="760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291,925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353,979</w:t>
            </w:r>
          </w:p>
        </w:tc>
        <w:tc>
          <w:tcPr>
            <w:tcW w:w="140" w:type="dxa"/>
            <w:vAlign w:val="bottom"/>
          </w:tcPr>
          <w:p>
            <w:pPr>
              <w:spacing w:after="0"/>
              <w:rPr>
                <w:sz w:val="19"/>
                <w:szCs w:val="19"/>
                <w:color w:val="auto"/>
              </w:rPr>
            </w:pPr>
          </w:p>
        </w:tc>
      </w:tr>
      <w:tr>
        <w:trPr>
          <w:trHeight w:val="239"/>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4,821</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4,228</w:t>
            </w:r>
          </w:p>
        </w:tc>
        <w:tc>
          <w:tcPr>
            <w:tcW w:w="140" w:type="dxa"/>
            <w:vAlign w:val="bottom"/>
            <w:shd w:val="clear" w:color="auto" w:fill="CFF0FC"/>
          </w:tcPr>
          <w:p>
            <w:pPr>
              <w:spacing w:after="0"/>
              <w:rPr>
                <w:sz w:val="20"/>
                <w:szCs w:val="20"/>
                <w:color w:val="auto"/>
              </w:rPr>
            </w:pPr>
          </w:p>
        </w:tc>
      </w:tr>
      <w:tr>
        <w:trPr>
          <w:trHeight w:val="220"/>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4,434</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5,371</w:t>
            </w:r>
          </w:p>
        </w:tc>
        <w:tc>
          <w:tcPr>
            <w:tcW w:w="140" w:type="dxa"/>
            <w:vAlign w:val="bottom"/>
          </w:tcPr>
          <w:p>
            <w:pPr>
              <w:spacing w:after="0"/>
              <w:rPr>
                <w:sz w:val="19"/>
                <w:szCs w:val="19"/>
                <w:color w:val="auto"/>
              </w:rPr>
            </w:pPr>
          </w:p>
        </w:tc>
      </w:tr>
      <w:tr>
        <w:trPr>
          <w:trHeight w:val="239"/>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408</w:t>
            </w:r>
          </w:p>
        </w:tc>
        <w:tc>
          <w:tcPr>
            <w:tcW w:w="3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497</w:t>
            </w:r>
          </w:p>
        </w:tc>
        <w:tc>
          <w:tcPr>
            <w:tcW w:w="140" w:type="dxa"/>
            <w:vAlign w:val="bottom"/>
            <w:shd w:val="clear" w:color="auto" w:fill="CFF0FC"/>
          </w:tcPr>
          <w:p>
            <w:pPr>
              <w:spacing w:after="0"/>
              <w:rPr>
                <w:sz w:val="20"/>
                <w:szCs w:val="20"/>
                <w:color w:val="auto"/>
              </w:rPr>
            </w:pP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301,588</w:t>
            </w:r>
          </w:p>
        </w:tc>
        <w:tc>
          <w:tcPr>
            <w:tcW w:w="3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364,075</w:t>
            </w:r>
          </w:p>
        </w:tc>
        <w:tc>
          <w:tcPr>
            <w:tcW w:w="14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20"/>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4,893</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w:t>
            </w:r>
          </w:p>
        </w:tc>
        <w:tc>
          <w:tcPr>
            <w:tcW w:w="140" w:type="dxa"/>
            <w:vAlign w:val="bottom"/>
            <w:shd w:val="clear" w:color="auto" w:fill="CFF0FC"/>
          </w:tcPr>
          <w:p>
            <w:pPr>
              <w:spacing w:after="0"/>
              <w:rPr>
                <w:sz w:val="20"/>
                <w:szCs w:val="20"/>
                <w:color w:val="auto"/>
              </w:rPr>
            </w:pPr>
          </w:p>
        </w:tc>
      </w:tr>
      <w:tr>
        <w:trPr>
          <w:trHeight w:val="220"/>
        </w:trPr>
        <w:tc>
          <w:tcPr>
            <w:tcW w:w="760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21,628</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21,645</w:t>
            </w:r>
          </w:p>
        </w:tc>
        <w:tc>
          <w:tcPr>
            <w:tcW w:w="140" w:type="dxa"/>
            <w:vAlign w:val="bottom"/>
          </w:tcPr>
          <w:p>
            <w:pPr>
              <w:spacing w:after="0"/>
              <w:rPr>
                <w:sz w:val="19"/>
                <w:szCs w:val="19"/>
                <w:color w:val="auto"/>
              </w:rPr>
            </w:pPr>
          </w:p>
        </w:tc>
      </w:tr>
      <w:tr>
        <w:trPr>
          <w:trHeight w:val="23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liability, current portion</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2,320</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2,171</w:t>
            </w:r>
          </w:p>
        </w:tc>
        <w:tc>
          <w:tcPr>
            <w:tcW w:w="140" w:type="dxa"/>
            <w:vAlign w:val="bottom"/>
            <w:shd w:val="clear" w:color="auto" w:fill="CFF0FC"/>
          </w:tcPr>
          <w:p>
            <w:pPr>
              <w:spacing w:after="0"/>
              <w:rPr>
                <w:sz w:val="20"/>
                <w:szCs w:val="20"/>
                <w:color w:val="auto"/>
              </w:rPr>
            </w:pPr>
          </w:p>
        </w:tc>
      </w:tr>
      <w:tr>
        <w:trPr>
          <w:trHeight w:val="220"/>
        </w:trPr>
        <w:tc>
          <w:tcPr>
            <w:tcW w:w="7600" w:type="dxa"/>
            <w:vAlign w:val="bottom"/>
          </w:tcPr>
          <w:p>
            <w:pPr>
              <w:ind w:left="200"/>
              <w:spacing w:after="0"/>
              <w:rPr>
                <w:sz w:val="20"/>
                <w:szCs w:val="20"/>
                <w:color w:val="auto"/>
              </w:rPr>
            </w:pPr>
            <w:r>
              <w:rPr>
                <w:rFonts w:ascii="Arial" w:cs="Arial" w:eastAsia="Arial" w:hAnsi="Arial"/>
                <w:sz w:val="16"/>
                <w:szCs w:val="16"/>
                <w:color w:val="auto"/>
              </w:rPr>
              <w:t>Deferred revenue, current portion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24,412</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53,102</w:t>
            </w:r>
          </w:p>
        </w:tc>
        <w:tc>
          <w:tcPr>
            <w:tcW w:w="140" w:type="dxa"/>
            <w:vAlign w:val="bottom"/>
          </w:tcPr>
          <w:p>
            <w:pPr>
              <w:spacing w:after="0"/>
              <w:rPr>
                <w:sz w:val="19"/>
                <w:szCs w:val="19"/>
                <w:color w:val="auto"/>
              </w:rPr>
            </w:pPr>
          </w:p>
        </w:tc>
      </w:tr>
      <w:tr>
        <w:trPr>
          <w:trHeight w:val="233"/>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 payable</w:t>
            </w:r>
          </w:p>
        </w:tc>
        <w:tc>
          <w:tcPr>
            <w:tcW w:w="3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w:t>
            </w:r>
          </w:p>
        </w:tc>
        <w:tc>
          <w:tcPr>
            <w:tcW w:w="140" w:type="dxa"/>
            <w:vAlign w:val="bottom"/>
            <w:shd w:val="clear" w:color="auto" w:fill="CFF0FC"/>
          </w:tcPr>
          <w:p>
            <w:pPr>
              <w:spacing w:after="0"/>
              <w:rPr>
                <w:sz w:val="20"/>
                <w:szCs w:val="20"/>
                <w:color w:val="auto"/>
              </w:rPr>
            </w:pPr>
          </w:p>
        </w:tc>
      </w:tr>
      <w:tr>
        <w:trPr>
          <w:trHeight w:val="220"/>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53,253</w:t>
            </w:r>
          </w:p>
        </w:tc>
        <w:tc>
          <w:tcPr>
            <w:tcW w:w="3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78,619</w:t>
            </w:r>
          </w:p>
        </w:tc>
        <w:tc>
          <w:tcPr>
            <w:tcW w:w="140" w:type="dxa"/>
            <w:vAlign w:val="bottom"/>
            <w:tcBorders>
              <w:top w:val="single" w:sz="8" w:color="CFF0FC"/>
            </w:tcBorders>
          </w:tcPr>
          <w:p>
            <w:pPr>
              <w:spacing w:after="0"/>
              <w:rPr>
                <w:sz w:val="19"/>
                <w:szCs w:val="19"/>
                <w:color w:val="auto"/>
              </w:rPr>
            </w:pPr>
          </w:p>
        </w:tc>
      </w:tr>
      <w:tr>
        <w:trPr>
          <w:trHeight w:val="239"/>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liability, net of current portion</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2,226</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3,257</w:t>
            </w:r>
          </w:p>
        </w:tc>
        <w:tc>
          <w:tcPr>
            <w:tcW w:w="140" w:type="dxa"/>
            <w:vAlign w:val="bottom"/>
            <w:shd w:val="clear" w:color="auto" w:fill="CFF0FC"/>
          </w:tcPr>
          <w:p>
            <w:pPr>
              <w:spacing w:after="0"/>
              <w:rPr>
                <w:sz w:val="20"/>
                <w:szCs w:val="20"/>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Deferred revenue, net of current portion</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2,682</w:t>
            </w:r>
          </w:p>
        </w:tc>
        <w:tc>
          <w:tcPr>
            <w:tcW w:w="140" w:type="dxa"/>
            <w:vAlign w:val="bottom"/>
          </w:tcPr>
          <w:p>
            <w:pPr>
              <w:spacing w:after="0"/>
              <w:rPr>
                <w:sz w:val="19"/>
                <w:szCs w:val="19"/>
                <w:color w:val="auto"/>
              </w:rPr>
            </w:pPr>
          </w:p>
        </w:tc>
      </w:tr>
      <w:tr>
        <w:trPr>
          <w:trHeight w:val="22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56,174</w:t>
            </w:r>
          </w:p>
        </w:tc>
        <w:tc>
          <w:tcPr>
            <w:tcW w:w="3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84,558</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0"/>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Preferred shares, no par value per share; unlimited shares authorized</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76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as of June 30, 2023 and December 31, 2022, respectively; 0 shares issued</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26"/>
        </w:trPr>
        <w:tc>
          <w:tcPr>
            <w:tcW w:w="76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and outstanding as of June 30, 2023, and December 31, 2022, respectively</w:t>
            </w:r>
          </w:p>
        </w:tc>
        <w:tc>
          <w:tcPr>
            <w:tcW w:w="3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r>
      <w:tr>
        <w:trPr>
          <w:trHeight w:val="206"/>
        </w:trPr>
        <w:tc>
          <w:tcPr>
            <w:tcW w:w="7600" w:type="dxa"/>
            <w:vAlign w:val="bottom"/>
          </w:tcPr>
          <w:p>
            <w:pPr>
              <w:ind w:left="200"/>
              <w:spacing w:after="0"/>
              <w:rPr>
                <w:sz w:val="20"/>
                <w:szCs w:val="20"/>
                <w:color w:val="auto"/>
              </w:rPr>
            </w:pPr>
            <w:r>
              <w:rPr>
                <w:rFonts w:ascii="Arial" w:cs="Arial" w:eastAsia="Arial" w:hAnsi="Arial"/>
                <w:sz w:val="16"/>
                <w:szCs w:val="16"/>
                <w:color w:val="auto"/>
              </w:rPr>
              <w:t>Common shares, no par value per share; unlimited shares authorized as of</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7600" w:type="dxa"/>
            <w:vAlign w:val="bottom"/>
          </w:tcPr>
          <w:p>
            <w:pPr>
              <w:ind w:left="320"/>
              <w:spacing w:after="0"/>
              <w:rPr>
                <w:sz w:val="20"/>
                <w:szCs w:val="20"/>
                <w:color w:val="auto"/>
              </w:rPr>
            </w:pPr>
            <w:r>
              <w:rPr>
                <w:rFonts w:ascii="Arial" w:cs="Arial" w:eastAsia="Arial" w:hAnsi="Arial"/>
                <w:sz w:val="16"/>
                <w:szCs w:val="16"/>
                <w:color w:val="auto"/>
              </w:rPr>
              <w:t>June 30, 2023 and December 31, 2022; 42,093,946 and 42,036,193 shares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7600" w:type="dxa"/>
            <w:vAlign w:val="bottom"/>
          </w:tcPr>
          <w:p>
            <w:pPr>
              <w:ind w:left="320"/>
              <w:spacing w:after="0"/>
              <w:rPr>
                <w:sz w:val="20"/>
                <w:szCs w:val="20"/>
                <w:color w:val="auto"/>
              </w:rPr>
            </w:pPr>
            <w:r>
              <w:rPr>
                <w:rFonts w:ascii="Arial" w:cs="Arial" w:eastAsia="Arial" w:hAnsi="Arial"/>
                <w:sz w:val="16"/>
                <w:szCs w:val="16"/>
                <w:color w:val="auto"/>
              </w:rPr>
              <w:t>issued and outstanding as of June 30, 2023 and December 31, 2022, respectively</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482,739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482,032</w:t>
            </w:r>
          </w:p>
        </w:tc>
        <w:tc>
          <w:tcPr>
            <w:tcW w:w="140" w:type="dxa"/>
            <w:vAlign w:val="bottom"/>
          </w:tcPr>
          <w:p>
            <w:pPr>
              <w:spacing w:after="0"/>
              <w:rPr>
                <w:sz w:val="18"/>
                <w:szCs w:val="18"/>
                <w:color w:val="auto"/>
              </w:rPr>
            </w:pPr>
          </w:p>
        </w:tc>
      </w:tr>
      <w:tr>
        <w:trPr>
          <w:trHeight w:val="239"/>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49,299</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37,226</w:t>
            </w:r>
          </w:p>
        </w:tc>
        <w:tc>
          <w:tcPr>
            <w:tcW w:w="140" w:type="dxa"/>
            <w:vAlign w:val="bottom"/>
            <w:shd w:val="clear" w:color="auto" w:fill="CFF0FC"/>
          </w:tcPr>
          <w:p>
            <w:pPr>
              <w:spacing w:after="0"/>
              <w:rPr>
                <w:sz w:val="20"/>
                <w:szCs w:val="20"/>
                <w:color w:val="auto"/>
              </w:rPr>
            </w:pPr>
          </w:p>
        </w:tc>
      </w:tr>
      <w:tr>
        <w:trPr>
          <w:trHeight w:val="220"/>
        </w:trPr>
        <w:tc>
          <w:tcPr>
            <w:tcW w:w="760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(424 )</w:t>
            </w:r>
          </w:p>
        </w:tc>
        <w:tc>
          <w:tcPr>
            <w:tcW w:w="2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(428 )</w:t>
            </w:r>
          </w:p>
        </w:tc>
      </w:tr>
      <w:tr>
        <w:trPr>
          <w:trHeight w:val="233"/>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deficit</w:t>
            </w:r>
          </w:p>
        </w:tc>
        <w:tc>
          <w:tcPr>
            <w:tcW w:w="3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(286,200 )</w:t>
            </w: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(239,313 )</w:t>
            </w:r>
          </w:p>
        </w:tc>
      </w:tr>
      <w:tr>
        <w:trPr>
          <w:trHeight w:val="223"/>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Total shareholders’ equity</w:t>
            </w: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245,414</w:t>
            </w:r>
          </w:p>
        </w:tc>
        <w:tc>
          <w:tcPr>
            <w:tcW w:w="34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279,517</w:t>
            </w:r>
          </w:p>
        </w:tc>
        <w:tc>
          <w:tcPr>
            <w:tcW w:w="140" w:type="dxa"/>
            <w:vAlign w:val="bottom"/>
            <w:tcBorders>
              <w:top w:val="single" w:sz="8" w:color="CFF0FC"/>
            </w:tcBorders>
          </w:tcPr>
          <w:p>
            <w:pPr>
              <w:spacing w:after="0"/>
              <w:rPr>
                <w:sz w:val="19"/>
                <w:szCs w:val="19"/>
                <w:color w:val="auto"/>
              </w:rPr>
            </w:pPr>
          </w:p>
        </w:tc>
      </w:tr>
      <w:tr>
        <w:trPr>
          <w:trHeight w:val="26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301,588</w:t>
            </w:r>
          </w:p>
        </w:tc>
        <w:tc>
          <w:tcPr>
            <w:tcW w:w="3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364,075</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534"/>
        </w:trPr>
        <w:tc>
          <w:tcPr>
            <w:tcW w:w="7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-4482465</wp:posOffset>
            </wp:positionV>
            <wp:extent cx="8572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-4482465</wp:posOffset>
            </wp:positionV>
            <wp:extent cx="8572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-2691130</wp:posOffset>
            </wp:positionV>
            <wp:extent cx="8572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-2691130</wp:posOffset>
            </wp:positionV>
            <wp:extent cx="8572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-2091055</wp:posOffset>
            </wp:positionV>
            <wp:extent cx="8572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-2091055</wp:posOffset>
            </wp:positionV>
            <wp:extent cx="8572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-694055</wp:posOffset>
            </wp:positionV>
            <wp:extent cx="8572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-694055</wp:posOffset>
            </wp:positionV>
            <wp:extent cx="8572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-385445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-367665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-385445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-367665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of U.S. dollars,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5"/>
          </w:tcPr>
          <w:p>
            <w:pPr>
              <w:jc w:val="right"/>
              <w:ind w:right="85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500" w:type="dxa"/>
            <w:vAlign w:val="bottom"/>
            <w:gridSpan w:val="5"/>
          </w:tcPr>
          <w:p>
            <w:pPr>
              <w:jc w:val="right"/>
              <w:ind w:right="77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2023</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2022</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2023</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Collaboration agreements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30,249</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679</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35,927</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Research and development, net of tax credits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33,788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31,475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65,618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57,933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8,719</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7,938</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17,248</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16,717</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42,507</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39,413</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82,866</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(12,258</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(38,734</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(46,939</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(73,563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Realized and unrealized (loss) gain on foreign exchange</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(41 )</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(97 )</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6,916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(26 )</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(11 )</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(41 )</w:t>
            </w: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7"/>
        </w:trPr>
        <w:tc>
          <w:tcPr>
            <w:tcW w:w="5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other income, net</w:t>
            </w: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3,422</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6,778</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(8,836</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(38,060</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(40,161</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(72,785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(3,110 )</w:t>
            </w:r>
          </w:p>
        </w:tc>
        <w:tc>
          <w:tcPr>
            <w:tcW w:w="22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(33 )</w:t>
            </w:r>
          </w:p>
        </w:tc>
        <w:tc>
          <w:tcPr>
            <w:tcW w:w="22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(6,726 )</w:t>
            </w: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78"/>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(11,946</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(38,093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(46,887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(72,850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 gain:</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gain on available-for-sale marketable</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(189 )</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vMerge w:val="continue"/>
            <w:shd w:val="clear" w:color="auto" w:fill="CFF0FC"/>
          </w:tcPr>
          <w:p>
            <w:pPr>
              <w:spacing w:after="0"/>
              <w:rPr>
                <w:sz w:val="20"/>
                <w:szCs w:val="20"/>
                <w:color w:val="auto"/>
              </w:rPr>
            </w:pPr>
          </w:p>
        </w:tc>
        <w:tc>
          <w:tcPr>
            <w:tcW w:w="1220" w:type="dxa"/>
            <w:vAlign w:val="bottom"/>
            <w:gridSpan w:val="2"/>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1220" w:type="dxa"/>
            <w:vAlign w:val="bottom"/>
            <w:gridSpan w:val="2"/>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Total other comprehensive (loss) gain</w:t>
            </w:r>
          </w:p>
        </w:tc>
        <w:tc>
          <w:tcPr>
            <w:tcW w:w="22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(189 )</w:t>
            </w:r>
          </w:p>
        </w:tc>
        <w:tc>
          <w:tcPr>
            <w:tcW w:w="220" w:type="dxa"/>
            <w:vAlign w:val="bottom"/>
          </w:tcPr>
          <w:p>
            <w:pPr>
              <w:spacing w:after="0"/>
              <w:rPr>
                <w:sz w:val="20"/>
                <w:szCs w:val="20"/>
                <w:color w:val="auto"/>
              </w:rPr>
            </w:pP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(38,093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(46,883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(72,850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0"/>
        </w:trPr>
        <w:tc>
          <w:tcPr>
            <w:tcW w:w="5640" w:type="dxa"/>
            <w:vAlign w:val="bottom"/>
          </w:tcPr>
          <w:p>
            <w:pPr>
              <w:ind w:left="20"/>
              <w:spacing w:after="0" w:line="200" w:lineRule="exact"/>
              <w:rPr>
                <w:sz w:val="20"/>
                <w:szCs w:val="20"/>
                <w:color w:val="auto"/>
              </w:rPr>
            </w:pPr>
            <w:r>
              <w:rPr>
                <w:rFonts w:ascii="Arial" w:cs="Arial" w:eastAsia="Arial" w:hAnsi="Arial"/>
                <w:sz w:val="18"/>
                <w:szCs w:val="18"/>
                <w:color w:val="auto"/>
              </w:rPr>
              <w:t>Net loss per share attributable to common shareholders - basic and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(0.28 )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(0.91 )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(1.11 )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5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common shares outstanding - basic and diluted</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42,089,530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41,899,509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42,065,237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41,880,666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90"/>
        </w:trPr>
        <w:tc>
          <w:tcPr>
            <w:tcW w:w="5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-3368040</wp:posOffset>
            </wp:positionV>
            <wp:extent cx="8572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-3368040</wp:posOffset>
            </wp:positionV>
            <wp:extent cx="8572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-3368040</wp:posOffset>
            </wp:positionV>
            <wp:extent cx="8572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-3368040</wp:posOffset>
            </wp:positionV>
            <wp:extent cx="8572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-3042920</wp:posOffset>
            </wp:positionV>
            <wp:extent cx="8572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-3042920</wp:posOffset>
            </wp:positionV>
            <wp:extent cx="85725"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-3042920</wp:posOffset>
            </wp:positionV>
            <wp:extent cx="8572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-3042920</wp:posOffset>
            </wp:positionV>
            <wp:extent cx="85725"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-2416810</wp:posOffset>
            </wp:positionV>
            <wp:extent cx="8572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-2416810</wp:posOffset>
            </wp:positionV>
            <wp:extent cx="8572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-2416810</wp:posOffset>
            </wp:positionV>
            <wp:extent cx="8572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-2416810</wp:posOffset>
            </wp:positionV>
            <wp:extent cx="8572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-1773555</wp:posOffset>
            </wp:positionV>
            <wp:extent cx="2828925"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28925" cy="17970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-1311275</wp:posOffset>
            </wp:positionV>
            <wp:extent cx="8572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-1311275</wp:posOffset>
            </wp:positionV>
            <wp:extent cx="8572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-1311275</wp:posOffset>
            </wp:positionV>
            <wp:extent cx="8572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-1311275</wp:posOffset>
            </wp:positionV>
            <wp:extent cx="8572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-985520</wp:posOffset>
            </wp:positionV>
            <wp:extent cx="2828925" cy="317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28925" cy="31750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Repare Contact:</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Steve Forte</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Executve Vice-President and Chief Financial Ofcer</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Repare Therapeutcs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investor@reparerx.com</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Mathew DeYoung</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Argot Partners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repare@argotpartners.com</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David Rosen</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Argot Partners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david.rosen@argotpartners.com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212-600-1902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49" w:right="1440"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0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o"/>
      <w:numFmt w:val="bullet"/>
      <w:start w:val="1"/>
    </w:lvl>
  </w:abstractNum>
  <w:abstractNum w:abstractNumId="4">
    <w:nsid w:val="507ED7AB"/>
    <w:multiLevelType w:val="hybridMultilevel"/>
    <w:lvl w:ilvl="0">
      <w:lvlJc w:val="left"/>
      <w:lvlText w:val="•"/>
      <w:numFmt w:val="bullet"/>
      <w:start w:val="1"/>
    </w:lvl>
    <w:lvl w:ilvl="1">
      <w:lvlJc w:val="left"/>
      <w:lvlText w:val="o"/>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2023-08-09T15:24:03Z</dcterms:created>
  <dcterms:modified xsi:type="dcterms:W3CDTF">2023-08-09T15:24:03Z</dcterms:modified>
</cp:coreProperties>
</file>