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60" w:type="dxa"/>
        <w:tblCellMar>
          <w:top w:w="0" w:type="dxa"/>
          <w:left w:w="0" w:type="dxa"/>
          <w:bottom w:w="0" w:type="dxa"/>
          <w:right w:w="0" w:type="dxa"/>
        </w:tblCellMar>
      </w:tblPr>
      <w:tr>
        <w:trPr>
          <w:trHeight w:val="235"/>
        </w:trPr>
        <w:tc>
          <w:tcPr>
            <w:tcW w:w="330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Quebec</w:t>
            </w:r>
          </w:p>
        </w:tc>
        <w:tc>
          <w:tcPr>
            <w:tcW w:w="314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001-39335</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4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40" w:type="dxa"/>
            <w:vAlign w:val="bottom"/>
          </w:tcPr>
          <w:p>
            <w:pPr>
              <w:spacing w:after="0"/>
              <w:rPr>
                <w:sz w:val="15"/>
                <w:szCs w:val="15"/>
                <w:color w:val="auto"/>
              </w:rPr>
            </w:pPr>
          </w:p>
        </w:tc>
        <w:tc>
          <w:tcPr>
            <w:tcW w:w="2100" w:type="dxa"/>
            <w:vAlign w:val="bottom"/>
          </w:tcPr>
          <w:p>
            <w:pPr>
              <w:jc w:val="center"/>
              <w:ind w:left="8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7171 Frederick-Banting, Building 2</w:t>
            </w:r>
          </w:p>
        </w:tc>
        <w:tc>
          <w:tcPr>
            <w:tcW w:w="3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9"/>
        </w:trPr>
        <w:tc>
          <w:tcPr>
            <w:tcW w:w="330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Suite 270</w:t>
            </w:r>
          </w:p>
        </w:tc>
        <w:tc>
          <w:tcPr>
            <w:tcW w:w="31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35"/>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St-Laurent, Quebec, Canada</w:t>
            </w:r>
          </w:p>
        </w:tc>
        <w:tc>
          <w:tcPr>
            <w:tcW w:w="3140" w:type="dxa"/>
            <w:vAlign w:val="bottom"/>
          </w:tcPr>
          <w:p>
            <w:pPr>
              <w:spacing w:after="0"/>
              <w:rPr>
                <w:sz w:val="20"/>
                <w:szCs w:val="20"/>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H4S 1Z9</w:t>
            </w:r>
          </w:p>
        </w:tc>
      </w:tr>
      <w:tr>
        <w:trPr>
          <w:trHeight w:val="178"/>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40" w:type="dxa"/>
            <w:vAlign w:val="bottom"/>
          </w:tcPr>
          <w:p>
            <w:pPr>
              <w:spacing w:after="0"/>
              <w:rPr>
                <w:sz w:val="15"/>
                <w:szCs w:val="15"/>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RPTX</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7, 2024, Repare Therapeutics Inc. (the "Company") issued a press release announcing its recent business highlights and financial results for the three and nine months ended September 30, 2024. A copy of the press release is furnished hereto as Exhibit 99.1 and is incorporated herein by reference.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exhibits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website and any information contained on the Company’s website are not incorporated into this Current Report on Form 8-K.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82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250"/>
        </w:trPr>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2820" w:type="dxa"/>
            <w:vAlign w:val="bottom"/>
            <w:tcBorders>
              <w:bottom w:val="single" w:sz="8" w:color="auto"/>
            </w:tcBorders>
          </w:tcPr>
          <w:p>
            <w:pPr>
              <w:spacing w:after="0"/>
              <w:rPr>
                <w:sz w:val="21"/>
                <w:szCs w:val="21"/>
                <w:color w:val="auto"/>
              </w:rPr>
            </w:pPr>
          </w:p>
        </w:tc>
        <w:tc>
          <w:tcPr>
            <w:tcW w:w="73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06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dated November 7, 2024</w:t>
            </w:r>
          </w:p>
        </w:tc>
      </w:tr>
      <w:tr>
        <w:trPr>
          <w:trHeight w:val="20"/>
        </w:trPr>
        <w:tc>
          <w:tcPr>
            <w:tcW w:w="1060" w:type="dxa"/>
            <w:vAlign w:val="bottom"/>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36" w:lineRule="exact"/>
        <w:rPr>
          <w:sz w:val="20"/>
          <w:szCs w:val="20"/>
          <w:color w:val="auto"/>
        </w:rPr>
      </w:pPr>
    </w:p>
    <w:p>
      <w:pPr>
        <w:ind w:left="1060" w:hanging="721"/>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Lloyd M. Segal</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30302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0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800" w:right="40"/>
        <w:spacing w:after="0"/>
        <w:rPr>
          <w:sz w:val="20"/>
          <w:szCs w:val="20"/>
          <w:color w:val="auto"/>
        </w:rPr>
      </w:pPr>
      <w:r>
        <w:rPr>
          <w:rFonts w:ascii="Calibri" w:cs="Calibri" w:eastAsia="Calibri" w:hAnsi="Calibri"/>
          <w:sz w:val="25"/>
          <w:szCs w:val="25"/>
          <w:b w:val="1"/>
          <w:bCs w:val="1"/>
          <w:color w:val="auto"/>
        </w:rPr>
        <w:t>Repare Therapeutcs Provides Business and Clinical Update and Reports Third Quarter 2024 Financial Results</w:t>
      </w:r>
    </w:p>
    <w:p>
      <w:pPr>
        <w:spacing w:after="0" w:line="235"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22"/>
          <w:szCs w:val="22"/>
          <w:i w:val="1"/>
          <w:iCs w:val="1"/>
          <w:color w:val="auto"/>
        </w:rPr>
        <w:t>On track to report data from the ongoing MYTHIC dose expansion clinical trial at the recommended Phase 2 dose (RP2D) at a company event in December 2024, with the plan to begin a registratonal trial in 2025</w:t>
      </w:r>
    </w:p>
    <w:p>
      <w:pPr>
        <w:spacing w:after="0" w:line="230" w:lineRule="exact"/>
        <w:rPr>
          <w:sz w:val="20"/>
          <w:szCs w:val="20"/>
          <w:color w:val="auto"/>
        </w:rPr>
      </w:pPr>
    </w:p>
    <w:p>
      <w:pPr>
        <w:jc w:val="center"/>
        <w:ind w:right="40"/>
        <w:spacing w:after="0" w:line="207" w:lineRule="auto"/>
        <w:rPr>
          <w:sz w:val="20"/>
          <w:szCs w:val="20"/>
          <w:color w:val="auto"/>
        </w:rPr>
      </w:pPr>
      <w:r>
        <w:rPr>
          <w:rFonts w:ascii="Calibri" w:cs="Calibri" w:eastAsia="Calibri" w:hAnsi="Calibri"/>
          <w:sz w:val="22"/>
          <w:szCs w:val="22"/>
          <w:i w:val="1"/>
          <w:iCs w:val="1"/>
          <w:color w:val="auto"/>
        </w:rPr>
        <w:t>Presented updated positve safety and tolerability results from the Phase 1 MYTHIC clinical trial at the 36</w:t>
      </w:r>
      <w:r>
        <w:rPr>
          <w:rFonts w:ascii="Calibri" w:cs="Calibri" w:eastAsia="Calibri" w:hAnsi="Calibri"/>
          <w:sz w:val="28"/>
          <w:szCs w:val="28"/>
          <w:i w:val="1"/>
          <w:iCs w:val="1"/>
          <w:color w:val="auto"/>
          <w:vertAlign w:val="superscript"/>
        </w:rPr>
        <w:t>th</w:t>
      </w:r>
      <w:r>
        <w:rPr>
          <w:rFonts w:ascii="Calibri" w:cs="Calibri" w:eastAsia="Calibri" w:hAnsi="Calibri"/>
          <w:sz w:val="22"/>
          <w:szCs w:val="22"/>
          <w:i w:val="1"/>
          <w:iCs w:val="1"/>
          <w:color w:val="auto"/>
        </w:rPr>
        <w:t xml:space="preserve"> EORTC-NCI-AACR Symposium on Molecular Targets and Cancer Therapeutcs</w:t>
      </w:r>
    </w:p>
    <w:p>
      <w:pPr>
        <w:spacing w:after="0" w:line="213" w:lineRule="exact"/>
        <w:rPr>
          <w:sz w:val="20"/>
          <w:szCs w:val="20"/>
          <w:color w:val="auto"/>
        </w:rPr>
      </w:pPr>
    </w:p>
    <w:p>
      <w:pPr>
        <w:jc w:val="center"/>
        <w:ind w:right="40"/>
        <w:spacing w:after="0" w:line="246" w:lineRule="auto"/>
        <w:rPr>
          <w:sz w:val="20"/>
          <w:szCs w:val="20"/>
          <w:color w:val="auto"/>
        </w:rPr>
      </w:pPr>
      <w:r>
        <w:rPr>
          <w:rFonts w:ascii="Calibri" w:cs="Calibri" w:eastAsia="Calibri" w:hAnsi="Calibri"/>
          <w:sz w:val="22"/>
          <w:szCs w:val="22"/>
          <w:i w:val="1"/>
          <w:iCs w:val="1"/>
          <w:color w:val="auto"/>
        </w:rPr>
        <w:t>Dosed frst patent in Phase 1 POLAR trial evaluatng RP-3467, a Pol</w:t>
      </w:r>
      <w:r>
        <w:rPr>
          <w:rFonts w:ascii="Times New Roman" w:cs="Times New Roman" w:eastAsia="Times New Roman" w:hAnsi="Times New Roman"/>
          <w:sz w:val="22"/>
          <w:szCs w:val="22"/>
          <w:i w:val="1"/>
          <w:iCs w:val="1"/>
          <w:color w:val="auto"/>
        </w:rPr>
        <w:t>q</w:t>
      </w:r>
      <w:r>
        <w:rPr>
          <w:rFonts w:ascii="Calibri" w:cs="Calibri" w:eastAsia="Calibri" w:hAnsi="Calibri"/>
          <w:sz w:val="22"/>
          <w:szCs w:val="22"/>
          <w:i w:val="1"/>
          <w:iCs w:val="1"/>
          <w:color w:val="auto"/>
        </w:rPr>
        <w:t xml:space="preserve"> ATPase inhibitor, alone and in combinaton with the PARP inhibitor, olaparib</w:t>
      </w:r>
    </w:p>
    <w:p>
      <w:pPr>
        <w:spacing w:after="0" w:line="222" w:lineRule="exact"/>
        <w:rPr>
          <w:sz w:val="20"/>
          <w:szCs w:val="20"/>
          <w:color w:val="auto"/>
        </w:rPr>
      </w:pPr>
    </w:p>
    <w:p>
      <w:pPr>
        <w:jc w:val="center"/>
        <w:spacing w:after="0" w:line="235" w:lineRule="auto"/>
        <w:rPr>
          <w:sz w:val="20"/>
          <w:szCs w:val="20"/>
          <w:color w:val="auto"/>
        </w:rPr>
      </w:pPr>
      <w:r>
        <w:rPr>
          <w:rFonts w:ascii="Calibri" w:cs="Calibri" w:eastAsia="Calibri" w:hAnsi="Calibri"/>
          <w:sz w:val="22"/>
          <w:szCs w:val="22"/>
          <w:i w:val="1"/>
          <w:iCs w:val="1"/>
          <w:color w:val="auto"/>
        </w:rPr>
        <w:t>Presented frst-in-human data highlightng the clinical benefts of camonsertb in combinaton with radiotherapy at the ASTRO annual meetng</w:t>
      </w:r>
    </w:p>
    <w:p>
      <w:pPr>
        <w:spacing w:after="0" w:line="338"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color w:val="auto"/>
        </w:rPr>
        <w:t xml:space="preserve">CAMBRIDGE, Mass. &amp; MONTREAL (BUSINESS WIRE)—November 7, 2024— </w:t>
      </w:r>
      <w:r>
        <w:rPr>
          <w:rFonts w:ascii="Calibri" w:cs="Calibri" w:eastAsia="Calibri" w:hAnsi="Calibri"/>
          <w:sz w:val="22"/>
          <w:szCs w:val="22"/>
          <w:color w:val="auto"/>
        </w:rPr>
        <w:t>Repare Therapeutcs Inc. (“Repare” or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“Company”) (Nasdaq: RPTX), a leading clinical-stage precision oncology company, today reported fnancial results for the third quarter ended September 30, 2024.</w:t>
      </w:r>
    </w:p>
    <w:p>
      <w:pPr>
        <w:spacing w:after="0" w:line="230"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“We look forward to reportng data from our MYTHIC dose expansion clinical trial evaluatng lunresertb in combinaton with camonsertb at the recommended Phase 2 dose at a company event in December, with the plan to begin a registratonal trial in 2025. This combinaton therapy has the potental to be a new treatment paradigm in genomically-defned platnum-resistant ovarian cancer and second-line endometrial cancer,” said Lloyd M. Segal, President and CEO of Repare. “In the third quarter, we contnued to make progress across our pipeline, including the dosing of the frst patent in the POLAR clinical trial evaluatng RP-3467, alone and in combinaton with the PARP inhibitor, olaparib. Additonally, we presented frst-in-human data highlightng the clinical benefts of camonsertb in combinaton with radiotherapy at the ASTRO annual meetng in collaboraton with investgators at Memorial-Sloan Ketering Cancer Center.”</w:t>
      </w:r>
    </w:p>
    <w:p>
      <w:pPr>
        <w:spacing w:after="0" w:line="22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Third Quarter 2024 and Recent Portolio Highlights:</w:t>
      </w:r>
    </w:p>
    <w:p>
      <w:pPr>
        <w:spacing w:after="0" w:line="111"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Lunresertb (RP-6306): First-in-class, oral PKMYT1 inhibitor</w:t>
      </w:r>
    </w:p>
    <w:p>
      <w:pPr>
        <w:spacing w:after="0" w:line="119" w:lineRule="exact"/>
        <w:rPr>
          <w:rFonts w:ascii="Times New Roman" w:cs="Times New Roman" w:eastAsia="Times New Roman" w:hAnsi="Times New Roman"/>
          <w:sz w:val="22"/>
          <w:szCs w:val="22"/>
          <w:color w:val="auto"/>
        </w:rPr>
      </w:pPr>
    </w:p>
    <w:p>
      <w:pPr>
        <w:jc w:val="both"/>
        <w:ind w:left="1020" w:hanging="503"/>
        <w:spacing w:after="0" w:line="238"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Currently evaluatng lunresertb in combinaton with camonsertb in Repare’s MYTHIC dose expansion clinical trial at the RP2D in patents with platnum-resistant ovarian and endometrial cancers harboring CCNE1 amplifcaton or FBXW7 or PPP2R1A mutatons, which are predictve of poor prognosis. Repare is on track to report data from approximately 20-30 patents in each cohort in December 2024, with the plan to begin a registratonal trial in 2025.</w:t>
      </w:r>
    </w:p>
    <w:p>
      <w:pPr>
        <w:spacing w:after="0" w:line="122" w:lineRule="exact"/>
        <w:rPr>
          <w:rFonts w:ascii="Times New Roman" w:cs="Times New Roman" w:eastAsia="Times New Roman" w:hAnsi="Times New Roman"/>
          <w:sz w:val="22"/>
          <w:szCs w:val="22"/>
          <w:color w:val="auto"/>
        </w:rPr>
      </w:pPr>
    </w:p>
    <w:p>
      <w:pPr>
        <w:jc w:val="both"/>
        <w:ind w:left="1020" w:hanging="503"/>
        <w:spacing w:after="0" w:line="231"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Presented positve updated safety and tolerability data from the Phase 1 MYTHIC trial at the RP2D highlightng the benefts of its individualized schedule for the management of anemia at the 36</w:t>
      </w:r>
      <w:r>
        <w:rPr>
          <w:rFonts w:ascii="Calibri" w:cs="Calibri" w:eastAsia="Calibri" w:hAnsi="Calibri"/>
          <w:sz w:val="28"/>
          <w:szCs w:val="28"/>
          <w:color w:val="auto"/>
          <w:vertAlign w:val="superscript"/>
        </w:rPr>
        <w:t>th</w:t>
      </w:r>
      <w:r>
        <w:rPr>
          <w:rFonts w:ascii="Calibri" w:cs="Calibri" w:eastAsia="Calibri" w:hAnsi="Calibri"/>
          <w:sz w:val="22"/>
          <w:szCs w:val="22"/>
          <w:color w:val="auto"/>
        </w:rPr>
        <w:t xml:space="preserve"> EORTC-NCI-AACR Symposium on Molecular Targets and Cancer Therapeutcs in October 2024. In this analysis, Repare followed patents for approximately nine months at the RP2D to assess the efectveness of an individualized schedule. The analysis demonstrated a successful approach to mitgatng mechanism-based anemia while maintaining clinical beneft. No thrombocytopenia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ind w:left="1012"/>
        <w:spacing w:after="0" w:line="235" w:lineRule="auto"/>
        <w:rPr>
          <w:sz w:val="20"/>
          <w:szCs w:val="20"/>
          <w:color w:val="auto"/>
        </w:rPr>
      </w:pPr>
      <w:r>
        <w:rPr>
          <w:rFonts w:ascii="Calibri" w:cs="Calibri" w:eastAsia="Calibri" w:hAnsi="Calibri"/>
          <w:sz w:val="22"/>
          <w:szCs w:val="22"/>
          <w:color w:val="auto"/>
        </w:rPr>
        <w:t>grade nor serious neutropenia in these patents was observed. Dose optmizaton meaningfully reduced Grade 3 anemia to 22.6% from 51.4% in all patents.</w:t>
      </w:r>
    </w:p>
    <w:p>
      <w:pPr>
        <w:spacing w:after="0" w:line="122" w:lineRule="exact"/>
        <w:rPr>
          <w:sz w:val="20"/>
          <w:szCs w:val="20"/>
          <w:color w:val="auto"/>
        </w:rPr>
      </w:pPr>
    </w:p>
    <w:p>
      <w:pPr>
        <w:jc w:val="both"/>
        <w:ind w:left="1012" w:hanging="503"/>
        <w:spacing w:after="0" w:line="231" w:lineRule="auto"/>
        <w:tabs>
          <w:tab w:leader="none" w:pos="1012"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Presented data at the American Associaton of Cancer Research’s (AACR) 15</w:t>
      </w:r>
      <w:r>
        <w:rPr>
          <w:rFonts w:ascii="Calibri" w:cs="Calibri" w:eastAsia="Calibri" w:hAnsi="Calibri"/>
          <w:sz w:val="28"/>
          <w:szCs w:val="28"/>
          <w:color w:val="auto"/>
          <w:vertAlign w:val="superscript"/>
        </w:rPr>
        <w:t>th</w:t>
      </w:r>
      <w:r>
        <w:rPr>
          <w:rFonts w:ascii="Calibri" w:cs="Calibri" w:eastAsia="Calibri" w:hAnsi="Calibri"/>
          <w:sz w:val="22"/>
          <w:szCs w:val="22"/>
          <w:color w:val="auto"/>
        </w:rPr>
        <w:t xml:space="preserve"> Annual Ovarian Cancer Research Symposium in September 2024 highlightng the impact of alteratons in FBXW7, PPP2R1A and CCNE1 in patents with metastatc ovarian and endometrial cancers based on an analysis in approximately 2,000 patents from Cancer Genome Atlas Research Network and Memorial Sloan Ketering’s Metastatc Events and Tropisms. The data underscores inherent chemotherapy resistance and the lack of treatment optons for metastatc gynecologic cancer patents with these biomarkers.</w:t>
      </w:r>
    </w:p>
    <w:p>
      <w:pPr>
        <w:spacing w:after="0" w:line="120" w:lineRule="exact"/>
        <w:rPr>
          <w:rFonts w:ascii="Times New Roman" w:cs="Times New Roman" w:eastAsia="Times New Roman" w:hAnsi="Times New Roman"/>
          <w:sz w:val="22"/>
          <w:szCs w:val="22"/>
          <w:color w:val="auto"/>
        </w:rPr>
      </w:pPr>
    </w:p>
    <w:p>
      <w:pPr>
        <w:jc w:val="both"/>
        <w:ind w:left="1012" w:hanging="503"/>
        <w:spacing w:after="0" w:line="238" w:lineRule="auto"/>
        <w:tabs>
          <w:tab w:leader="none" w:pos="1012"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Evaluatng lunresertb in combinaton with Debio 0123, a highly selectve, brain-penetrant, clinical WEE1 inhibitor, in Module 4 of the ongoing MYTHIC clinical trial in patents with advanced solid tumors harboring CCNE1 amplifcaton or FBXW7 or PPP2R1A deleterious alteratons. Repare expects to report inital data from Module 4 of the MYTHIC trial in 2025.</w:t>
      </w:r>
    </w:p>
    <w:p>
      <w:pPr>
        <w:spacing w:after="0" w:line="22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Camonsertb (RP-3500): Potental best-in-class oral ATR inhibitor</w:t>
      </w:r>
    </w:p>
    <w:p>
      <w:pPr>
        <w:spacing w:after="0" w:line="120" w:lineRule="exact"/>
        <w:rPr>
          <w:rFonts w:ascii="Times New Roman" w:cs="Times New Roman" w:eastAsia="Times New Roman" w:hAnsi="Times New Roman"/>
          <w:sz w:val="22"/>
          <w:szCs w:val="22"/>
          <w:color w:val="auto"/>
        </w:rPr>
      </w:pPr>
    </w:p>
    <w:p>
      <w:pPr>
        <w:jc w:val="both"/>
        <w:ind w:left="1012" w:hanging="503"/>
        <w:spacing w:after="0" w:line="238" w:lineRule="auto"/>
        <w:tabs>
          <w:tab w:leader="none" w:pos="1012"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Evaluatng camonsertb as a monotherapy in the ongoing non-small cell lung cancer (NSCLC) expansion of the Phase 2 TRESR clinical trial. Camonsertb has demonstrated a promising signal of prolonged progression free survival in patents with ATM-mutated NSCLC in the TRESR clinical trial. Repare expects to report inital data from the TRESR clinical trial in 2025.</w:t>
      </w:r>
    </w:p>
    <w:p>
      <w:pPr>
        <w:spacing w:after="0" w:line="122" w:lineRule="exact"/>
        <w:rPr>
          <w:rFonts w:ascii="Times New Roman" w:cs="Times New Roman" w:eastAsia="Times New Roman" w:hAnsi="Times New Roman"/>
          <w:sz w:val="22"/>
          <w:szCs w:val="22"/>
          <w:color w:val="auto"/>
        </w:rPr>
      </w:pPr>
    </w:p>
    <w:p>
      <w:pPr>
        <w:jc w:val="both"/>
        <w:ind w:left="1012" w:hanging="503"/>
        <w:spacing w:after="0" w:line="239" w:lineRule="auto"/>
        <w:tabs>
          <w:tab w:leader="none" w:pos="1012"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Presented Phase 1 data from a clinical trial conducted in collaboraton with investgators at Memorial-Sloan Ketering Cancer Center highlightng camonsertb in combinaton with palliatve radiaton for the treatment of metastatc tumors harboring an ataxia-telangiectasia-mutated (ATM) mutaton at the American Society for Radiaton Oncology (ASTRO) annual meetng in September 2024. The frst-in-human data showed that the combinaton demonstrated higher clinical beneft in patents with tumors harboring pathogenic ATM mutatons versus those with variants of unknown signifcance.</w:t>
      </w:r>
    </w:p>
    <w:p>
      <w:pPr>
        <w:spacing w:after="0" w:line="218"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RP-1664: First-in-class, oral, selectve PLK4 inhibitor</w:t>
      </w:r>
    </w:p>
    <w:p>
      <w:pPr>
        <w:spacing w:after="0" w:line="121" w:lineRule="exact"/>
        <w:rPr>
          <w:rFonts w:ascii="Times New Roman" w:cs="Times New Roman" w:eastAsia="Times New Roman" w:hAnsi="Times New Roman"/>
          <w:sz w:val="22"/>
          <w:szCs w:val="22"/>
          <w:color w:val="auto"/>
        </w:rPr>
      </w:pPr>
    </w:p>
    <w:p>
      <w:pPr>
        <w:jc w:val="both"/>
        <w:ind w:left="1012" w:hanging="503"/>
        <w:spacing w:after="0" w:line="238" w:lineRule="auto"/>
        <w:tabs>
          <w:tab w:leader="none" w:pos="1012"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Evaluatng RP-1664 as a monotherapy in the Phase 1 LIONS clinical trial in adult and adolescent patents with TRIM37-high solid tumors, including the recent dosing of the frst adolescent patent with neuroblastoma. Afer evaluatng safety in the LIONS clinical trial, the Company expects to rapidly advance RP-1664 into a Phase 1/2 trial in pediatric patents with high risk, recurrent neuroblastoma, where the patents have a high prevalence of TRIM37-altered tumors.</w:t>
      </w:r>
    </w:p>
    <w:p>
      <w:pPr>
        <w:spacing w:after="0" w:line="223"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RP-3467: Potental best-in-class, oral Polθ ATPase inhibitor</w:t>
      </w:r>
    </w:p>
    <w:p>
      <w:pPr>
        <w:spacing w:after="0" w:line="119" w:lineRule="exact"/>
        <w:rPr>
          <w:rFonts w:ascii="Times New Roman" w:cs="Times New Roman" w:eastAsia="Times New Roman" w:hAnsi="Times New Roman"/>
          <w:sz w:val="22"/>
          <w:szCs w:val="22"/>
          <w:color w:val="auto"/>
        </w:rPr>
      </w:pPr>
    </w:p>
    <w:p>
      <w:pPr>
        <w:jc w:val="both"/>
        <w:ind w:left="1012" w:hanging="503"/>
        <w:spacing w:after="0" w:line="252" w:lineRule="auto"/>
        <w:tabs>
          <w:tab w:leader="none" w:pos="1012" w:val="left"/>
        </w:tabs>
        <w:numPr>
          <w:ilvl w:val="1"/>
          <w:numId w:val="4"/>
        </w:numPr>
        <w:rPr>
          <w:rFonts w:ascii="Times New Roman" w:cs="Times New Roman" w:eastAsia="Times New Roman" w:hAnsi="Times New Roman"/>
          <w:sz w:val="21"/>
          <w:szCs w:val="21"/>
          <w:color w:val="auto"/>
        </w:rPr>
      </w:pPr>
      <w:r>
        <w:rPr>
          <w:rFonts w:ascii="Calibri" w:cs="Calibri" w:eastAsia="Calibri" w:hAnsi="Calibri"/>
          <w:sz w:val="21"/>
          <w:szCs w:val="21"/>
          <w:color w:val="auto"/>
        </w:rPr>
        <w:t>Dosed the frst patent in the POLAR clinical trial evaluatng RP-3467, a Polθ ATPase inhibitor, alone and in combinaton with the poly-ADP ribose polymerase (PARP) inhibitor, olaparib. The POLAR clinical trial is a multcenter, open-label, dose-escalaton Phase 1 clinical trial to investgate the safety, pharmacokinetcs, pharmacodynamics, and preliminary clinical actvity of RP-3647 alone or in combinaton with olaparib in adults with molecularly selected advanced solid tumors. The trial is expected to enroll patents with locally advanced or metastatc epithelial ovarian cancer, metastatc breast cancer, metastatc castraton-resistant prostate cancer, or pancreatc adenocarcinoma.</w:t>
      </w:r>
    </w:p>
    <w:p>
      <w:pPr>
        <w:spacing w:after="0" w:line="208" w:lineRule="exact"/>
        <w:rPr>
          <w:rFonts w:ascii="Times New Roman" w:cs="Times New Roman" w:eastAsia="Times New Roman" w:hAnsi="Times New Roman"/>
          <w:sz w:val="21"/>
          <w:szCs w:val="21"/>
          <w:color w:val="auto"/>
        </w:rPr>
      </w:pPr>
    </w:p>
    <w:p>
      <w:pPr>
        <w:ind w:left="452" w:hanging="452"/>
        <w:spacing w:after="0"/>
        <w:tabs>
          <w:tab w:leader="none" w:pos="452"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Other Company Updates</w:t>
      </w:r>
    </w:p>
    <w:p>
      <w:pPr>
        <w:spacing w:after="0" w:line="121" w:lineRule="exact"/>
        <w:rPr>
          <w:rFonts w:ascii="Times New Roman" w:cs="Times New Roman" w:eastAsia="Times New Roman" w:hAnsi="Times New Roman"/>
          <w:sz w:val="22"/>
          <w:szCs w:val="22"/>
          <w:color w:val="auto"/>
        </w:rPr>
      </w:pPr>
    </w:p>
    <w:p>
      <w:pPr>
        <w:ind w:left="1012" w:hanging="503"/>
        <w:spacing w:after="0" w:line="235" w:lineRule="auto"/>
        <w:tabs>
          <w:tab w:leader="none" w:pos="1012"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August 2024, Repare announced a strategic reprioritzaton of its research and development actvites to focus its eforts on the advancement of its portolio of clinical-stage oncology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7" w:right="339" w:bottom="1440" w:gutter="0" w:footer="0" w:header="0"/>
        </w:sectPr>
      </w:pPr>
    </w:p>
    <w:bookmarkStart w:id="5" w:name="page6"/>
    <w:bookmarkEnd w:id="5"/>
    <w:p>
      <w:pPr>
        <w:ind w:left="1020"/>
        <w:spacing w:after="0" w:line="235" w:lineRule="auto"/>
        <w:rPr>
          <w:sz w:val="20"/>
          <w:szCs w:val="20"/>
          <w:color w:val="auto"/>
        </w:rPr>
      </w:pPr>
      <w:r>
        <w:rPr>
          <w:rFonts w:ascii="Calibri" w:cs="Calibri" w:eastAsia="Calibri" w:hAnsi="Calibri"/>
          <w:sz w:val="22"/>
          <w:szCs w:val="22"/>
          <w:color w:val="auto"/>
        </w:rPr>
        <w:t>As part of this strategic refocus, Repare reduced its overall workforce by approximately 25%, with a majority of the headcount reductons from its preclinical group.</w:t>
      </w:r>
    </w:p>
    <w:p>
      <w:pPr>
        <w:spacing w:after="0" w:line="3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Third Quarter 2024 Financial Results:</w:t>
      </w:r>
    </w:p>
    <w:p>
      <w:pPr>
        <w:spacing w:after="0" w:line="120" w:lineRule="exact"/>
        <w:rPr>
          <w:sz w:val="20"/>
          <w:szCs w:val="20"/>
          <w:color w:val="auto"/>
        </w:rPr>
      </w:pPr>
    </w:p>
    <w:p>
      <w:pPr>
        <w:jc w:val="both"/>
        <w:ind w:left="102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Cash, cash equivalents and marketable securites: </w:t>
      </w:r>
      <w:r>
        <w:rPr>
          <w:rFonts w:ascii="Calibri" w:cs="Calibri" w:eastAsia="Calibri" w:hAnsi="Calibri"/>
          <w:sz w:val="22"/>
          <w:szCs w:val="22"/>
          <w:color w:val="auto"/>
        </w:rPr>
        <w:t>Cash, cash equivalents and marketable securites as of</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September 30, 2024 were $179.4 million. The Company believes that its cash, cash equivalents, and marketable securites are sufcient to fund its current operatonal plans into the second half of 2026.</w:t>
      </w:r>
    </w:p>
    <w:p>
      <w:pPr>
        <w:spacing w:after="0" w:line="23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Revenue from collaboraton agreements: </w:t>
      </w:r>
      <w:r>
        <w:rPr>
          <w:rFonts w:ascii="Calibri" w:cs="Calibri" w:eastAsia="Calibri" w:hAnsi="Calibri"/>
          <w:sz w:val="22"/>
          <w:szCs w:val="22"/>
          <w:color w:val="auto"/>
        </w:rPr>
        <w:t>Revenue from collaboraton agreements were nil and $53.5 million for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three and nine months ended September 30, 2024, respectvely, as compared to $2.2 million and $38.1 million for the three and nine months ended September 30, 2023.</w:t>
      </w:r>
    </w:p>
    <w:p>
      <w:pPr>
        <w:spacing w:after="0" w:line="23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Research and development expenses, net of tax credits (Net R&amp;D): </w:t>
      </w:r>
      <w:r>
        <w:rPr>
          <w:rFonts w:ascii="Calibri" w:cs="Calibri" w:eastAsia="Calibri" w:hAnsi="Calibri"/>
          <w:sz w:val="22"/>
          <w:szCs w:val="22"/>
          <w:color w:val="auto"/>
        </w:rPr>
        <w:t>Net R&amp;D expenses were $28.4 million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$91.4 million for the three and nine months ended September 30, 2024, respectvely, as compared to $32.7 million and $98.3 million for the three and nine months ended September 30, 2023.</w:t>
      </w:r>
    </w:p>
    <w:p>
      <w:pPr>
        <w:spacing w:after="0" w:line="23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General and administratve (G&amp;A) expenses: </w:t>
      </w:r>
      <w:r>
        <w:rPr>
          <w:rFonts w:ascii="Calibri" w:cs="Calibri" w:eastAsia="Calibri" w:hAnsi="Calibri"/>
          <w:sz w:val="22"/>
          <w:szCs w:val="22"/>
          <w:color w:val="auto"/>
        </w:rPr>
        <w:t>G&amp;A expenses were $6.4 million and $23.4 million for the three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nine months ended September 30, 2024, respectvely, compared to $7.9 million and $25.1 million for the three and nine months ended September 30, 2023.</w:t>
      </w:r>
    </w:p>
    <w:p>
      <w:pPr>
        <w:spacing w:after="0" w:line="23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Net loss: </w:t>
      </w:r>
      <w:r>
        <w:rPr>
          <w:rFonts w:ascii="Calibri" w:cs="Calibri" w:eastAsia="Calibri" w:hAnsi="Calibri"/>
          <w:sz w:val="22"/>
          <w:szCs w:val="22"/>
          <w:color w:val="auto"/>
        </w:rPr>
        <w:t>Net loss was $34.4 million, or $0.81 per share, and $56.0 million, or $1.32 per share, in the three and nine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months ended September 30, 2024, respectvely, compared to $18.9 million, or $0.45 per share, and $65.8 million, or $1.56 per share, three and nine months ended September 30, 2023, respectvely.</w:t>
      </w:r>
    </w:p>
    <w:p>
      <w:pPr>
        <w:spacing w:after="0" w:line="32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Repare Therapeutcs Inc.</w:t>
      </w:r>
    </w:p>
    <w:p>
      <w:pPr>
        <w:spacing w:after="0" w:line="122"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Repare Therapeutcs is a leading clinical-stage precision oncology company enabled by its proprietary synthetc lethality approach to the discovery and development of novel therapeutcs. The Company utlizes its genome-wide, CRISPR-enabled SNIPRx® platorm to systematcally discover and develop highly targeted cancer therapies focused on genomic instability, including DNA damage repair. The Company’s pipeline includes lunresertb (also known as RP-6306), a PKMYT1 inhibitor currently in Phase 1/2 clinical development; camonsertb (also known as RP-3500), a potental leading ATR inhibitor currently in Phase 1/2 clinical development; RP-1664, a Phase 1 PLK4 inhibitor; RP-3467, a Phase 1 Polθ ATPase inhibitor; as well as additonal, undisclosed preclinical programs. For more informaton, please visit reparerx.com and follow @Reparerx on X (formerly Twiter) and LinkedIn.</w:t>
      </w:r>
    </w:p>
    <w:p>
      <w:pPr>
        <w:spacing w:after="0" w:line="33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120"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This press release contains “forward-looking statements” within the meaning of the Private Securites Litgaton Reform Act of 1995 and securites laws in Canada. All statements in this press release other than statements of historical facts are “forward-looking statements. These statements may be identfed by words such as “aims,” “antcipates,” “believes,” “could,” “estmates,” “expects,” “forecasts,” “goal,” “intends,” “may,” “plans,” “possible,” “potental,” “seeks,” “will” and variatons of these words or similar expressions that are intended to identfy forward-looking statements, although not all forward-looking statements contain these words. Forward-looking statements in this press release include, but are not limited to, statements regarding: the design, objectves, initaton, tming, progress and results of current and future preclinical studies and clinical trials of the Company’s product candidates, including the Phase 2 MYTHIC trial evaluatng lunresertb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jc w:val="both"/>
        <w:spacing w:after="0"/>
        <w:rPr>
          <w:sz w:val="20"/>
          <w:szCs w:val="20"/>
          <w:color w:val="auto"/>
        </w:rPr>
      </w:pPr>
      <w:r>
        <w:rPr>
          <w:rFonts w:ascii="Calibri" w:cs="Calibri" w:eastAsia="Calibri" w:hAnsi="Calibri"/>
          <w:sz w:val="22"/>
          <w:szCs w:val="22"/>
          <w:color w:val="auto"/>
        </w:rPr>
        <w:t>combinaton with camonsertb in patents with platnum-resistant ovarian and endometrial cancers and plans to begin a registraton trial in 2025, the Phase 1 clinical trial in collaboraton with Memorial-Sloan Ketering Cancer Center of camonsertb in combinaton with palliatve radiaton for the treatment of metastatc tumors, Module 4 of the ongoing Phase 2 MYTHIC trial of lunresertb in combinaton with Debio 0123 in patents with advanced solid tumors, the Phase 2 TRESR trial of camonsertb in patents with non-small cell lung cancer, the Phase 1 POLAR trial of RP-3467 alone and in combinaton with olaparib in adults with molecularly selected advanced solid tumors and the Phase 1 LIONS trial of RP-1664 for TRIM37-high solid tumors; the tolerability, efcacy and clinical progress of the Company’s product candidates; the Company’s antcipated cash runway; and the benefts and ability to discover further targets and clinical candidates from the Company’s discovery platorm. These forward-looking statements are based on the Company’s expectatons and assumptons as of the date of this press release. Each of these forward-looking statements involves risks and uncertaintes that could cause the Company’s clinical development programs, future results or performance to difer materially from those expressed or implied by the forward-looking statements. Many factors may cause diferences between current expectatons and actual results, including: the potental that success in preclinical testng and earlier clinical trials does not ensure that later clinical trials will generate the same results or otherwise provide adequate data to demonstrate the efcacy and safety of a product candidate; the impacts of macroeconomic conditons, including the confict in Ukraine and the confict in the Middle East, heightened infaton and uncertain credit and fnancial markets, on the Company’s business, clinical trials and fnancial positon; unexpected safety or efcacy data observed during preclinical studies or clinical trials; clinical trial site actvaton or enrollment rates that are lower than expected; the Company’s ability to realize the benefts of its collaboraton and license agreements; changes in expected or existng competton; changes in the regulatory environment; the uncertaintes and tming of the regulatory approval process; and unexpected litgaton or other disputes. Other factors that may cause the Company’s actual results to difer from those expressed or implied in the forward-looking statements in this press release are identfed in the secton ttled "Risk Factors" in the Company’s Quarterly Report on Form 10-Q for the quarter ended September 30, 2024 fled with the Securites and Exchange Commission (“SEC”) and the Québec Autorité des Marchés Financiers ("AMF") on November 7, 2024. The Company expressly disclaims any obligaton to update any forward-looking statements contained herein, whether as a result of any new informaton, future events, changed circumstances or otherwise, except as otherwise required by law. For more informaton, please visit reparerx.com and follow Repare on Twiter at @RepareRx and on LinkedIn at htps://www.linkedin.com/company/repare-therapeutcs/.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40" w:type="dxa"/>
            <w:vAlign w:val="bottom"/>
          </w:tcPr>
          <w:p>
            <w:pPr>
              <w:spacing w:after="0"/>
              <w:rPr>
                <w:sz w:val="12"/>
                <w:szCs w:val="12"/>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79"/>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77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80,541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111,268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112,359</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Income tax receivable</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receivables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6,744</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243,688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FF0FC"/>
            </w:tcBorders>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206,389</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253,901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10,655</w:t>
            </w:r>
          </w:p>
        </w:tc>
        <w:tc>
          <w:tcPr>
            <w:tcW w:w="2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18,212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24,057</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10,222</w:t>
            </w:r>
          </w:p>
        </w:tc>
        <w:tc>
          <w:tcPr>
            <w:tcW w:w="100" w:type="dxa"/>
            <w:vAlign w:val="bottom"/>
            <w:shd w:val="clear" w:color="auto" w:fill="CFF0FC"/>
          </w:tcPr>
          <w:p>
            <w:pPr>
              <w:spacing w:after="0"/>
              <w:rPr>
                <w:sz w:val="20"/>
                <w:szCs w:val="20"/>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31,084</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39,079</w:t>
            </w:r>
          </w:p>
        </w:tc>
        <w:tc>
          <w:tcPr>
            <w:tcW w:w="100" w:type="dxa"/>
            <w:vAlign w:val="bottom"/>
          </w:tcPr>
          <w:p>
            <w:pPr>
              <w:spacing w:after="0"/>
              <w:rPr>
                <w:sz w:val="18"/>
                <w:szCs w:val="18"/>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31,430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Preferred shares, no par value per share; unlimited shares authorized as of</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September 30, 2024 and December 31, 2023; 0 shares issued and outstanding</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as of September 30, 2024, and December 31, 2023</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shares, no par value per share; unlimited shares authorized as of</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September 30, 2024 and December 31, 2023; 42,510,708 and 42,176,041 shares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issued and outstanding as of September 30, 2024 and December 31, 2023, respectively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483,350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77,272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61,813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r>
      <w:tr>
        <w:trPr>
          <w:trHeight w:val="23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(389,127 )</w:t>
            </w: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(333,109 )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174,959</w:t>
            </w: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212,082</w:t>
            </w:r>
          </w:p>
        </w:tc>
        <w:tc>
          <w:tcPr>
            <w:tcW w:w="100" w:type="dxa"/>
            <w:vAlign w:val="bottom"/>
            <w:tcBorders>
              <w:top w:val="single" w:sz="8" w:color="CFF0FC"/>
            </w:tcBorders>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206,389</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253,901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966"/>
        </w:trPr>
        <w:tc>
          <w:tcPr>
            <w:tcW w:w="7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-4756785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-3865245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-4019550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-2365375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-967740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-659765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agreements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36,372</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116,352</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(36,372 )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(38,418 )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(62,875 )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(85,357 )</w:t>
            </w: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and unrealized (loss) gain on foreign exchange</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(33,921 )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(35,178 )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(54,578 )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(75,339 )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(485 )</w:t>
            </w: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(1,440 )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(34,406 )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(56,018 )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(65,766 )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marketable</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tcPr>
          <w:p>
            <w:pPr>
              <w:spacing w:after="0"/>
              <w:rPr>
                <w:sz w:val="18"/>
                <w:szCs w:val="18"/>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(34,132 )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(18,707 )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(55,906 )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(65,590 )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shareholders - basic</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42,452,617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42,102,685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42,377,635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42,077,857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8"/>
        </w:trPr>
        <w:tc>
          <w:tcPr>
            <w:tcW w:w="5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-3325495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-3325495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-3325495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-2374265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-2374265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-2374265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-2056765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-2056765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-2056765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-1268095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-1268095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-1268095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Calibri" w:cs="Calibri" w:eastAsia="Calibri" w:hAnsi="Calibri"/>
          <w:sz w:val="22"/>
          <w:szCs w:val="22"/>
          <w:b w:val="1"/>
          <w:bCs w:val="1"/>
          <w:color w:val="auto"/>
        </w:rPr>
        <w:t>Investor Relatons &amp; Media Contact:</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color w:val="auto"/>
        </w:rPr>
        <w:t>Robin Garner</w:t>
      </w:r>
    </w:p>
    <w:p>
      <w:pPr>
        <w:spacing w:after="0" w:line="14" w:lineRule="exact"/>
        <w:rPr>
          <w:sz w:val="20"/>
          <w:szCs w:val="20"/>
          <w:color w:val="auto"/>
        </w:rPr>
      </w:pPr>
    </w:p>
    <w:p>
      <w:pPr>
        <w:spacing w:after="0"/>
        <w:rPr>
          <w:sz w:val="20"/>
          <w:szCs w:val="20"/>
          <w:color w:val="auto"/>
        </w:rPr>
      </w:pPr>
      <w:r>
        <w:rPr>
          <w:rFonts w:ascii="Calibri" w:cs="Calibri" w:eastAsia="Calibri" w:hAnsi="Calibri"/>
          <w:sz w:val="21"/>
          <w:szCs w:val="21"/>
          <w:color w:val="auto"/>
        </w:rPr>
        <w:t>Vice President and Head of Investor Relatons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Repare Therapeutcs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0000FF"/>
        </w:rPr>
        <w:t>investor@reparerx.com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8"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2024-11-07T06:14:52Z</dcterms:created>
  <dcterms:modified xsi:type="dcterms:W3CDTF">2024-11-07T06:14:52Z</dcterms:modified>
</cp:coreProperties>
</file>