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540" w:right="1720" w:hanging="3532"/>
        <w:spacing w:after="0" w:line="320" w:lineRule="auto"/>
        <w:tabs>
          <w:tab w:leader="none" w:pos="36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2700" w:right="1720" w:hanging="2692"/>
        <w:spacing w:after="0" w:line="348" w:lineRule="auto"/>
        <w:tabs>
          <w:tab w:leader="none" w:pos="36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 to ___________________</w:t>
      </w: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Repare Therapeutics Inc.</w:t>
      </w:r>
    </w:p>
    <w:p>
      <w:pPr>
        <w:sectPr>
          <w:pgSz w:w="11900" w:h="16838" w:orient="portrait"/>
          <w:cols w:equalWidth="0" w:num="1">
            <w:col w:w="11240"/>
          </w:cols>
          <w:pgMar w:left="320" w:top="557"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Québec</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25"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Not applicable</w:t>
      </w:r>
    </w:p>
    <w:p>
      <w:pPr>
        <w:spacing w:after="0" w:line="8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700" w:space="160"/>
            <w:col w:w="3380"/>
          </w:cols>
          <w:pgMar w:left="320" w:top="557" w:right="339" w:bottom="1440" w:gutter="0" w:footer="0" w:header="0"/>
          <w:type w:val="continuous"/>
        </w:sectPr>
      </w:pPr>
    </w:p>
    <w:tbl>
      <w:tblPr>
        <w:tblLayout w:type="fixed"/>
        <w:tblInd w:w="1060" w:type="dxa"/>
        <w:tblCellMar>
          <w:top w:w="0" w:type="dxa"/>
          <w:left w:w="0" w:type="dxa"/>
          <w:bottom w:w="0" w:type="dxa"/>
          <w:right w:w="0" w:type="dxa"/>
        </w:tblCellMar>
      </w:tblPr>
      <w:tr>
        <w:trPr>
          <w:trHeight w:val="216"/>
        </w:trPr>
        <w:tc>
          <w:tcPr>
            <w:tcW w:w="5280" w:type="dxa"/>
            <w:vAlign w:val="bottom"/>
          </w:tcPr>
          <w:p>
            <w:pPr>
              <w:jc w:val="center"/>
              <w:ind w:right="1676"/>
              <w:spacing w:after="0"/>
              <w:rPr>
                <w:sz w:val="20"/>
                <w:szCs w:val="20"/>
                <w:color w:val="auto"/>
              </w:rPr>
            </w:pPr>
            <w:r>
              <w:rPr>
                <w:rFonts w:ascii="Arial" w:cs="Arial" w:eastAsia="Arial" w:hAnsi="Arial"/>
                <w:sz w:val="18"/>
                <w:szCs w:val="18"/>
                <w:b w:val="1"/>
                <w:bCs w:val="1"/>
                <w:color w:val="auto"/>
                <w:w w:val="91"/>
              </w:rPr>
              <w:t>7171 Frederick-Banting, Building 2, Suite 270</w:t>
            </w:r>
          </w:p>
        </w:tc>
        <w:tc>
          <w:tcPr>
            <w:tcW w:w="2420" w:type="dxa"/>
            <w:vAlign w:val="bottom"/>
            <w:vMerge w:val="restart"/>
          </w:tcPr>
          <w:p>
            <w:pPr>
              <w:ind w:left="1760"/>
              <w:spacing w:after="0"/>
              <w:rPr>
                <w:sz w:val="20"/>
                <w:szCs w:val="20"/>
                <w:color w:val="auto"/>
              </w:rPr>
            </w:pPr>
            <w:r>
              <w:rPr>
                <w:rFonts w:ascii="Arial" w:cs="Arial" w:eastAsia="Arial" w:hAnsi="Arial"/>
                <w:sz w:val="18"/>
                <w:szCs w:val="18"/>
                <w:b w:val="1"/>
                <w:bCs w:val="1"/>
                <w:color w:val="auto"/>
                <w:w w:val="90"/>
              </w:rPr>
              <w:t>H4S 1Z9</w:t>
            </w:r>
          </w:p>
        </w:tc>
        <w:tc>
          <w:tcPr>
            <w:tcW w:w="0" w:type="dxa"/>
            <w:vAlign w:val="bottom"/>
          </w:tcPr>
          <w:p>
            <w:pPr>
              <w:spacing w:after="0"/>
              <w:rPr>
                <w:sz w:val="1"/>
                <w:szCs w:val="1"/>
                <w:color w:val="auto"/>
              </w:rPr>
            </w:pPr>
          </w:p>
        </w:tc>
      </w:tr>
      <w:tr>
        <w:trPr>
          <w:trHeight w:val="225"/>
        </w:trPr>
        <w:tc>
          <w:tcPr>
            <w:tcW w:w="5280" w:type="dxa"/>
            <w:vAlign w:val="bottom"/>
          </w:tcPr>
          <w:p>
            <w:pPr>
              <w:jc w:val="center"/>
              <w:ind w:right="1716"/>
              <w:spacing w:after="0"/>
              <w:rPr>
                <w:sz w:val="20"/>
                <w:szCs w:val="20"/>
                <w:color w:val="auto"/>
              </w:rPr>
            </w:pPr>
            <w:r>
              <w:rPr>
                <w:rFonts w:ascii="Arial" w:cs="Arial" w:eastAsia="Arial" w:hAnsi="Arial"/>
                <w:sz w:val="18"/>
                <w:szCs w:val="18"/>
                <w:b w:val="1"/>
                <w:bCs w:val="1"/>
                <w:color w:val="auto"/>
                <w:w w:val="91"/>
              </w:rPr>
              <w:t>St-Laurent, Québec, Canada</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80" w:type="dxa"/>
            <w:vAlign w:val="bottom"/>
          </w:tcPr>
          <w:p>
            <w:pPr>
              <w:jc w:val="center"/>
              <w:ind w:right="16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ind w:left="176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88"/>
              </w:rPr>
              <w:t>Common shares, no par value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RPTX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84"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5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3, 2023, there were 42,129,651 of the registrant’s common shares,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580" w:type="dxa"/>
            <w:vAlign w:val="bottom"/>
            <w:gridSpan w:val="22"/>
            <w:vMerge w:val="restart"/>
          </w:tcPr>
          <w:p>
            <w:pPr>
              <w:spacing w:after="0"/>
              <w:rPr>
                <w:sz w:val="20"/>
                <w:szCs w:val="20"/>
                <w:color w:val="auto"/>
              </w:rPr>
            </w:pPr>
            <w:r>
              <w:rPr>
                <w:rFonts w:ascii="Arial" w:cs="Arial" w:eastAsia="Arial" w:hAnsi="Arial"/>
                <w:sz w:val="18"/>
                <w:szCs w:val="18"/>
                <w:b w:val="1"/>
                <w:bCs w:val="1"/>
                <w:color w:val="0563C1"/>
              </w:rPr>
              <w:t>SPECIAL NOTE REGARDING FORWARD LOOKING STATEMENTS</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2"/>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440" w:type="dxa"/>
            <w:vAlign w:val="bottom"/>
            <w:tcBorders>
              <w:top w:val="single" w:sz="8" w:color="0563C1"/>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4200" w:type="dxa"/>
            <w:vAlign w:val="bottom"/>
            <w:tcBorders>
              <w:top w:val="single" w:sz="8" w:color="0563C1"/>
            </w:tcBorders>
            <w:gridSpan w:val="13"/>
          </w:tcPr>
          <w:p>
            <w:pPr>
              <w:spacing w:after="0"/>
              <w:rPr>
                <w:sz w:val="20"/>
                <w:szCs w:val="20"/>
                <w:color w:val="auto"/>
              </w:rPr>
            </w:pPr>
            <w:r>
              <w:rPr>
                <w:rFonts w:ascii="Arial" w:cs="Arial" w:eastAsia="Arial" w:hAnsi="Arial"/>
                <w:sz w:val="18"/>
                <w:szCs w:val="18"/>
                <w:color w:val="0563C1"/>
              </w:rPr>
              <w:t>FINANCIAL INFORMATION</w:t>
            </w:r>
          </w:p>
        </w:tc>
        <w:tc>
          <w:tcPr>
            <w:tcW w:w="494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0"/>
          </w:tcPr>
          <w:p>
            <w:pPr>
              <w:spacing w:after="0"/>
              <w:rPr>
                <w:sz w:val="20"/>
                <w:szCs w:val="20"/>
                <w:color w:val="auto"/>
              </w:rPr>
            </w:pPr>
            <w:r>
              <w:rPr>
                <w:rFonts w:ascii="Arial" w:cs="Arial" w:eastAsia="Arial" w:hAnsi="Arial"/>
                <w:sz w:val="18"/>
                <w:szCs w:val="18"/>
                <w:color w:val="0563C1"/>
              </w:rPr>
              <w:t>Financial Statements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40" w:type="dxa"/>
            <w:vAlign w:val="bottom"/>
            <w:tcBorders>
              <w:bottom w:val="single" w:sz="8" w:color="0563C1"/>
            </w:tcBorders>
            <w:gridSpan w:val="11"/>
          </w:tcPr>
          <w:p>
            <w:pPr>
              <w:spacing w:after="0"/>
              <w:rPr>
                <w:sz w:val="20"/>
                <w:szCs w:val="20"/>
                <w:color w:val="auto"/>
              </w:rPr>
            </w:pPr>
            <w:r>
              <w:rPr>
                <w:rFonts w:ascii="Arial" w:cs="Arial" w:eastAsia="Arial" w:hAnsi="Arial"/>
                <w:sz w:val="18"/>
                <w:szCs w:val="18"/>
                <w:color w:val="0563C1"/>
                <w:w w:val="87"/>
              </w:rPr>
              <w:t>Condensed Consolidated Balance Sheets</w:t>
            </w:r>
          </w:p>
        </w:tc>
        <w:tc>
          <w:tcPr>
            <w:tcW w:w="620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140" w:type="dxa"/>
            <w:vAlign w:val="bottom"/>
            <w:gridSpan w:val="20"/>
          </w:tcPr>
          <w:p>
            <w:pPr>
              <w:spacing w:after="0"/>
              <w:rPr>
                <w:sz w:val="20"/>
                <w:szCs w:val="20"/>
                <w:color w:val="auto"/>
              </w:rPr>
            </w:pPr>
            <w:r>
              <w:rPr>
                <w:rFonts w:ascii="Arial" w:cs="Arial" w:eastAsia="Arial" w:hAnsi="Arial"/>
                <w:sz w:val="18"/>
                <w:szCs w:val="18"/>
                <w:color w:val="0563C1"/>
              </w:rPr>
              <w:t>Condensed Consolidated Statements of Operations and Comprehensive Loss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0" w:type="dxa"/>
            <w:vAlign w:val="bottom"/>
            <w:tcBorders>
              <w:top w:val="single" w:sz="8" w:color="0563C1"/>
              <w:bottom w:val="single" w:sz="8" w:color="0563C1"/>
            </w:tcBorders>
            <w:gridSpan w:val="16"/>
          </w:tcPr>
          <w:p>
            <w:pPr>
              <w:spacing w:after="0"/>
              <w:rPr>
                <w:sz w:val="20"/>
                <w:szCs w:val="20"/>
                <w:color w:val="auto"/>
              </w:rPr>
            </w:pPr>
            <w:r>
              <w:rPr>
                <w:rFonts w:ascii="Arial" w:cs="Arial" w:eastAsia="Arial" w:hAnsi="Arial"/>
                <w:sz w:val="18"/>
                <w:szCs w:val="18"/>
                <w:color w:val="0563C1"/>
                <w:w w:val="89"/>
              </w:rPr>
              <w:t>Condensed Consolidated Statements of Shareholders’ Equity</w:t>
            </w:r>
          </w:p>
        </w:tc>
        <w:tc>
          <w:tcPr>
            <w:tcW w:w="1120" w:type="dxa"/>
            <w:vAlign w:val="bottom"/>
            <w:tcBorders>
              <w:top w:val="single" w:sz="8" w:color="0563C1"/>
            </w:tcBorders>
            <w:gridSpan w:val="2"/>
          </w:tcPr>
          <w:p>
            <w:pPr>
              <w:spacing w:after="0"/>
              <w:rPr>
                <w:sz w:val="18"/>
                <w:szCs w:val="18"/>
                <w:color w:val="auto"/>
              </w:rPr>
            </w:pPr>
          </w:p>
        </w:tc>
        <w:tc>
          <w:tcPr>
            <w:tcW w:w="362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88"/>
              </w:rPr>
              <w:t>Condensed Consolidated Statements of Cash Flows</w:t>
            </w:r>
          </w:p>
        </w:tc>
        <w:tc>
          <w:tcPr>
            <w:tcW w:w="5420" w:type="dxa"/>
            <w:vAlign w:val="bottom"/>
            <w:gridSpan w:val="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89"/>
              </w:rPr>
              <w:t>Notes to Unaudited Condensed Consolidated Financial Statements</w:t>
            </w:r>
          </w:p>
        </w:tc>
        <w:tc>
          <w:tcPr>
            <w:tcW w:w="434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0"/>
          </w:tcPr>
          <w:p>
            <w:pPr>
              <w:spacing w:after="0"/>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5"/>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2080" w:type="dxa"/>
            <w:vAlign w:val="bottom"/>
            <w:tcBorders>
              <w:top w:val="single" w:sz="8" w:color="0563C1"/>
            </w:tcBorders>
            <w:gridSpan w:val="4"/>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8"/>
              </w:rPr>
              <w:t>Controls and Procedures</w:t>
            </w:r>
          </w:p>
        </w:tc>
        <w:tc>
          <w:tcPr>
            <w:tcW w:w="20" w:type="dxa"/>
            <w:vAlign w:val="bottom"/>
            <w:tcBorders>
              <w:bottom w:val="single" w:sz="8" w:color="0000EE"/>
            </w:tcBorders>
          </w:tcPr>
          <w:p>
            <w:pPr>
              <w:spacing w:after="0"/>
              <w:rPr>
                <w:sz w:val="18"/>
                <w:szCs w:val="18"/>
                <w:color w:val="auto"/>
              </w:rPr>
            </w:pPr>
          </w:p>
        </w:tc>
        <w:tc>
          <w:tcPr>
            <w:tcW w:w="734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96"/>
              </w:rPr>
              <w:t>OTHER INFORMATION</w:t>
            </w:r>
          </w:p>
        </w:tc>
        <w:tc>
          <w:tcPr>
            <w:tcW w:w="7240" w:type="dxa"/>
            <w:vAlign w:val="bottom"/>
            <w:gridSpan w:val="1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88"/>
              </w:rPr>
              <w:t>Legal Proceedings</w:t>
            </w:r>
          </w:p>
        </w:tc>
        <w:tc>
          <w:tcPr>
            <w:tcW w:w="780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89"/>
              </w:rPr>
              <w:t>Risk Factors</w:t>
            </w:r>
          </w:p>
        </w:tc>
        <w:tc>
          <w:tcPr>
            <w:tcW w:w="8220" w:type="dxa"/>
            <w:vAlign w:val="bottom"/>
            <w:gridSpan w:val="1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89"/>
              </w:rPr>
              <w:t>Unregistered Sales of Equity Securities and Use of Proceeds</w:t>
            </w:r>
          </w:p>
        </w:tc>
        <w:tc>
          <w:tcPr>
            <w:tcW w:w="478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20"/>
          </w:tcPr>
          <w:p>
            <w:pPr>
              <w:spacing w:after="0"/>
              <w:rPr>
                <w:sz w:val="20"/>
                <w:szCs w:val="20"/>
                <w:color w:val="auto"/>
              </w:rPr>
            </w:pPr>
            <w:r>
              <w:rPr>
                <w:rFonts w:ascii="Arial" w:cs="Arial" w:eastAsia="Arial" w:hAnsi="Arial"/>
                <w:sz w:val="18"/>
                <w:szCs w:val="18"/>
                <w:color w:val="0563C1"/>
              </w:rPr>
              <w:t>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rPr>
                <w:sz w:val="20"/>
                <w:szCs w:val="20"/>
                <w:color w:val="auto"/>
              </w:rPr>
            </w:pPr>
            <w:r>
              <w:rPr>
                <w:rFonts w:ascii="Arial" w:cs="Arial" w:eastAsia="Arial" w:hAnsi="Arial"/>
                <w:sz w:val="18"/>
                <w:szCs w:val="18"/>
                <w:color w:val="0563C1"/>
                <w:w w:val="91"/>
              </w:rPr>
              <w:t>Mine Safety Disclosures</w:t>
            </w:r>
          </w:p>
        </w:tc>
        <w:tc>
          <w:tcPr>
            <w:tcW w:w="540" w:type="dxa"/>
            <w:vAlign w:val="bottom"/>
            <w:tcBorders>
              <w:top w:val="single" w:sz="8" w:color="0563C1"/>
            </w:tcBorders>
            <w:gridSpan w:val="4"/>
          </w:tcPr>
          <w:p>
            <w:pPr>
              <w:spacing w:after="0"/>
              <w:rPr>
                <w:sz w:val="18"/>
                <w:szCs w:val="18"/>
                <w:color w:val="auto"/>
              </w:rPr>
            </w:pPr>
          </w:p>
        </w:tc>
        <w:tc>
          <w:tcPr>
            <w:tcW w:w="6820" w:type="dxa"/>
            <w:vAlign w:val="bottom"/>
            <w:gridSpan w:val="1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color w:val="0563C1"/>
                <w:w w:val="92"/>
              </w:rPr>
              <w:t>Other Information</w:t>
            </w:r>
          </w:p>
        </w:tc>
        <w:tc>
          <w:tcPr>
            <w:tcW w:w="7820" w:type="dxa"/>
            <w:vAlign w:val="bottom"/>
            <w:gridSpan w:val="1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20"/>
          </w:tcPr>
          <w:p>
            <w:pPr>
              <w:spacing w:after="0"/>
              <w:rPr>
                <w:sz w:val="20"/>
                <w:szCs w:val="20"/>
                <w:color w:val="auto"/>
              </w:rPr>
            </w:pPr>
            <w:r>
              <w:rPr>
                <w:rFonts w:ascii="Arial" w:cs="Arial" w:eastAsia="Arial" w:hAnsi="Arial"/>
                <w:sz w:val="18"/>
                <w:szCs w:val="18"/>
                <w:color w:val="0563C1"/>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Arial" w:cs="Arial" w:eastAsia="Arial" w:hAnsi="Arial"/>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102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of lunresertib (also known as RP-6306) and any of our other current and future product candidates that we develop;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or pandemic, such as the coronavirus disease, or COVID-19 pandemic;</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evolving impact of macroeconomic events, including the COVID-19 pandemic, changes in inflation, the U.S. Federal Reserve raising interest rates, disruptions in access to bank deposits or lending commitments due to bank failures and the Russia-Ukraine and Hamas-Israel wars, on our operations, supply chains, general economic conditions, our ability to raise additional capital, and the continuity of our business, including our preclinical studies and clinical trials;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enroll patients in clinical trials, to timely and successfully complete those trials and to receive necessary regulatory approvals;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completion of enrollment and availability of data from our current preclinical studies and clinical trials, including our Phase 1 clinical trials of lunresertib;</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of filings with regulatory authorities for any product candidates that we develop;</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rate and degree of market acceptance for any current or future product candidates that we develop;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any milestone or royalty payments under our collaboration and license agreements;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with respect to lunresertib, camonsertib, or any of our other current or future product candidates, as well as innovations by current and future competitors in our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 in this Quarterly Report and elsewhere in our Annual Report on Form 10-K for the fiscal year ended December 31, 2022, filed with the Securities and Exchange Commission (the “SEC”) on February 28, 2023.</w:t>
      </w:r>
    </w:p>
    <w:p>
      <w:pPr>
        <w:spacing w:after="0" w:line="25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macroeconomic events, including the COVID-19 pandemic,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300"/>
              <w:spacing w:after="0"/>
              <w:rPr>
                <w:sz w:val="20"/>
                <w:szCs w:val="20"/>
                <w:color w:val="auto"/>
              </w:rPr>
            </w:pPr>
            <w:r>
              <w:rPr>
                <w:rFonts w:ascii="Arial" w:cs="Arial" w:eastAsia="Arial" w:hAnsi="Arial"/>
                <w:sz w:val="13"/>
                <w:szCs w:val="13"/>
                <w:b w:val="1"/>
                <w:bCs w:val="1"/>
                <w:color w:val="auto"/>
                <w:w w:val="92"/>
              </w:rPr>
              <w:t>As of</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300"/>
              <w:spacing w:after="0"/>
              <w:rPr>
                <w:sz w:val="20"/>
                <w:szCs w:val="20"/>
                <w:color w:val="auto"/>
              </w:rPr>
            </w:pPr>
            <w:r>
              <w:rPr>
                <w:rFonts w:ascii="Arial" w:cs="Arial" w:eastAsia="Arial" w:hAnsi="Arial"/>
                <w:sz w:val="13"/>
                <w:szCs w:val="13"/>
                <w:b w:val="1"/>
                <w:bCs w:val="1"/>
                <w:color w:val="auto"/>
                <w:w w:val="86"/>
              </w:rPr>
              <w:t>As of</w:t>
            </w:r>
          </w:p>
        </w:tc>
      </w:tr>
      <w:tr>
        <w:trPr>
          <w:trHeight w:val="175"/>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60"/>
              <w:spacing w:after="0"/>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2"/>
              </w:rPr>
              <w:t>December 31,</w:t>
            </w:r>
          </w:p>
        </w:tc>
      </w:tr>
      <w:tr>
        <w:trPr>
          <w:trHeight w:val="169"/>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60"/>
              <w:spacing w:after="0"/>
              <w:rPr>
                <w:sz w:val="20"/>
                <w:szCs w:val="20"/>
                <w:color w:val="auto"/>
              </w:rPr>
            </w:pPr>
            <w:r>
              <w:rPr>
                <w:rFonts w:ascii="Arial" w:cs="Arial" w:eastAsia="Arial" w:hAnsi="Arial"/>
                <w:sz w:val="13"/>
                <w:szCs w:val="13"/>
                <w:b w:val="1"/>
                <w:bCs w:val="1"/>
                <w:color w:val="auto"/>
                <w:w w:val="89"/>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60"/>
              <w:spacing w:after="0"/>
              <w:rPr>
                <w:sz w:val="20"/>
                <w:szCs w:val="20"/>
                <w:color w:val="auto"/>
              </w:rPr>
            </w:pPr>
            <w:r>
              <w:rPr>
                <w:rFonts w:ascii="Arial" w:cs="Arial" w:eastAsia="Arial" w:hAnsi="Arial"/>
                <w:sz w:val="13"/>
                <w:szCs w:val="13"/>
                <w:b w:val="1"/>
                <w:bCs w:val="1"/>
                <w:color w:val="auto"/>
                <w:w w:val="96"/>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107,369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159,521</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142,703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184,420</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receivable</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15,739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Other current receivables</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3,731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4,323</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5,551</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5,715</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275,093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353,979</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4,722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4,228</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3,883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5,371</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receivable</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2,312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497</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286,407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364,075</w:t>
            </w:r>
          </w:p>
        </w:tc>
      </w:tr>
      <w:tr>
        <w:trPr>
          <w:trHeight w:val="20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5,438</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461</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20,729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21,645</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liability, current portion</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2,333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2,171</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 current portion</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20,472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53,102</w:t>
            </w: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1,240</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48,972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78,619</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1,591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3,257</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2,476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2,682</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53,039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84,558</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rPr>
              <w:t>Preferred shares, no par value per share; unlimited shares authorized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Arial" w:cs="Arial" w:eastAsia="Arial" w:hAnsi="Arial"/>
                <w:sz w:val="16"/>
                <w:szCs w:val="16"/>
                <w:color w:val="auto"/>
              </w:rPr>
              <w:t>as of September 30, 2023 and December 31, 2022, respectively; 0 shares issued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6"/>
                <w:szCs w:val="16"/>
                <w:color w:val="auto"/>
              </w:rPr>
              <w:t>and outstanding as of September 30, 2023, and December 31, 2022, respectively</w:t>
            </w:r>
          </w:p>
        </w:tc>
        <w:tc>
          <w:tcPr>
            <w:tcW w:w="2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shares, no par value per share; unlimited shares authorized as of</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September 30, 2023 and December 31, 2022; 42,129,251 and 42,036,193 shares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issued and outstanding as of September 30, 2023 and December 31, 2022, respectively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483,184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482,032</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55,515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37,226</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(252 )</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(428 )</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(305,079 )</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(239,313 )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233,368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279,517</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286,407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364,075</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-4268470</wp:posOffset>
            </wp:positionV>
            <wp:extent cx="1111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-3531235</wp:posOffset>
            </wp:positionV>
            <wp:extent cx="11112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3257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-1885315</wp:posOffset>
            </wp:positionV>
            <wp:extent cx="1111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8034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112,545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38,086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(85,357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(loss) gain on foreign exchange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(40 )</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(137 )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(32 )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(73 )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6"/>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75,515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Income tax recovery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75,461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gain: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marketable</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(524 )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Total other comprehensive gain (loss)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(524 )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7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share attributable to common shareholders: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(0.45 )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(1.56 )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(0.45 )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(1.56 )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42,102,685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41,945,617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42,077,857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41,902,554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42,102,685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44,177,376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42,077,857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44,160,481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-3333750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-3333750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-3333750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-3007995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-3007995</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-3007995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-2382520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-2382520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-2382520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-1739265</wp:posOffset>
            </wp:positionV>
            <wp:extent cx="269176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1765" cy="1797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-1276985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-1276985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-950595</wp:posOffset>
            </wp:positionV>
            <wp:extent cx="269176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1765" cy="17970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397"/>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240" w:type="dxa"/>
            <w:vAlign w:val="bottom"/>
            <w:gridSpan w:val="2"/>
          </w:tcPr>
          <w:p>
            <w:pPr>
              <w:jc w:val="center"/>
              <w:ind w:right="297"/>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7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24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180" w:type="dxa"/>
            <w:vAlign w:val="bottom"/>
            <w:gridSpan w:val="2"/>
          </w:tcPr>
          <w:p>
            <w:pPr>
              <w:jc w:val="right"/>
              <w:ind w:right="358"/>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120" w:type="dxa"/>
            <w:vAlign w:val="bottom"/>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7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124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3"/>
                <w:szCs w:val="13"/>
                <w:color w:val="auto"/>
              </w:rPr>
            </w:pPr>
          </w:p>
        </w:tc>
        <w:tc>
          <w:tcPr>
            <w:tcW w:w="1180" w:type="dxa"/>
            <w:vAlign w:val="bottom"/>
            <w:gridSpan w:val="2"/>
          </w:tcPr>
          <w:p>
            <w:pPr>
              <w:jc w:val="right"/>
              <w:ind w:right="538"/>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41,850,162</w:t>
            </w:r>
          </w:p>
        </w:tc>
        <w:tc>
          <w:tcPr>
            <w:tcW w:w="24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480,699</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17,988</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(210,266</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288,421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3"/>
                <w:szCs w:val="13"/>
                <w:color w:val="auto"/>
              </w:rPr>
              <w:t>12,235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(18 )</w:t>
            </w: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6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shares under the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120"/>
              <w:spacing w:after="0"/>
              <w:rPr>
                <w:sz w:val="20"/>
                <w:szCs w:val="20"/>
                <w:color w:val="auto"/>
              </w:rPr>
            </w:pPr>
            <w:r>
              <w:rPr>
                <w:rFonts w:ascii="Arial" w:cs="Arial" w:eastAsia="Arial" w:hAnsi="Arial"/>
                <w:sz w:val="13"/>
                <w:szCs w:val="13"/>
                <w:color w:val="auto"/>
              </w:rPr>
              <w:t>2020 Employee Share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16,807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(34,757 )</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(34,757 )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Balance, March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41,879,204</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481,048</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22,635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(245,023 )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258,660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Exercise of stock options</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44,268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332</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(127</w:t>
            </w:r>
          </w:p>
        </w:tc>
        <w:tc>
          <w:tcPr>
            <w:tcW w:w="220" w:type="dxa"/>
            <w:vAlign w:val="bottom"/>
            <w:shd w:val="clear" w:color="auto" w:fill="CFF0FC"/>
          </w:tcPr>
          <w:p>
            <w:pPr>
              <w:jc w:val="right"/>
              <w:ind w:right="97"/>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(38,093 )</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(38,093 )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Balance, June 30, 2022</w:t>
            </w:r>
          </w:p>
        </w:tc>
        <w:tc>
          <w:tcPr>
            <w:tcW w:w="1120" w:type="dxa"/>
            <w:vAlign w:val="bottom"/>
          </w:tcPr>
          <w:p>
            <w:pPr>
              <w:jc w:val="right"/>
              <w:spacing w:after="0"/>
              <w:rPr>
                <w:sz w:val="20"/>
                <w:szCs w:val="20"/>
                <w:color w:val="auto"/>
              </w:rPr>
            </w:pPr>
            <w:r>
              <w:rPr>
                <w:rFonts w:ascii="Arial" w:cs="Arial" w:eastAsia="Arial" w:hAnsi="Arial"/>
                <w:sz w:val="13"/>
                <w:szCs w:val="13"/>
                <w:color w:val="auto"/>
              </w:rPr>
              <w:t>41,923,472</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481,380</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27,253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(283,116 )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225,517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Exercise of stock options</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16,930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jc w:val="right"/>
              <w:ind w:right="97"/>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common shares under the</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2020 Employee Share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21,108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(103 )</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(524 )</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(524 )</w:t>
            </w:r>
          </w:p>
        </w:tc>
        <w:tc>
          <w:tcPr>
            <w:tcW w:w="0" w:type="dxa"/>
            <w:vAlign w:val="bottom"/>
          </w:tcPr>
          <w:p>
            <w:pPr>
              <w:spacing w:after="0"/>
              <w:rPr>
                <w:sz w:val="1"/>
                <w:szCs w:val="1"/>
                <w:color w:val="auto"/>
              </w:rPr>
            </w:pPr>
          </w:p>
        </w:tc>
      </w:tr>
      <w:tr>
        <w:trPr>
          <w:trHeight w:val="162"/>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75,461</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75,461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120" w:type="dxa"/>
            <w:vAlign w:val="bottom"/>
          </w:tcPr>
          <w:p>
            <w:pPr>
              <w:jc w:val="right"/>
              <w:spacing w:after="0"/>
              <w:rPr>
                <w:sz w:val="20"/>
                <w:szCs w:val="20"/>
                <w:color w:val="auto"/>
              </w:rPr>
            </w:pPr>
            <w:r>
              <w:rPr>
                <w:rFonts w:ascii="Arial" w:cs="Arial" w:eastAsia="Arial" w:hAnsi="Arial"/>
                <w:sz w:val="13"/>
                <w:szCs w:val="13"/>
                <w:color w:val="auto"/>
              </w:rPr>
              <w:t>41,961,510</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481,782</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32,173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(524 )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(207,655 )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305,776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42,036,193</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482,032</w:t>
            </w:r>
          </w:p>
        </w:tc>
        <w:tc>
          <w:tcPr>
            <w:tcW w:w="3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37,226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(428 )</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(239,313 )</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279,517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3"/>
                <w:szCs w:val="13"/>
                <w:color w:val="auto"/>
              </w:rPr>
              <w:t>2,000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(3 )</w:t>
            </w: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6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shares under the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120"/>
              <w:spacing w:after="0"/>
              <w:rPr>
                <w:sz w:val="20"/>
                <w:szCs w:val="20"/>
                <w:color w:val="auto"/>
              </w:rPr>
            </w:pPr>
            <w:r>
              <w:rPr>
                <w:rFonts w:ascii="Arial" w:cs="Arial" w:eastAsia="Arial" w:hAnsi="Arial"/>
                <w:sz w:val="13"/>
                <w:szCs w:val="13"/>
                <w:color w:val="auto"/>
              </w:rPr>
              <w:t>2020 Employee Share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41,703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(229 )</w:t>
            </w: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gain</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(34,941 )</w:t>
            </w: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(34,941 )</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42,079,896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482,677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43,056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(274,254</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251,244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60" w:type="dxa"/>
            <w:vAlign w:val="bottom"/>
          </w:tcPr>
          <w:p>
            <w:pPr>
              <w:ind w:left="20"/>
              <w:spacing w:after="0" w:line="142" w:lineRule="exact"/>
              <w:rPr>
                <w:sz w:val="20"/>
                <w:szCs w:val="20"/>
                <w:color w:val="auto"/>
              </w:rPr>
            </w:pPr>
            <w:r>
              <w:rPr>
                <w:rFonts w:ascii="Arial" w:cs="Arial" w:eastAsia="Arial" w:hAnsi="Arial"/>
                <w:sz w:val="13"/>
                <w:szCs w:val="13"/>
                <w:color w:val="auto"/>
              </w:rPr>
              <w:t>Exercise of stock options</w:t>
            </w: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14,050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62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(22 )</w:t>
            </w:r>
          </w:p>
        </w:tc>
        <w:tc>
          <w:tcPr>
            <w:tcW w:w="100" w:type="dxa"/>
            <w:vAlign w:val="bottom"/>
          </w:tcPr>
          <w:p>
            <w:pPr>
              <w:spacing w:after="0"/>
              <w:rPr>
                <w:sz w:val="12"/>
                <w:szCs w:val="12"/>
                <w:color w:val="auto"/>
              </w:rPr>
            </w:pPr>
          </w:p>
        </w:tc>
        <w:tc>
          <w:tcPr>
            <w:tcW w:w="1240" w:type="dxa"/>
            <w:vAlign w:val="bottom"/>
            <w:gridSpan w:val="2"/>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78"/>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(189 )</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(189 )</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(11,946 )</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(11,946 )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Balance, June 30, 2023</w:t>
            </w:r>
          </w:p>
        </w:tc>
        <w:tc>
          <w:tcPr>
            <w:tcW w:w="1120" w:type="dxa"/>
            <w:vAlign w:val="bottom"/>
          </w:tcPr>
          <w:p>
            <w:pPr>
              <w:jc w:val="right"/>
              <w:spacing w:after="0"/>
              <w:rPr>
                <w:sz w:val="20"/>
                <w:szCs w:val="20"/>
                <w:color w:val="auto"/>
              </w:rPr>
            </w:pPr>
            <w:r>
              <w:rPr>
                <w:rFonts w:ascii="Arial" w:cs="Arial" w:eastAsia="Arial" w:hAnsi="Arial"/>
                <w:sz w:val="13"/>
                <w:szCs w:val="13"/>
                <w:color w:val="auto"/>
              </w:rPr>
              <w:t>42,093,946</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482,739</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49,299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(424 )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(286,200 )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245,414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Exercise of stock options</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jc w:val="right"/>
              <w:ind w:right="97"/>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common shares under the</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2020 Employee Share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33,905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Other comprehensive gain</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(18,879 )</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(18,879 )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2023</w:t>
            </w:r>
          </w:p>
        </w:tc>
        <w:tc>
          <w:tcPr>
            <w:tcW w:w="1120" w:type="dxa"/>
            <w:vAlign w:val="bottom"/>
          </w:tcPr>
          <w:p>
            <w:pPr>
              <w:jc w:val="right"/>
              <w:spacing w:after="0"/>
              <w:rPr>
                <w:sz w:val="20"/>
                <w:szCs w:val="20"/>
                <w:color w:val="auto"/>
              </w:rPr>
            </w:pPr>
            <w:r>
              <w:rPr>
                <w:rFonts w:ascii="Arial" w:cs="Arial" w:eastAsia="Arial" w:hAnsi="Arial"/>
                <w:sz w:val="13"/>
                <w:szCs w:val="13"/>
                <w:color w:val="auto"/>
              </w:rPr>
              <w:t>42,129,251</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483,184</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55,515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(252 )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(305,079 )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233,368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-3651250</wp:posOffset>
            </wp:positionV>
            <wp:extent cx="7683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-3651250</wp:posOffset>
            </wp:positionV>
            <wp:extent cx="685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-3651250</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-3651250</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-3651250</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-3205480</wp:posOffset>
            </wp:positionV>
            <wp:extent cx="7683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-3205480</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-3205480</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-3205480</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-3205480</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-2468245</wp:posOffset>
            </wp:positionV>
            <wp:extent cx="76835"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-2468245</wp:posOffset>
            </wp:positionV>
            <wp:extent cx="68580" cy="342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-2468245</wp:posOffset>
            </wp:positionV>
            <wp:extent cx="6858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-2468245</wp:posOffset>
            </wp:positionV>
            <wp:extent cx="6858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-2468245</wp:posOffset>
            </wp:positionV>
            <wp:extent cx="68580"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342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-1310640</wp:posOffset>
            </wp:positionV>
            <wp:extent cx="435483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54830" cy="12890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-873760</wp:posOffset>
            </wp:positionV>
            <wp:extent cx="7683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-873760</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-873760</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-873760</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-873760</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-136525</wp:posOffset>
            </wp:positionV>
            <wp:extent cx="7683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-136525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-136525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-136525</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w:t>
      </w:r>
    </w:p>
    <w:p>
      <w:pPr>
        <w:spacing w:after="0" w:line="253" w:lineRule="exact"/>
        <w:rPr>
          <w:sz w:val="20"/>
          <w:szCs w:val="20"/>
          <w:color w:val="auto"/>
        </w:rPr>
      </w:pPr>
    </w:p>
    <w:p>
      <w:pPr>
        <w:jc w:val="center"/>
        <w:ind w:left="7640"/>
        <w:spacing w:after="0"/>
        <w:rPr>
          <w:sz w:val="20"/>
          <w:szCs w:val="20"/>
          <w:color w:val="auto"/>
        </w:rPr>
      </w:pPr>
      <w:r>
        <w:rPr>
          <w:rFonts w:ascii="Arial" w:cs="Arial" w:eastAsia="Arial" w:hAnsi="Arial"/>
          <w:sz w:val="13"/>
          <w:szCs w:val="13"/>
          <w:b w:val="1"/>
          <w:bCs w:val="1"/>
          <w:color w:val="auto"/>
        </w:rPr>
        <w:t>Nine Months Ended</w:t>
      </w:r>
    </w:p>
    <w:p>
      <w:pPr>
        <w:spacing w:after="0" w:line="13" w:lineRule="exact"/>
        <w:rPr>
          <w:sz w:val="20"/>
          <w:szCs w:val="20"/>
          <w:color w:val="auto"/>
        </w:rPr>
      </w:pPr>
    </w:p>
    <w:p>
      <w:pPr>
        <w:jc w:val="center"/>
        <w:ind w:left="764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6985</wp:posOffset>
            </wp:positionV>
            <wp:extent cx="21342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Net (loss) income for the period</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(65,766 )</w:t>
            </w: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Share-based compensation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14,553</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expense</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loss (gain)</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(230 )</w:t>
            </w: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Net (accretion)/amortization of marketable securities</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(5,809 )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(733 )</w:t>
            </w: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w:t>
            </w:r>
          </w:p>
        </w:tc>
        <w:tc>
          <w:tcPr>
            <w:tcW w:w="9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(3,857 )</w:t>
            </w: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Other current receivables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(10,797 )</w:t>
            </w: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non-current assets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7,066</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(916 )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(1,291 )</w:t>
            </w: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Operating lease liability, current portion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(19,291 )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(1,152 )</w:t>
            </w: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Operating lease liability, net of current portion</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(1,771 )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(1,672 )</w:t>
            </w: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(32,836 )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20,994</w:t>
            </w:r>
          </w:p>
        </w:tc>
        <w:tc>
          <w:tcPr>
            <w:tcW w:w="100" w:type="dxa"/>
            <w:vAlign w:val="bottom"/>
            <w:shd w:val="clear" w:color="auto" w:fill="CFF0FC"/>
          </w:tcPr>
          <w:p>
            <w:pPr>
              <w:spacing w:after="0"/>
              <w:rPr>
                <w:sz w:val="19"/>
                <w:szCs w:val="19"/>
                <w:color w:val="auto"/>
              </w:rPr>
            </w:pPr>
          </w:p>
        </w:tc>
      </w:tr>
      <w:tr>
        <w:trPr>
          <w:trHeight w:val="23"/>
        </w:trPr>
        <w:tc>
          <w:tcPr>
            <w:tcW w:w="778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6"/>
                <w:szCs w:val="16"/>
                <w:color w:val="auto"/>
              </w:rPr>
              <w:t>Net cash (used in) provided by operating activities</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(99,002 )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29,959</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(1,540 )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(2,322 )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222,000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6,400</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(174,298 )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(213,914 )</w:t>
            </w:r>
          </w:p>
        </w:tc>
      </w:tr>
      <w:tr>
        <w:trPr>
          <w:trHeight w:val="23"/>
        </w:trPr>
        <w:tc>
          <w:tcPr>
            <w:tcW w:w="7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(209,836 )</w:t>
            </w:r>
          </w:p>
        </w:tc>
      </w:tr>
      <w:tr>
        <w:trPr>
          <w:trHeight w:val="220"/>
        </w:trPr>
        <w:tc>
          <w:tcPr>
            <w:tcW w:w="77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Proceeds from issuance of common stock under the 2020 Employee Share Purchase Plan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 held</w:t>
            </w:r>
          </w:p>
        </w:tc>
        <w:tc>
          <w:tcPr>
            <w:tcW w:w="9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(74 )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(52,152 )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(179,236 )</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334,427</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107,369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155,191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7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Property and equipment purchases incurred but not yet paid</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Right-of-use asset obtained in exchange for new operating lease liability</w:t>
            </w:r>
          </w:p>
        </w:tc>
        <w:tc>
          <w:tcPr>
            <w:tcW w:w="920" w:type="dxa"/>
            <w:vAlign w:val="bottom"/>
            <w:tcBorders>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-2759710</wp:posOffset>
            </wp:positionV>
            <wp:extent cx="7747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-1859280</wp:posOffset>
            </wp:positionV>
            <wp:extent cx="7747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-1426210</wp:posOffset>
            </wp:positionV>
            <wp:extent cx="7145020" cy="321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-659765</wp:posOffset>
            </wp:positionV>
            <wp:extent cx="121729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1729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U.S. dollars, unless otherwise specified)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Repare Therapeutics Inc. (“Repare” or the “Company”) is a precision medicine oncology company focused on the development of synthetic lethality-based therapies for patients with cancer. The Company was incorporated under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on September 6, 2016. On June 23, 2020, immediately prior to the completion of its initial public offering (the “IPO”), the Company was continued as a corporation under the </w:t>
      </w:r>
      <w:r>
        <w:rPr>
          <w:rFonts w:ascii="Arial" w:cs="Arial" w:eastAsia="Arial" w:hAnsi="Arial"/>
          <w:sz w:val="16"/>
          <w:szCs w:val="16"/>
          <w:i w:val="1"/>
          <w:iCs w:val="1"/>
          <w:color w:val="auto"/>
        </w:rPr>
        <w:t>Business Corporations Act (Québec)</w:t>
      </w:r>
      <w:r>
        <w:rPr>
          <w:rFonts w:ascii="Arial" w:cs="Arial" w:eastAsia="Arial" w:hAnsi="Arial"/>
          <w:sz w:val="16"/>
          <w:szCs w:val="16"/>
          <w:color w:val="auto"/>
        </w:rPr>
        <w:t>. The Company’s common shares are listed on the Nasdaq Global Select Market under the ticker symbol “RPTX”.</w:t>
      </w:r>
    </w:p>
    <w:p>
      <w:pPr>
        <w:spacing w:after="0" w:line="261"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509"/>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unaudited condensed consolidated financial statements have been prepared on the same basis as the audited annual consolidated financial statements as of and for the year ended December 31, 2022, and, in the opinion of management, reflect all adjustments, consisting of normal recurring adjustments, necessary for the fair presentation of the Company’s consolidated financial position as of September 30, 2023, the consolidated results of its operations for the three and nine months ended September 30, 2023 and 2022, its statements of shareholders’ equity for the three and nine months ended September 30, 2023 and 2022 and its consolidated cash flows for the nine months ended September 30, 2023 and 2022.</w:t>
      </w:r>
    </w:p>
    <w:p>
      <w:pPr>
        <w:spacing w:after="0" w:line="16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These unaudited condensed consolidated financial statements should be read in conjunction with the Company’s audited consolidated financial statements and the accompanying notes for the year ended December 31, 2022 included in the Company’s Annual Report on Form 10-K, filed with the Securities and Exchange Commission (the “SEC”) on February 28, 2023 (the “Annual Report”). The condensed consolidated balance sheet data as of December 31, 2022 presented for comparative purposes was derived from the Company’s audited consolidated financial statements but does not include all disclosures required by U.S. GAAP. The results for the three and nine months ended September 30, 2023 are not necessarily indicative of the operating results to be expected for the full year or for any other subsequent interim period.</w:t>
      </w:r>
    </w:p>
    <w:p>
      <w:pPr>
        <w:spacing w:after="0" w:line="1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2022 included in the Annual Report. There have been no changes to the Company's significant accounting policies since the date of the audited consolidated financial statements for the year ended December 31, 2022 included in the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These unaudited condensed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unaudited condensed consolidated financial statements include, but are not limited to, estimates related to revenue recognition, accrued research and development expenses, share-based compensation, right-of-use assets and lease liabilities and income taxes. The Company bases its estimates on historical experience and other market specific or other relevant assumptions that it believes to be reasonable under the circumstances. Actual results could differ from those estimates. Changes in estimates are recorded in the period in which they become known.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Cash and Cash Equivalents and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2023 and December 31, 2022, cash and cash equivalents and marketable securities were comprised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Unrealized Gains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Unrealized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7"/>
        </w:trPr>
        <w:tc>
          <w:tcPr>
            <w:tcW w:w="584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38,643</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38,643</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68,726</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68,726</w:t>
            </w:r>
          </w:p>
        </w:tc>
        <w:tc>
          <w:tcPr>
            <w:tcW w:w="100" w:type="dxa"/>
            <w:vAlign w:val="bottom"/>
          </w:tcPr>
          <w:p>
            <w:pPr>
              <w:spacing w:after="0"/>
              <w:rPr>
                <w:sz w:val="20"/>
                <w:szCs w:val="20"/>
                <w:color w:val="auto"/>
              </w:rPr>
            </w:pPr>
          </w:p>
        </w:tc>
      </w:tr>
      <w:tr>
        <w:trPr>
          <w:trHeight w:val="283"/>
        </w:trPr>
        <w:tc>
          <w:tcPr>
            <w:tcW w:w="584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107,369</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107,369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17"/>
        </w:trPr>
        <w:tc>
          <w:tcPr>
            <w:tcW w:w="5840" w:type="dxa"/>
            <w:vAlign w:val="bottom"/>
          </w:tcPr>
          <w:p>
            <w:pPr>
              <w:ind w:left="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and government-sponsored enterprises</w:t>
            </w: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42,159</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42,095</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100,797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(189 )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100,608</w:t>
            </w:r>
          </w:p>
        </w:tc>
        <w:tc>
          <w:tcPr>
            <w:tcW w:w="100" w:type="dxa"/>
            <w:vAlign w:val="bottom"/>
          </w:tcPr>
          <w:p>
            <w:pPr>
              <w:spacing w:after="0"/>
              <w:rPr>
                <w:sz w:val="21"/>
                <w:szCs w:val="21"/>
                <w:color w:val="auto"/>
              </w:rPr>
            </w:pPr>
          </w:p>
        </w:tc>
      </w:tr>
      <w:tr>
        <w:trPr>
          <w:trHeight w:val="277"/>
        </w:trPr>
        <w:tc>
          <w:tcPr>
            <w:tcW w:w="5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142,956</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7"/>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840" w:type="dxa"/>
            <w:vAlign w:val="bottom"/>
            <w:shd w:val="clear" w:color="auto" w:fill="CFF0FC"/>
          </w:tcPr>
          <w:p>
            <w:pPr>
              <w:ind w:left="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40"/>
              <w:spacing w:after="0"/>
              <w:rPr>
                <w:sz w:val="20"/>
                <w:szCs w:val="20"/>
                <w:color w:val="auto"/>
              </w:rPr>
            </w:pPr>
            <w:r>
              <w:rPr>
                <w:rFonts w:ascii="Arial" w:cs="Arial" w:eastAsia="Arial" w:hAnsi="Arial"/>
                <w:sz w:val="18"/>
                <w:szCs w:val="18"/>
                <w:color w:val="auto"/>
              </w:rPr>
              <w:t>Cash</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116,526</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159,521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159,521</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40" w:type="dxa"/>
            <w:vAlign w:val="bottom"/>
            <w:shd w:val="clear" w:color="auto" w:fill="CFF0FC"/>
          </w:tcPr>
          <w:p>
            <w:pPr>
              <w:ind w:left="60"/>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ind w:left="240"/>
              <w:spacing w:after="0"/>
              <w:rPr>
                <w:sz w:val="20"/>
                <w:szCs w:val="20"/>
                <w:color w:val="auto"/>
              </w:rPr>
            </w:pPr>
            <w:r>
              <w:rPr>
                <w:rFonts w:ascii="Arial" w:cs="Arial" w:eastAsia="Arial" w:hAnsi="Arial"/>
                <w:sz w:val="18"/>
                <w:szCs w:val="18"/>
                <w:color w:val="auto"/>
              </w:rPr>
              <w:t>U.S. Treasury and government-sponsored enterprises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184,848</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(433 )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184,420</w:t>
            </w:r>
          </w:p>
        </w:tc>
        <w:tc>
          <w:tcPr>
            <w:tcW w:w="100" w:type="dxa"/>
            <w:vAlign w:val="bottom"/>
          </w:tcPr>
          <w:p>
            <w:pPr>
              <w:spacing w:after="0"/>
              <w:rPr>
                <w:sz w:val="21"/>
                <w:szCs w:val="21"/>
                <w:color w:val="auto"/>
              </w:rPr>
            </w:pPr>
          </w:p>
        </w:tc>
      </w:tr>
      <w:tr>
        <w:trPr>
          <w:trHeight w:val="277"/>
        </w:trPr>
        <w:tc>
          <w:tcPr>
            <w:tcW w:w="5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184,848</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-2296795</wp:posOffset>
            </wp:positionV>
            <wp:extent cx="2691765" cy="34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1765" cy="34290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-1482725</wp:posOffset>
            </wp:positionV>
            <wp:extent cx="2691765"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1765" cy="3346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-685165</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-685165</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-685165</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Interest receivable was $0.3 million and $0.4 million as of September 30, 2023 and December 31, 2022, respectively, and is included in other current receivables.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held available-for-sale marketable securities with an aggregate fair value of $142.7 million and $157.9 million that were in an unrealized loss position as of September 30, 2023 and December 31, 2022, respectively. These marketable securities have been in an unrealized loss position for less than twelve months. The unrealized losses as of September 30, 2023 and December 31, 2022, were not attributed to credit risk but were primarily associated with changes in interest rates and market liquidity. The Company does not intend to sell these securities and it is more likely than not that it will hold these investments for a period of time sufficient to recover the amortized cost. As a result, the Company did not record an allowance for credit losses or other impairment charges for its marketable securities for the three and nine months ended September 30, 2023 and 2022.</w:t>
      </w:r>
    </w:p>
    <w:p>
      <w:pPr>
        <w:spacing w:after="0" w:line="16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recognized $0.2 million of net unrealized gain for the three and nine months ended September 30, 2023, respectively, and $0.5 million of net unrealized loss for the three and nine months ended September 30, 2022, respectively, in other comprehensive loss.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maturities of the Company’s marketable securities as of September 30, 2023 and December 31, 2022 are less than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2"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right="20" w:firstLine="509"/>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Financial Assets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74"/>
              </w:rPr>
              <w:t>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 included in cash and cash equivalents</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68,726</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U.S. Treasury and government-sponsored enterprises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4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37"/>
        </w:trPr>
        <w:tc>
          <w:tcPr>
            <w:tcW w:w="5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00" w:type="dxa"/>
            <w:vAlign w:val="bottom"/>
          </w:tcPr>
          <w:p>
            <w:pPr>
              <w:ind w:left="60"/>
              <w:spacing w:after="0"/>
              <w:rPr>
                <w:sz w:val="20"/>
                <w:szCs w:val="20"/>
                <w:color w:val="auto"/>
              </w:rPr>
            </w:pPr>
            <w:r>
              <w:rPr>
                <w:rFonts w:ascii="Arial" w:cs="Arial" w:eastAsia="Arial" w:hAnsi="Arial"/>
                <w:sz w:val="18"/>
                <w:szCs w:val="18"/>
                <w:color w:val="auto"/>
              </w:rPr>
              <w:t>Total financial assets</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211,429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68,726</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142,703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5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7"/>
        </w:trPr>
        <w:tc>
          <w:tcPr>
            <w:tcW w:w="5700" w:type="dxa"/>
            <w:vAlign w:val="bottom"/>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 included in cash and cash equivalents</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U.S. Treasury and government-sponsored enterprises</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184,420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184,420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00" w:type="dxa"/>
            <w:vAlign w:val="bottom"/>
          </w:tcPr>
          <w:p>
            <w:pPr>
              <w:ind w:left="60"/>
              <w:spacing w:after="0"/>
              <w:rPr>
                <w:sz w:val="20"/>
                <w:szCs w:val="20"/>
                <w:color w:val="auto"/>
              </w:rPr>
            </w:pPr>
            <w:r>
              <w:rPr>
                <w:rFonts w:ascii="Arial" w:cs="Arial" w:eastAsia="Arial" w:hAnsi="Arial"/>
                <w:sz w:val="18"/>
                <w:szCs w:val="18"/>
                <w:color w:val="auto"/>
              </w:rPr>
              <w:t>Total financial assets</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227,415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42,995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184,420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-1259205</wp:posOffset>
            </wp:positionV>
            <wp:extent cx="68580"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-1259205</wp:posOffset>
            </wp:positionV>
            <wp:extent cx="68580" cy="342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-1259205</wp:posOffset>
            </wp:positionV>
            <wp:extent cx="68580"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When developing fair value estimates, the Company maximizes the use of observable inputs and minimizes the use of unobservable inputs. When available, the Company uses quoted market prices to measure the fair value. In determining the fair values at each date presented above, the Company relied on quoted prices for similar securities in active markets or using other inputs that are observable or can be corroborated by observable market data.</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2023, there were no transfers between fair value measure levels.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receivable</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Income tax receivable in the amount of $18.1 million as of September 30, 2023 reflects the overpayment of tax installments by the Company’s U.S. subsidiary, which resulted from its compliance with the requirement to capitalize and amortize certain specified research and experimental expenditures subject to Section 174 of the Internal Revenue Code of 1986, as amended (“IRC”) (as per the Tax Cuts and Jobs Act of 2017), prior to the issuance of interim guidance on September 8, 2023 by the Department of Treasury and the Internal Revenue Service on IRC Section 174 that supports the deduction of certain expenses that would otherwise be treated as specified research and experimental expenditures. The current portion of the income tax receivable is approximately $15.7 million, which primarily consists of an overpayment of tax installments by the Company’s U.S. subsidiary for the 2022 fiscal year, and the long-term portion is approximately $2.3 million. The Company’s U.S. subsidiary received a refund in the amount of $4.8 million in October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Current Receivables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receivables as of September 30, 2023 and December 31, 2022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8"/>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tax credits receivable</w:t>
            </w:r>
          </w:p>
        </w:tc>
        <w:tc>
          <w:tcPr>
            <w:tcW w:w="3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Collaboration revenue receivable</w:t>
            </w: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Total other current receivables</w:t>
            </w:r>
          </w:p>
        </w:tc>
        <w:tc>
          <w:tcPr>
            <w:tcW w:w="3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3,731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80" w:type="dxa"/>
            <w:vAlign w:val="bottom"/>
            <w:vMerge w:val="restart"/>
          </w:tcPr>
          <w:p>
            <w:pPr>
              <w:jc w:val="right"/>
              <w:ind w:right="19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-685165</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September 30, 2023 and December 31, 2022 consisted of the following:</w:t>
      </w:r>
    </w:p>
    <w:p>
      <w:pPr>
        <w:spacing w:after="0" w:line="218" w:lineRule="exact"/>
        <w:rPr>
          <w:sz w:val="20"/>
          <w:szCs w:val="20"/>
          <w:color w:val="auto"/>
        </w:rPr>
      </w:pPr>
    </w:p>
    <w:tbl>
      <w:tblPr>
        <w:tblLayout w:type="fixed"/>
        <w:tblInd w:w="7740" w:type="dxa"/>
        <w:tblCellMar>
          <w:top w:w="0" w:type="dxa"/>
          <w:left w:w="0" w:type="dxa"/>
          <w:bottom w:w="0" w:type="dxa"/>
          <w:right w:w="0" w:type="dxa"/>
        </w:tblCellMar>
      </w:tblPr>
      <w:tr>
        <w:trPr>
          <w:trHeight w:val="161"/>
        </w:trPr>
        <w:tc>
          <w:tcPr>
            <w:tcW w:w="124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r>
      <w:tr>
        <w:trPr>
          <w:trHeight w:val="180"/>
        </w:trPr>
        <w:tc>
          <w:tcPr>
            <w:tcW w:w="1240" w:type="dxa"/>
            <w:vAlign w:val="bottom"/>
          </w:tcPr>
          <w:p>
            <w:pPr>
              <w:spacing w:after="0"/>
              <w:rPr>
                <w:sz w:val="15"/>
                <w:szCs w:val="15"/>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ind w:left="20"/>
        <w:spacing w:after="0"/>
        <w:rPr>
          <w:sz w:val="20"/>
          <w:szCs w:val="20"/>
          <w:color w:val="auto"/>
        </w:rPr>
      </w:pPr>
      <w:r>
        <w:rPr>
          <w:rFonts w:ascii="Arial" w:cs="Arial" w:eastAsia="Arial" w:hAnsi="Arial"/>
          <w:sz w:val="18"/>
          <w:szCs w:val="18"/>
          <w:color w:val="auto"/>
        </w:rPr>
        <w:t>Accrued compensation and benefits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research and development expense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accrued expenses and other current liabilities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and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revenue from collaboration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900" w:type="dxa"/>
        <w:tblCellMar>
          <w:top w:w="0" w:type="dxa"/>
          <w:left w:w="0" w:type="dxa"/>
          <w:bottom w:w="0" w:type="dxa"/>
          <w:right w:w="0" w:type="dxa"/>
        </w:tblCellMar>
      </w:tblPr>
      <w:tr>
        <w:trPr>
          <w:trHeight w:val="230"/>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5,105</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5,616</w:t>
            </w:r>
          </w:p>
        </w:tc>
      </w:tr>
      <w:tr>
        <w:trPr>
          <w:trHeight w:val="231"/>
        </w:trPr>
        <w:tc>
          <w:tcPr>
            <w:tcW w:w="5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15,013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15,078</w:t>
            </w:r>
          </w:p>
        </w:tc>
      </w:tr>
      <w:tr>
        <w:trPr>
          <w:trHeight w:val="243"/>
        </w:trPr>
        <w:tc>
          <w:tcPr>
            <w:tcW w:w="5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w:t>
            </w:r>
          </w:p>
        </w:tc>
      </w:tr>
      <w:tr>
        <w:trPr>
          <w:trHeight w:val="250"/>
        </w:trPr>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r>
      <w:tr>
        <w:trPr>
          <w:trHeight w:val="237"/>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20,729</w:t>
            </w: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21,645</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688"/>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69"/>
        </w:trPr>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388"/>
              <w:spacing w:after="0"/>
              <w:rPr>
                <w:sz w:val="20"/>
                <w:szCs w:val="20"/>
                <w:color w:val="auto"/>
              </w:rPr>
            </w:pPr>
            <w:r>
              <w:rPr>
                <w:rFonts w:ascii="Arial" w:cs="Arial" w:eastAsia="Arial" w:hAnsi="Arial"/>
                <w:sz w:val="13"/>
                <w:szCs w:val="13"/>
                <w:b w:val="1"/>
                <w:bCs w:val="1"/>
                <w:color w:val="auto"/>
                <w:w w:val="74"/>
              </w:rPr>
              <w:t>thousands)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p>
    <w:p>
      <w:pPr>
        <w:sectPr>
          <w:pgSz w:w="11900" w:h="16838" w:orient="portrait"/>
          <w:cols w:equalWidth="0" w:num="2">
            <w:col w:w="5480" w:space="360"/>
            <w:col w:w="540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Roche Collaboration and License Agreement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112,344</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11,796</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112,344</w:t>
            </w:r>
          </w:p>
        </w:tc>
        <w:tc>
          <w:tcPr>
            <w:tcW w:w="100" w:type="dxa"/>
            <w:vAlign w:val="bottom"/>
            <w:shd w:val="clear" w:color="auto" w:fill="CFF0FC"/>
          </w:tcPr>
          <w:p>
            <w:pPr>
              <w:spacing w:after="0"/>
              <w:rPr>
                <w:sz w:val="19"/>
                <w:szCs w:val="19"/>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Bristol Myers Squibb Collaboration and License Agreement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Ono Collaboration Agreement</w:t>
            </w:r>
          </w:p>
        </w:tc>
        <w:tc>
          <w:tcPr>
            <w:tcW w:w="4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112,545</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38,086</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113,632</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Roche Collaboration and License Agreement</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June 2022, the Company entered into a collaboration and license agreement (the “Roche Agreement”) with Hoffmann-La Roche Inc. and F. Hoffmann-La Roche Ltd (collectively, “Roche”) regarding the development and commercialization of the Company’s product candidate camonsertib (also known as RP-3500) and specified other Ataxia-Telangiectasia and Rad3-related protein kinase (“ATR”) inhibitors (the “Licensed Products”). The transaction was subject to clearance under the Hart-Scott-Rodino Antitrust Improvements Act of 1976 and other customary closing conditions, which were met on July 13, 2022 (the “Effective Date”). Pursuant to the Roche Agreement, the Company granted Roche a worldwide, perpetual, exclusive, sublicensable license to develop, manufacture, and commercialize the Licensed Products, as well as a non-exclusive, sublicensable license to certain related companion diagnostics. The Company has agreed to complete specified ongoing clinical trials in accordance with the development plan in the Roche Agreement, as well as ongoing investigator sponsored trials (together, the “Continuing Trials”) at the Company’s expense. Roche assumes all subsequent development of camonsertib with the potential to expand development into additional tumors and multiple combination studies. The Company retained the right to conduct specified clinical trials (the “Repare Trials”) of camonsertib in combination with the Company’s PKMYT1 compound (also known as lunresertib). The Roche Agreement also provides the Company, at its sole discretion, with the ability to opt-in to a 50/50 U.S. co-development and profit share arrangement, including participation in U.S. co-promotion if U.S. regulatory approval is received. If the Company chooses to exercise its co-development and profit share option, it will continue to be eligible to receive certain clinical, regulatory, commercial and sales milestone payments, in addition to full ex-U.S. royalties.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spacing w:after="0" w:line="1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Under the terms of the Roche Agreement, the Company received an upfront, nonrefundable payment of $125.0 million in July 2022. The Company also received an additional payment of $4.0 million negotiated with Roche for revisions to the clinical development plan under the Roche Agreement as agreed to by the parties at the time of the Effective Date. The Company further received $5.6 million for the transfer of clinical trial material on hand to Roche, as agreed to pursuant to the Roche Agreement. In addition, in February 2023, the Company became entitled to receive an additional payment of $4.0 million, negotiated with Roche for additional revisions to the clinical development plan under the Roche Agreement, which was received in April 2023. The Company is eligible to receive up to $1.172 billion in potential clinical, regulatory, commercial and sales milestones, as well as royalties on global net sales ranging from high-single-digits to high-teens, subject to certain specified reductions. Royalties are payable by Roche on a product by product and country by country basis until the later of 12 years following the first commercial sale of a licensed product in such country or the expiration of certain exclusivity rights.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2" w:name="page13"/>
    <w:bookmarkEnd w:id="12"/>
    <w:p>
      <w:pPr>
        <w:jc w:val="both"/>
        <w:ind w:firstLine="509"/>
        <w:spacing w:after="0" w:line="257" w:lineRule="auto"/>
        <w:rPr>
          <w:sz w:val="20"/>
          <w:szCs w:val="20"/>
          <w:color w:val="auto"/>
        </w:rPr>
      </w:pPr>
      <w:r>
        <w:rPr>
          <w:rFonts w:ascii="Arial" w:cs="Arial" w:eastAsia="Arial" w:hAnsi="Arial"/>
          <w:sz w:val="18"/>
          <w:szCs w:val="18"/>
          <w:color w:val="auto"/>
        </w:rPr>
        <w:t>The Roche Agreement will expire upon the last to expire royalty term or, as applicable, the end of the U.S. co-development and profit share arrangement. Additionally, Roche may terminate the agreement for convenience in its entirety or on a product by product or country by country basis subject to certain notice periods. Either party may terminate earlier upon the other party’s uncured material breach of the agreement or insolvency. Subject to the terms of the Roche Agreement, effective upon termination of the Roche Agreement, the Company is entitled to retain specified licenses to be able to continue to exploit the Licensed Products.</w:t>
      </w:r>
    </w:p>
    <w:p>
      <w:pPr>
        <w:spacing w:after="0" w:line="18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assessed the Roche Agreement in accordance with ASC 606, Revenue from Contracts with Customers, and concluded that Roche is a customer within the context of the agreement. At inception, the Company identified several performance obligations under the agreement, being (i) the combination of the exclusive perpetual license to the Licensed Products and the non-exclusive license to certain companion diagnostics, (ii) the research and development activities related to the completion of the Continuing Trials, as well as (iii) the transfer of clinical trial materials on hand. The Company determined that the exclusive license to the Licensed Products and the non-exclusive license to certain companion diagnostics should be combined into one distinct performance obligation as they were not capable of being distinct from each other within the context of the agreement given both are highly interdependent of each other. The Company determined that the combined licenses, the completion of the Continuing Trials and the transfer of clinical trial materials were all capable of being distinct and were distinct within the context of the Roche Agreement given such activities are independent of each other and Roche could benefit from either separately.</w:t>
      </w:r>
    </w:p>
    <w:p>
      <w:pPr>
        <w:spacing w:after="0" w:line="18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determined that the transaction price at the onset of the agreement was $134.6 million, being the total non-refundable upfront payment received of $125.0 million, the additional $4.0 million payment received and the $5.6 million received for the transfer of clinical trial materials. Additional consideration is to be paid to the Company upon the achievement of multiple clinical, regulatory and sales milestones. The Company utilized the most likely method approach and concluded that these amounts were constrained based on the probability of achievement. As such, the Company excluded this additional consideration from the transaction price.</w:t>
      </w:r>
    </w:p>
    <w:p>
      <w:pPr>
        <w:spacing w:after="0" w:line="18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Company allocated the transaction price at the onset of the agreement of $134.6 million to each performance obligation based on the relative stand-alone selling price of each performance obligation at inception. The Company determined the estimated stand-alone selling price at contract inception of the combined licenses by applying a probability adjusted discounted cashflow model which forecasts future cash flows related to the licenses. The Company considered applicable market conditions and relevant entity-specific factors, including those factors contemplated in negotiating the agreement, probability of success, discount rate and the time needed to commercialize a product pursuant to the license. The Company determined the estimated stand-alone selling price at contract inception of the research and development activities required to complete the Continuing Trials based on internal estimates of the costs to perform the services, inclusive of a reasonable profit margin. Significant inputs used to determine the total costs to complete the Continuing Trials included the length of time required, the internal hours as well as external costs expected to be incurred, the number of patients and the number of clinical and investigator sponsored trials. The Company determined the stand-alone selling price of the clinical trial materials transferred based on the purchase price from external vendors, without applying a markup as the materials have a built-in margin from the external vendors.</w:t>
      </w:r>
    </w:p>
    <w:p>
      <w:pPr>
        <w:spacing w:after="0" w:line="1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February 2023, the Company received a further payment of $4.0 million negotiated with Roche for additional revisions to the clinical development plan. The Company determined that the scope and the price of the contract had increased as a result of these additional changes and thus reflected a contract modification under ASC 606. The additional services were assessed to be not distinct from the ongoing performance obligation related to the completion of the Continuing Trials but distinct from the other performance obligations. No adjustment was therefore made to the two previously completed performance obligations, being the combined licenses and the transfer of clinical trial materials. The transaction price was updated for the additional consideration of $4.0 million, which has been allocated to the completion of the Continuing Trials performance obligation.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Based on the relative stand-alone selling price, the allocation of the transaction price to the separate performance obligations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41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Combined licenses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105,327</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Completion of Continuing Trials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30,585</w:t>
            </w:r>
          </w:p>
        </w:tc>
        <w:tc>
          <w:tcPr>
            <w:tcW w:w="100" w:type="dxa"/>
            <w:vAlign w:val="bottom"/>
          </w:tcPr>
          <w:p>
            <w:pPr>
              <w:spacing w:after="0"/>
              <w:rPr>
                <w:sz w:val="20"/>
                <w:szCs w:val="20"/>
                <w:color w:val="auto"/>
              </w:rPr>
            </w:pPr>
          </w:p>
        </w:tc>
      </w:tr>
      <w:tr>
        <w:trPr>
          <w:trHeight w:val="24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clinical trial materials</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0"/>
              <w:spacing w:after="0"/>
              <w:rPr>
                <w:sz w:val="20"/>
                <w:szCs w:val="20"/>
                <w:color w:val="auto"/>
              </w:rPr>
            </w:pPr>
            <w:r>
              <w:rPr>
                <w:rFonts w:ascii="Arial" w:cs="Arial" w:eastAsia="Arial" w:hAnsi="Arial"/>
                <w:sz w:val="18"/>
                <w:szCs w:val="18"/>
                <w:color w:val="auto"/>
              </w:rPr>
              <w:t>Total transaction price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138,626</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Revenue associated with the combined licenses was recognized at a point in time upon the transfer of the licenses to Roche on the Effective Date of the Roche Agreement as the Company concluded that the combined licenses were a functional intellectual property license that Roche could benefit from as of the time of grant. Revenue associated with the transfer of clinical trial materials was recognized at a point in time upon delivery of the clinical trial materials to Roche in the year ended December 31, 2022. Revenue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associated with the completion of the Continuing Trials has been deferred and will be recognized on a proportional performance basis over the period of time to complete the Continuing Trials using input-based measurements of total costs of research and development incurred to estimate the proportion performed. Progress towards completion is remeasured at the end of each reporting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Completion of Continuing</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Roche Agreement</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Trials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0"/>
              <w:spacing w:after="0"/>
              <w:rPr>
                <w:sz w:val="20"/>
                <w:szCs w:val="20"/>
                <w:color w:val="auto"/>
              </w:rPr>
            </w:pPr>
            <w:r>
              <w:rPr>
                <w:rFonts w:ascii="Arial" w:cs="Arial" w:eastAsia="Arial" w:hAnsi="Arial"/>
                <w:sz w:val="18"/>
                <w:szCs w:val="18"/>
                <w:color w:val="auto"/>
              </w:rPr>
              <w:t>Increase in collaboration revenue receivable</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(5,312 )</w:t>
            </w:r>
          </w:p>
        </w:tc>
      </w:tr>
      <w:tr>
        <w:trPr>
          <w:trHeight w:val="237"/>
        </w:trPr>
        <w:tc>
          <w:tcPr>
            <w:tcW w:w="9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223"/>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223"/>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Classified as short-term</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00"/>
              <w:spacing w:after="0"/>
              <w:rPr>
                <w:sz w:val="20"/>
                <w:szCs w:val="20"/>
                <w:color w:val="auto"/>
              </w:rPr>
            </w:pPr>
            <w:r>
              <w:rPr>
                <w:rFonts w:ascii="Arial" w:cs="Arial" w:eastAsia="Arial" w:hAnsi="Arial"/>
                <w:sz w:val="18"/>
                <w:szCs w:val="18"/>
                <w:color w:val="auto"/>
              </w:rPr>
              <w:t>Classified as long-term</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recognized $1.7 million and $11.8 million as revenue for the three and nine months ended September 30, 2023, respectively, in recognition of research and development services performed towards the completion of the Continuing Trials under the Roche Agreement. Adjustments to revenue previously recognized based on updated measures of progress related to the completion of the Continuing Trials have been recognized on a cumulative catch-up basis in the three and nine months ended September 30, 2023.</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recognized $112.3 million for the three and nine months ended September 30, 2022 as revenue associated with the Roche Agreement, of which $105.3 million related to the grant of the combined licenses, $2.7 million related to the clinical trial materials transferred, and $4.3 million related to the partial recognition of deferred revenue for research and development services performed towards the completion of the Continuing Trials during the period.</w:t>
      </w:r>
    </w:p>
    <w:p>
      <w:pPr>
        <w:spacing w:after="0" w:line="18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of September 30, 2023, there was $10.2 million (December 31, 2022 -$18.0 million) of deferred revenue related to the Roche Agreement, of which $7.7 million (December 31, 2022 - $15.3 million) was classified as current and $2.5 million (December 31, 2022 - $2.7 million) was classified as non-current in the condensed consolidated balance sheet based on the period the services to complete the Continuing Trials are expected to be performed.</w:t>
      </w:r>
    </w:p>
    <w:p>
      <w:pPr>
        <w:spacing w:after="0" w:line="2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Bristol-Myers Squibb Collaboration and License Agreement</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May 2020, the Company entered into a collaboration and license agreement (the "BMS Agreement") with Bristol-Myers Squibb Company (“Bristol Myers Squibb”), pursuant to which the Company and Bristol Myers Squibb have agreed to collaborate in the research and development of potential new product candidates for the treatment of cancer. The Company is providing Bristol Myers Squibb access to a selected number of its existing screening campaigns and novel campaigns. The Company is responsible for carrying out early-stage research activities directed to identifying potential targets for potential licensing by Bristol Myers Squibb, in accordance with a mutually agreed upon research plan, and will be solely responsible for such costs. The collaboration consists of programs directed to both druggable targets and to targets commonly considered undruggable to traditional small molecule approaches. Upon Bristol Myers Squibb’s election to exercise its option to obtain exclusive worldwide licenses for the subsequent development, manufacturing and commercialization of a program, Bristol Myers Squibb will then be solely responsible for all such worldwide activities and costs.</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collaboration term will expire 42 months after the effective date of the BMS Agreement. The BMS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earlier upon an uncured material breach of the agreement by the other party, or the insolvency of the other party. Additionally, Bristol Myers Squibb may terminate the BMS Agreement for any or no reason on a program-by-program basis upon specified written notice.</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Under the terms of the BMS Agreement, Bristol Myers Squibb paid the Company an initial nonrefundable upfront fee of $50.0 million in June 2020. The Company is also entitled to receive up to $301.0 million in total milestones on a program-by-program basis, consisting of $176.0 million in the aggregate for certain specified research, development and regulatory milestones and $125.0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 the aggregate for certain specified commercial milestones. The Company is further entitled to a tiered percentage royalty on annual net sales ranging from high-single digits to low-double digits, subject to certain specified reductions.</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assessed the BMS Agreement in accordance with ASC 606, Revenue from Contracts with Customers, and concluded that Bristol Myers Squibb is a customer based on the agreement structure. At inception, the Company identified several performance obligations under the BMS Agreement, being (i) research activities for each campaign over the collaboration term, as well as (ii)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p>
    <w:p>
      <w:pPr>
        <w:spacing w:after="0" w:line="1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determined that the transaction price at the onset of the BMS Agreement is the total non-refundable upfront payment received of $50.0 million. Additional consideration is to be paid to the Company upon the exercise of options to license targets and future milestone payments. The Company utilized the most likely method approach and concluded that these amounts were constrained as they represent option fees and milestone payments that can only be achieved subsequent to option exercises. As such, the Company excluded this additional consideration from the transaction price.</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Company has allocated the transaction price of $50.0 million to each performance obligation based on the relative stand-alone selling price of each performance obligation at inception, which was determined based on each performance obligation’s estimated stand-alone selling price. The Company has determined the estimated stand-alone selling price at contract inception of the research activities based on internal estimates of the costs to perform the services, inclusive of a reasonable profit margin. Significant inputs used to determine the total costs to perform the research activities included the length of time required, the internal hours expected to be incurred on the services and the number and costs of various studies that will be performed to complete the research plan. The Company determined the estimated stand-alone selling price at contract inception of the material rights associated with options to obtain exclusive licenses to druggable targets and undruggable targets based on the fees Bristol Myers Squibb would pay to exercise these options, the probability-weighted value of expected future cash flows associated with each license related to each target and the probability that these options would be exercised by Bristol Myers Squibb.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 Based on the relative stand-alone selling price, the allocation of the transaction price to the separate performance obligations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Options to license druggable targets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20"/>
                <w:szCs w:val="20"/>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license undruggable targets</w:t>
            </w:r>
          </w:p>
        </w:tc>
        <w:tc>
          <w:tcPr>
            <w:tcW w:w="2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40" w:type="dxa"/>
            <w:vAlign w:val="bottom"/>
          </w:tcPr>
          <w:p>
            <w:pPr>
              <w:ind w:left="200"/>
              <w:spacing w:after="0"/>
              <w:rPr>
                <w:sz w:val="20"/>
                <w:szCs w:val="20"/>
                <w:color w:val="auto"/>
              </w:rPr>
            </w:pPr>
            <w:r>
              <w:rPr>
                <w:rFonts w:ascii="Arial" w:cs="Arial" w:eastAsia="Arial" w:hAnsi="Arial"/>
                <w:sz w:val="18"/>
                <w:szCs w:val="18"/>
                <w:color w:val="auto"/>
              </w:rPr>
              <w:t>Total transaction price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Revenue associated with the options has been deferred and will be recognized at the point in time when options to license are exercised by Bristol Myers Squibb or upon expiry of such options. Revenue associated with the research activities has been deferred and will be recognized on a proportional performance basis over the period of service for research activities, being the collaboration term, using input-based measurements of total costs of research incurred to estimated proportion performed. Progress towards completion is remeasured at the end of each reporting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Options to license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Options to license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94"/>
              </w:rPr>
              <w:t>undruggable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BMS Agreement</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Research activities</w:t>
            </w:r>
          </w:p>
        </w:tc>
        <w:tc>
          <w:tcPr>
            <w:tcW w:w="12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druggable targets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targets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(366 )</w:t>
            </w:r>
          </w:p>
        </w:tc>
        <w:tc>
          <w:tcPr>
            <w:tcW w:w="3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2023</w:t>
            </w:r>
          </w:p>
        </w:tc>
        <w:tc>
          <w:tcPr>
            <w:tcW w:w="4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40" w:type="dxa"/>
            <w:vAlign w:val="bottom"/>
          </w:tcPr>
          <w:p>
            <w:pPr>
              <w:ind w:left="200"/>
              <w:spacing w:after="0"/>
              <w:rPr>
                <w:sz w:val="20"/>
                <w:szCs w:val="20"/>
                <w:color w:val="auto"/>
              </w:rPr>
            </w:pPr>
            <w:r>
              <w:rPr>
                <w:rFonts w:ascii="Arial" w:cs="Arial" w:eastAsia="Arial" w:hAnsi="Arial"/>
                <w:sz w:val="18"/>
                <w:szCs w:val="18"/>
                <w:color w:val="auto"/>
              </w:rPr>
              <w:t>Increase in collaboration revenue receivable</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shd w:val="clear" w:color="auto" w:fill="CFF0FC"/>
          </w:tcPr>
          <w:p>
            <w:pPr>
              <w:spacing w:after="0"/>
              <w:rPr>
                <w:sz w:val="19"/>
                <w:szCs w:val="19"/>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(1,242 )</w:t>
            </w:r>
          </w:p>
        </w:tc>
        <w:tc>
          <w:tcPr>
            <w:tcW w:w="380" w:type="dxa"/>
            <w:vAlign w:val="bottom"/>
            <w:shd w:val="clear" w:color="auto" w:fill="CFF0FC"/>
          </w:tcPr>
          <w:p>
            <w:pPr>
              <w:spacing w:after="0"/>
              <w:rPr>
                <w:sz w:val="19"/>
                <w:szCs w:val="19"/>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(13,709 )</w:t>
            </w:r>
          </w:p>
        </w:tc>
        <w:tc>
          <w:tcPr>
            <w:tcW w:w="14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(14,951 )</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June 30, 2023</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FF0FC"/>
          </w:tcPr>
          <w:p>
            <w:pPr>
              <w:ind w:left="200"/>
              <w:spacing w:after="0" w:line="195" w:lineRule="exact"/>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(500 )</w:t>
            </w:r>
          </w:p>
        </w:tc>
        <w:tc>
          <w:tcPr>
            <w:tcW w:w="38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2023</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Classified as short-term</w:t>
            </w:r>
          </w:p>
        </w:tc>
        <w:tc>
          <w:tcPr>
            <w:tcW w:w="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-1276350</wp:posOffset>
            </wp:positionV>
            <wp:extent cx="253746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37460" cy="17970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-814070</wp:posOffset>
            </wp:positionV>
            <wp:extent cx="7747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-814070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-814070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-342265</wp:posOffset>
            </wp:positionV>
            <wp:extent cx="7747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-342265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-342265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recognized $0.5 million and $2.1 million as revenue for the three and nine months ended September 30, 2023, respectively, and $0.2 million and $1.3 million for the three and nine months ended September 30, 2022, respectively, in recognition of deferred revenue for research activities performed under the BMS Agreement.</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May 2023, Bristol Myers Squibb exercised its option for a druggable target and in June 2023, Bristol Myers Squibb waived its rights to exercise an option for a druggable target. As a result, the Company recognized nil and $12.7 million as revenue related to druggable targets for the three and nine months ended September 30, 2023, respectively (nil for the three and nine months ended September 30, 2022), including the option fee of $0.25 million, which was received in July 2023.</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May 2023, Bristol Myers Squibb also triggered a $1.0 million further development election for a previously exercised druggable target, which was received in July 2023. As such, the Company recognized nil and $1.0 million for this specified research milestone as revenue during the three and nine months ended September 30, 2023, respectively (nil for the three and nine months ended September 30, 2022).</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there was $12.8 million (December 31, 2022 - $27.4 million) of deferred revenue related to the BMS Agreement, which was classified as current in the condensed consolidated balance sheet based on the period the services are expected to be performed, the expected timing of potential option exercises for undruggable targets, and the expected expiry of the BMS Agreement.</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Ono Collaboration Agreement</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January 2019, the Company entered into a research services, license and collaboration agreement, or the Ono Agreement, with Ono Pharmaceutical Company Ltd., or Ono, pursuant to which the Company and Ono agreed to collaborate in the research of potential product candidates targeting Polθ and the development of the Company’s small molecule Polθ inhibitor program. The Company was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elected to collaborate on the subsequent development and commercialization of the proposed product candidate, Ono would then have been responsible for such activities in Japan, South Korea, Taiwan, Hong-Kong, Macau and the Association of Southeast Asian Nations (collectively, the “Ono territory”), and the Company would have then been responsible for all such activities in the rest of the world outside the Ono territory, including the United States, Canada and European Union. In such instance, Ono would have been responsible for a specified percentage of research and developments costs for the IND-enabling studies of the selected product candidate.</w:t>
      </w:r>
    </w:p>
    <w:p>
      <w:pPr>
        <w:spacing w:after="0" w:line="185"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In October 2021, the Company and Ono entered into an amendment to the Ono Agreement whereby the research term, as defined in the Ono Agreement, was extended by one year. In January 2023, the Company and Ono entered into a second amendment to the Ono Agreement whereby the Research Term, as defined in the Ono Agreement, was extended until July 31, 2023.</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Pursuant to the terms of the Ono Agreement, the Company received initial upfront payments of ¥900 million ($8.1 million). These upfront payments were recorded as deferred revenue and were to be recognized as revenue at the point in time when a product candidate was licensed to Ono pursuant to the terms of the agreement, reflecting the single performance obligation under the Ono Agreement in accordance with the Company’s assessment of the arrangement under ASC 606. In addition, in connection with the research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 w:name="page17"/>
    <w:bookmarkEnd w:id="16"/>
    <w:p>
      <w:pPr>
        <w:jc w:val="both"/>
        <w:ind w:right="60"/>
        <w:spacing w:after="0" w:line="293" w:lineRule="auto"/>
        <w:rPr>
          <w:sz w:val="20"/>
          <w:szCs w:val="20"/>
          <w:color w:val="auto"/>
        </w:rPr>
      </w:pPr>
      <w:r>
        <w:rPr>
          <w:rFonts w:ascii="Arial" w:cs="Arial" w:eastAsia="Arial" w:hAnsi="Arial"/>
          <w:sz w:val="16"/>
          <w:szCs w:val="16"/>
          <w:color w:val="auto"/>
        </w:rPr>
        <w:t>to be conducted pursuant to the Ono Agreement, the Company was eligible to receive additional research service payments of up to an aggregate of ¥750 million ($6.5 million) upon the occurrence of certain specified research triggers. In October 2021 and December 2022, the Company achieved specified research triggers amounting to ¥100 million ($0.9 million) and ¥200 million ($1.5 million), respectively, as research service payments provided for in the Ono Agreement. These amounts were added to the transaction price under the arrangement and were recorded as deferred revenue. The Company was further entitled to receive clinical, regulatory and commercial milestone payments of up to ¥17.21 billion ($149.5 million) in the aggregate, plus a tiered percentage royalty on annual net sales in Ono’s Territory ranging from high-single digits to low teens, subject to specified reductions.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Ono Agreement</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7"/>
              </w:rPr>
              <w:t>Research activities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2023</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26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24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(10,473 )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2023</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7"/>
          <w:szCs w:val="17"/>
          <w:color w:val="auto"/>
        </w:rPr>
        <w:t>In June 2023, the Company and Ono determined not to further extend the Term of the Ono Agreement. As a result, no product candidate will be licensed to Ono pursuant to the terms of Agreement. The Company recognized nil and $10.5 million as revenue for the three and nine months ended September 30, 2023, respectively (nil for the three and nine months ended September 30, 2022) with regards to the performance obligation under the Ono Agreement. In July 2023, Ono provided the Company with a formal notice to terminate the Ono Agreement without cause as defined in the Ono Agreement. As a result of this termination, all rights to the Polθ program have reverted to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Company has historically entered into lease arrangements for its facilities. As of September 30, 2023, the Company had four operating leases with required future minimum payments. The Company’s leases generally do not include termination or purchase options.</w:t>
      </w:r>
    </w:p>
    <w:p>
      <w:pPr>
        <w:spacing w:after="0" w:line="170"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In January 2023, and as further amended in April 2023, the Company entered into a lease renewal agreement for office and laboratory space located in Montréal, Québec, for a thirty-two month term, ending in August 2025.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right="60" w:firstLine="536"/>
        <w:spacing w:after="0" w:line="277" w:lineRule="auto"/>
        <w:rPr>
          <w:sz w:val="20"/>
          <w:szCs w:val="20"/>
          <w:color w:val="auto"/>
        </w:rPr>
      </w:pPr>
      <w:r>
        <w:rPr>
          <w:rFonts w:ascii="Arial" w:cs="Arial" w:eastAsia="Arial" w:hAnsi="Arial"/>
          <w:sz w:val="18"/>
          <w:szCs w:val="18"/>
          <w:color w:val="auto"/>
        </w:rPr>
        <w:t>The following tables contain a summary of the lease costs recognized under ASC 842 and other information pertaining to the Company’s operating leases for the three and nine months ended September 30,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6"/>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58"/>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500" w:type="dxa"/>
            <w:vAlign w:val="bottom"/>
          </w:tcPr>
          <w:p>
            <w:pPr>
              <w:ind w:left="200"/>
              <w:spacing w:after="0"/>
              <w:rPr>
                <w:sz w:val="20"/>
                <w:szCs w:val="20"/>
                <w:color w:val="auto"/>
              </w:rPr>
            </w:pPr>
            <w:r>
              <w:rPr>
                <w:rFonts w:ascii="Arial" w:cs="Arial" w:eastAsia="Arial" w:hAnsi="Arial"/>
                <w:sz w:val="18"/>
                <w:szCs w:val="18"/>
                <w:b w:val="1"/>
                <w:bCs w:val="1"/>
                <w:color w:val="auto"/>
              </w:rPr>
              <w:t>Lease Costs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costs</w:t>
            </w:r>
          </w:p>
        </w:tc>
        <w:tc>
          <w:tcPr>
            <w:tcW w:w="1120" w:type="dxa"/>
            <w:vAlign w:val="bottom"/>
            <w:gridSpan w:val="2"/>
            <w:shd w:val="clear" w:color="auto" w:fill="CFF0FC"/>
          </w:tcPr>
          <w:p>
            <w:pPr>
              <w:jc w:val="right"/>
              <w:ind w:right="6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593</w:t>
            </w:r>
          </w:p>
        </w:tc>
        <w:tc>
          <w:tcPr>
            <w:tcW w:w="68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1,779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21"/>
                <w:szCs w:val="21"/>
                <w:color w:val="auto"/>
              </w:rPr>
            </w:pPr>
          </w:p>
        </w:tc>
      </w:tr>
      <w:tr>
        <w:trPr>
          <w:trHeight w:val="237"/>
        </w:trPr>
        <w:tc>
          <w:tcPr>
            <w:tcW w:w="5500" w:type="dxa"/>
            <w:vAlign w:val="bottom"/>
          </w:tcPr>
          <w:p>
            <w:pPr>
              <w:ind w:left="200"/>
              <w:spacing w:after="0"/>
              <w:rPr>
                <w:sz w:val="20"/>
                <w:szCs w:val="20"/>
                <w:color w:val="auto"/>
              </w:rPr>
            </w:pPr>
            <w:r>
              <w:rPr>
                <w:rFonts w:ascii="Arial" w:cs="Arial" w:eastAsia="Arial" w:hAnsi="Arial"/>
                <w:sz w:val="18"/>
                <w:szCs w:val="18"/>
                <w:color w:val="auto"/>
              </w:rPr>
              <w:t>Short-term lease costs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3"/>
          </w:tcPr>
          <w:p>
            <w:pPr>
              <w:jc w:val="right"/>
              <w:ind w:right="48"/>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Variable lease costs</w:t>
            </w:r>
          </w:p>
        </w:tc>
        <w:tc>
          <w:tcPr>
            <w:tcW w:w="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1"/>
                <w:szCs w:val="21"/>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Total lease costs</w:t>
            </w:r>
          </w:p>
        </w:tc>
        <w:tc>
          <w:tcPr>
            <w:tcW w:w="340" w:type="dxa"/>
            <w:vAlign w:val="bottom"/>
          </w:tcPr>
          <w:p>
            <w:pPr>
              <w:spacing w:after="0"/>
              <w:rPr>
                <w:sz w:val="20"/>
                <w:szCs w:val="20"/>
                <w:color w:val="auto"/>
              </w:rPr>
            </w:pP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52"/>
        </w:trPr>
        <w:tc>
          <w:tcPr>
            <w:tcW w:w="5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9"/>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(in thousands, except</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74"/>
              </w:rPr>
              <w:t>as</w:t>
            </w:r>
          </w:p>
        </w:tc>
        <w:tc>
          <w:tcPr>
            <w:tcW w:w="16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0"/>
              </w:rPr>
              <w:t>specified otherwise)</w:t>
            </w:r>
          </w:p>
        </w:tc>
        <w:tc>
          <w:tcPr>
            <w:tcW w:w="60" w:type="dxa"/>
            <w:vAlign w:val="bottom"/>
          </w:tcPr>
          <w:p>
            <w:pPr>
              <w:spacing w:after="0"/>
              <w:rPr>
                <w:sz w:val="14"/>
                <w:szCs w:val="14"/>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Operating Lease Information</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500" w:type="dxa"/>
            <w:vAlign w:val="bottom"/>
          </w:tcPr>
          <w:p>
            <w:pPr>
              <w:ind w:left="200"/>
              <w:spacing w:after="0"/>
              <w:rPr>
                <w:sz w:val="20"/>
                <w:szCs w:val="20"/>
                <w:color w:val="auto"/>
              </w:rPr>
            </w:pPr>
            <w:r>
              <w:rPr>
                <w:rFonts w:ascii="Arial" w:cs="Arial" w:eastAsia="Arial" w:hAnsi="Arial"/>
                <w:sz w:val="18"/>
                <w:szCs w:val="18"/>
                <w:color w:val="auto"/>
              </w:rPr>
              <w:t>Operating cash flows used for operating leases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1,799</w:t>
            </w:r>
          </w:p>
        </w:tc>
        <w:tc>
          <w:tcPr>
            <w:tcW w:w="60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60" w:type="dxa"/>
            <w:vAlign w:val="bottom"/>
          </w:tcPr>
          <w:p>
            <w:pPr>
              <w:spacing w:after="0"/>
              <w:rPr>
                <w:sz w:val="20"/>
                <w:szCs w:val="20"/>
                <w:color w:val="auto"/>
              </w:rPr>
            </w:pPr>
          </w:p>
        </w:tc>
      </w:tr>
      <w:tr>
        <w:trPr>
          <w:trHeight w:val="249"/>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Right-of-use assets obtained in exchange for new operating lease liability</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Weighted-average remaining lease term (in years)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20"/>
                <w:szCs w:val="20"/>
                <w:color w:val="auto"/>
              </w:rPr>
            </w:pPr>
          </w:p>
        </w:tc>
      </w:tr>
      <w:tr>
        <w:trPr>
          <w:trHeight w:val="242"/>
        </w:trPr>
        <w:tc>
          <w:tcPr>
            <w:tcW w:w="5500" w:type="dxa"/>
            <w:vAlign w:val="bottom"/>
          </w:tcPr>
          <w:p>
            <w:pPr>
              <w:ind w:left="200"/>
              <w:spacing w:after="0"/>
              <w:rPr>
                <w:sz w:val="20"/>
                <w:szCs w:val="20"/>
                <w:color w:val="auto"/>
              </w:rPr>
            </w:pPr>
            <w:r>
              <w:rPr>
                <w:rFonts w:ascii="Arial" w:cs="Arial" w:eastAsia="Arial" w:hAnsi="Arial"/>
                <w:sz w:val="18"/>
                <w:szCs w:val="18"/>
                <w:color w:val="auto"/>
              </w:rPr>
              <w:t>Weighted-average discount rate</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8"/>
                <w:szCs w:val="18"/>
                <w:color w:val="auto"/>
              </w:rPr>
              <w:t>4.1 %</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661"/>
        </w:trPr>
        <w:tc>
          <w:tcPr>
            <w:tcW w:w="550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15</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-2176780</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-2176780</wp:posOffset>
            </wp:positionV>
            <wp:extent cx="857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-2176780</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7" w:name="page18"/>
    <w:bookmarkEnd w:id="17"/>
    <w:p>
      <w:pPr>
        <w:ind w:right="8420" w:firstLine="8"/>
        <w:spacing w:after="0" w:line="425"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2020 Employee Share Purchase Plan</w:t>
      </w:r>
    </w:p>
    <w:p>
      <w:pPr>
        <w:jc w:val="both"/>
        <w:ind w:firstLine="509"/>
        <w:spacing w:after="0" w:line="273" w:lineRule="auto"/>
        <w:rPr>
          <w:sz w:val="20"/>
          <w:szCs w:val="20"/>
          <w:color w:val="auto"/>
        </w:rPr>
      </w:pPr>
      <w:r>
        <w:rPr>
          <w:rFonts w:ascii="Arial" w:cs="Arial" w:eastAsia="Arial" w:hAnsi="Arial"/>
          <w:sz w:val="17"/>
          <w:szCs w:val="17"/>
          <w:color w:val="auto"/>
        </w:rPr>
        <w:t>In June 2020, the Company’s board of directors adopted, and the Company’s shareholders approved the 2020 Employee Share Purchase Plan (the “ESPP”). The maximum number of common shares that may be issued under the ESPP was initially 327,000. Additionally, the number of shares reserved and available for issuance under the ESPP automatically increases each January 1, beginning on January 1, 2021 and each January 1 thereafter through January 31, 2030, by the lesser of (1) 1.0% of the total number of common shares outstanding on December 31 of the preceding calendar year, (2) 3,300,000 common shares, or (3) such smaller number of common shares as the Company’s board of directors may designate. As of September 30, 2023, the total number of common shares that may be issued under the ESPP is 1,411,426.</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 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 offering but may elect to participate in future offerings. The ESPP purchases only whole shares of the Company’s shares. ESPP offering periods occur on a rolling six-month basis.</w:t>
      </w:r>
    </w:p>
    <w:p>
      <w:pPr>
        <w:spacing w:after="0" w:line="19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Company issued 75,608 common shares under the ESPP during the nine months ended September 30, 2023 at a weighted-average price per share of $9.11. Cash received from purchases under the ESPP for the nine months ended September 30, 2023 was $0.7 million.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 and 2020 Plan</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w:t>
      </w:r>
    </w:p>
    <w:p>
      <w:pPr>
        <w:spacing w:after="0" w:line="18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June 2020, the Company’s board of directors adopted, and the Company’s shareholders approved the 2020 Equity Incentive Plan (the “2020 Plan”). The 2020 Plan became effective on the effective date of the IPO, at which time the Company ceased granting awards under the Option Plan. The 2020 Plan allows the Company’s compensation committee to grant equity-based and cash-based incentive awards to the Company’s officers, employees, directors and consultants including but not limited to stock options and restricted share units. A total of 3,600,000 common shares were initially reserved for issuance under the 2020 Plan, plus the number of shares (not to exceed 3,807,448 shares) consisting of (i) 298,605 common shares that were available for the issuance of awards under the Option Plan at the time the 2020 Plan became effective, which ceased to be available for future issuance under the Option Plan at such time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In addition, the number of shares reserved and available for issuance under the 2020 Plan will automatically increase each January 1, beginning on January 1, 2021 and each January 1 thereafter through January 1, 2030, by 5% of the outstanding number of common shares on the immediately preceding December 31, or such lesser number of shares as determined by the Company’s board of directors. As of September 30, 2023, the total number of common shares reserved for issuance under the 2020 Plan is 10,033,406.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Grant</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May 2023, the Compensation Committee of the Board of Directors approved the grant of an inducement award to a newly hired member of the senior leadership team. The equity award, which was granted outside of the 2020 Plan, was an inducement material to such executive entering into employment with the Company, in accordance with Nasdaq Listing Rule 5635(c)(4). The stock option award to purchase an aggregate of 240,000 of the Company’s common shares has a ten-year term and an exercise price of $9.83 per share. The award has terms and conditions consistent with those set forth under the 2020 Plan and vests under the similar vesting schedules as stock option awards granted under the 2020 Plan. The inducement grant is included in the stock options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outstanding stock options as of September 30, 2023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7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7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8,032,902</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2,306,940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(17,450 )</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Cancelled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(234,801 )</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7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10,087,591</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2023, an aggregate of 17,450 options were exercised at a weighted-average exercise price of $2.65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fair value of stock options, and the assumptions used in the Black Scholes option-pricing model to determine the grant date fair value of stock options granted to employees and non-employees were as follows, presented on a weighted average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6"/>
          </w:tcPr>
          <w:p>
            <w:pPr>
              <w:jc w:val="center"/>
              <w:ind w:left="355"/>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204"/>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stock options</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7.77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8.31</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4.36 %</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2.89 %</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w w:val="85"/>
              </w:rPr>
              <w:t>3.71 %</w:t>
            </w:r>
          </w:p>
        </w:tc>
        <w:tc>
          <w:tcPr>
            <w:tcW w:w="7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terms (in years)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6.08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6.01</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81.73 %</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81.20 %</w:t>
            </w:r>
          </w:p>
        </w:tc>
        <w:tc>
          <w:tcPr>
            <w:tcW w:w="1300" w:type="dxa"/>
            <w:vAlign w:val="bottom"/>
            <w:gridSpan w:val="5"/>
          </w:tcPr>
          <w:p>
            <w:pPr>
              <w:jc w:val="right"/>
              <w:ind w:right="8"/>
              <w:spacing w:after="0"/>
              <w:rPr>
                <w:sz w:val="20"/>
                <w:szCs w:val="20"/>
                <w:color w:val="auto"/>
              </w:rPr>
            </w:pPr>
            <w:r>
              <w:rPr>
                <w:rFonts w:ascii="Arial" w:cs="Arial" w:eastAsia="Arial" w:hAnsi="Arial"/>
                <w:sz w:val="18"/>
                <w:szCs w:val="18"/>
                <w:color w:val="auto"/>
              </w:rPr>
              <w:t>81.49 %</w:t>
            </w:r>
          </w:p>
        </w:tc>
        <w:tc>
          <w:tcPr>
            <w:tcW w:w="7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7"/>
              </w:rPr>
              <w:t>78.82 %</w:t>
            </w:r>
          </w:p>
        </w:tc>
        <w:tc>
          <w:tcPr>
            <w:tcW w:w="0" w:type="dxa"/>
            <w:vAlign w:val="bottom"/>
          </w:tcPr>
          <w:p>
            <w:pPr>
              <w:spacing w:after="0"/>
              <w:rPr>
                <w:sz w:val="1"/>
                <w:szCs w:val="1"/>
                <w:color w:val="auto"/>
              </w:rPr>
            </w:pPr>
          </w:p>
        </w:tc>
      </w:t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0.00 %</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0.00 %</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w w:val="85"/>
              </w:rPr>
              <w:t>0.00 %</w:t>
            </w:r>
          </w:p>
        </w:tc>
        <w:tc>
          <w:tcPr>
            <w:tcW w:w="7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554"/>
        </w:trPr>
        <w:tc>
          <w:tcPr>
            <w:tcW w:w="5900" w:type="dxa"/>
            <w:vAlign w:val="bottom"/>
          </w:tcPr>
          <w:p>
            <w:pPr>
              <w:spacing w:after="0"/>
              <w:rPr>
                <w:sz w:val="20"/>
                <w:szCs w:val="20"/>
                <w:color w:val="auto"/>
              </w:rPr>
            </w:pPr>
            <w:r>
              <w:rPr>
                <w:rFonts w:ascii="Arial" w:cs="Arial" w:eastAsia="Arial" w:hAnsi="Arial"/>
                <w:sz w:val="18"/>
                <w:szCs w:val="18"/>
                <w:b w:val="1"/>
                <w:bCs w:val="1"/>
                <w:color w:val="auto"/>
              </w:rPr>
              <w:t>Restricted Share Units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ind w:left="520"/>
              <w:spacing w:after="0"/>
              <w:rPr>
                <w:sz w:val="20"/>
                <w:szCs w:val="20"/>
                <w:color w:val="auto"/>
              </w:rPr>
            </w:pPr>
            <w:r>
              <w:rPr>
                <w:rFonts w:ascii="Arial" w:cs="Arial" w:eastAsia="Arial" w:hAnsi="Arial"/>
                <w:sz w:val="18"/>
                <w:szCs w:val="18"/>
                <w:color w:val="auto"/>
                <w:w w:val="93"/>
              </w:rPr>
              <w:t>Total outstanding restricted share units as of September 30, 2023 was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left="4"/>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Awarded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626,260</w:t>
            </w:r>
          </w:p>
        </w:tc>
        <w:tc>
          <w:tcPr>
            <w:tcW w:w="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(21,300 )</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September 30, 2023</w:t>
            </w:r>
          </w:p>
        </w:tc>
        <w:tc>
          <w:tcPr>
            <w:tcW w:w="72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604,960</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12.42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fair value of each restricted share unit is estimated on the date of grant based on the fair value of our common shares on that same date.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4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3,339</w:t>
            </w:r>
          </w:p>
        </w:tc>
        <w:tc>
          <w:tcPr>
            <w:tcW w:w="96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2,600</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00" w:type="dxa"/>
            <w:vAlign w:val="bottom"/>
            <w:shd w:val="clear" w:color="auto" w:fill="CFF0FC"/>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3,038</w:t>
            </w:r>
          </w:p>
        </w:tc>
        <w:tc>
          <w:tcPr>
            <w:tcW w:w="2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2,453</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1"/>
                <w:szCs w:val="21"/>
                <w:color w:val="auto"/>
              </w:rPr>
            </w:pPr>
          </w:p>
        </w:tc>
      </w:tr>
      <w:tr>
        <w:trPr>
          <w:trHeight w:val="27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16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6,377</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5,053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424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-513715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-496570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-513715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-513715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-496570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Share-based compensation expense by type of award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5,678</w:t>
            </w:r>
          </w:p>
        </w:tc>
        <w:tc>
          <w:tcPr>
            <w:tcW w:w="96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4,969</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14,376</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6,377</w:t>
            </w: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5,053</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18,704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14,553</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As of September 30, 2023, there was $43.0 million and $5.9 million of unrecognized share-based compensation expense to be recognized over a weighted average period of 1.6 years and 2.3 years related to unvested stock options and unvested restricted share units,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computation of basic and diluted net (loss) income per share attributable to common shareholders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gridSpan w:val="8"/>
          </w:tcPr>
          <w:p>
            <w:pPr>
              <w:ind w:left="940"/>
              <w:spacing w:after="0"/>
              <w:rPr>
                <w:sz w:val="20"/>
                <w:szCs w:val="20"/>
                <w:color w:val="auto"/>
              </w:rPr>
            </w:pPr>
            <w:r>
              <w:rPr>
                <w:rFonts w:ascii="Arial" w:cs="Arial" w:eastAsia="Arial" w:hAnsi="Arial"/>
                <w:sz w:val="14"/>
                <w:szCs w:val="14"/>
                <w:i w:val="1"/>
                <w:iCs w:val="1"/>
                <w:color w:val="auto"/>
                <w:w w:val="91"/>
              </w:rPr>
              <w:t>(in thousands, except share and per share amounts)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(18,879 )</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75,461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(65,766 )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w w:val="99"/>
              </w:rPr>
              <w:t>42,102,685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41,945,617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w w:val="99"/>
              </w:rPr>
              <w:t>42,077,857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41,902,554</w:t>
            </w: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Dilutive impact of outstanding stock options and shares issuable</w:t>
            </w:r>
          </w:p>
        </w:tc>
        <w:tc>
          <w:tcPr>
            <w:tcW w:w="22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w w:val="97"/>
              </w:rPr>
              <w:t>2,231,759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2,257,927</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under the ESPP</w:t>
            </w:r>
          </w:p>
        </w:tc>
        <w:tc>
          <w:tcPr>
            <w:tcW w:w="22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42,102,685</w:t>
            </w:r>
          </w:p>
        </w:tc>
        <w:tc>
          <w:tcPr>
            <w:tcW w:w="1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44,177,376</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42,077,857</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44,160,481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(0.45 )</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(0.45 )</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-702310</wp:posOffset>
            </wp:positionV>
            <wp:extent cx="8572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-702310</wp:posOffset>
            </wp:positionV>
            <wp:extent cx="8572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-702310</wp:posOffset>
            </wp:positionV>
            <wp:extent cx="857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excluded the following potential common shares, presented based on amounts outstanding at each period end, from the computation of diluted net (loss) income per share attributable to common shareholders for the periods indicated because including them would have had an anti-dilutive effect: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5"/>
        </w:trPr>
        <w:tc>
          <w:tcPr>
            <w:tcW w:w="576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shares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10,087,591</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5,255,255</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10,087,591</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5,255,255</w:t>
            </w:r>
          </w:p>
        </w:tc>
        <w:tc>
          <w:tcPr>
            <w:tcW w:w="100" w:type="dxa"/>
            <w:vAlign w:val="bottom"/>
            <w:shd w:val="clear" w:color="auto" w:fill="CFF0FC"/>
          </w:tcPr>
          <w:p>
            <w:pPr>
              <w:spacing w:after="0"/>
              <w:rPr>
                <w:sz w:val="20"/>
                <w:szCs w:val="20"/>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604,960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604,960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shares issuable under the ESPP</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(i)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2022 included in our Annual Report on Form 10-K, or the Annual Report, filed with the Securities and Exchange Commission, or the SEC, on February 28, 2023. Some of the information contained in this discussion and analysis or set forth elsewhere in this Quarterly Report on Form 10-Q, including information with respect to our plans and strategy for our business and related financing, contains forward-looking statements that involve risks and uncertainties. As a result of many factors, including those factors set forth in the “Risk Factors” sections of this Quarterly Report on Form 10-Q and our Annual Report on Form 10-K for the year ended December 31, 2022, our actual results could differ materially from the results described in or implied by the forward-looking statements contained in the following discussion and analysis.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initial product candidate, camonsertib (also known as RP-3500 or RG6526), a potent and selective oral small molecule inhibitor of ATR (Ataxia-Telangiectasia and Rad3-related protein kinase) for the treatment of solid tumors with specific DNA damage repair-related genomic alterations, including those in the ATM gene (ataxia telangiectasia mutated kinase) as part of a network of 16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-identified genomic alterations. In July 2020, we began dosing patients in our Phase 1/2 TRESR (Treatment Enabled by SNIPRx) clinical trial of camonsertib in advanced solid tumors and, in August 2021, we began dosing patients in our Phase 1b/2 ATTACC clinical trial of camonsertib to evaluate the safety and efficacy of camonsertib in combination with approved poly (ADP-ribose) polymerase, or PARP, inhibitors, olaparib and niraparib, in patients with molecularly selected cancers. In April 2022, we presented comprehensive Phase 1 monotherapy clinical data from the TRESR Phase 1/2 clinical trial. In June 2022, we entered into a worldwide license and collaboration agreement with Hoffmann-La Roche Inc. and F. Hoffmann-La Roche Ltd, collectively referred to as Roche, for the development and commercialization of camonsertib. In April 2023, we presented initial clinical data on camonsertib in combination with the three PARP inhibitors from the ongoing Phase 1/2 TRESR and Phase 1b/2 ATTACC clinical trials in a plenary oral presentation at the 2023 AACR Annual Meeting. In June 2023, we published data from the ongoing Phase 1/2 TRESR clinical trial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w:t>
      </w:r>
      <w:r>
        <w:rPr>
          <w:rFonts w:ascii="Arial" w:cs="Arial" w:eastAsia="Arial" w:hAnsi="Arial"/>
          <w:sz w:val="17"/>
          <w:szCs w:val="17"/>
          <w:color w:val="auto"/>
        </w:rPr>
        <w:t>.</w:t>
      </w:r>
    </w:p>
    <w:p>
      <w:pPr>
        <w:spacing w:after="0" w:line="18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6"/>
          <w:szCs w:val="16"/>
          <w:color w:val="auto"/>
        </w:rPr>
        <w:t>In April 2021, we initiated our Phase 1 MYTHIC clinical trial for lunresertib (also known as RP-6306), our PKMYT1 (Protein Kinase Membrane-associated tyrosine- and threonine-specific cdc-2 inhibitory kinase) SL inhibitor, as a monotherapy for the treatment of molecularly selected advanced solid tumors, and announced the achievement of clinical proof of concept based on initial monotherapy data from the Phase 1 MYTHIC clinical trial and early insights from ongoing combination trials in June 2023. We initiated Phase 1 combination studies of lunresertib with gemcitabine (MAGNETIC) in December 2021, camonsertib (MYTHIC) in May 2022, and FOLFIRI (MINOTAUR) in August 2022, each for the treatment of molecularly selected advanced solid tumors. In the fourth quarter of 2022, we received fast track designation for lunresertib in combination with gemcitabine for the treatment of adult patients with CCNE1-amplified, or FBXW7, or PPP2R1A mutated platinum resistant ovarian cancer and in August 2023, we received fast track designation for lunresertib in combination with camonsertib for the treatment of adult patients with CCNE1 amplified, or FBXW7 or PPP2R1A mutated endometrial cancer previously treated with a platinum-containing regimen and immune checkpoint inhibitor where indicated. Based on promising preclinical data we released at the 34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EORTC-NCI-AACR Symposium in October 2022, we are working with clinical investigators to initiate clinical testing, as part of an investigator-sponsored trial, or IST, of a fourth lunresertib combination with carboplatin and paclitaxel for the treatment of recurrent gynecological malignancies, with the first patient expected to be dosed this year. In the fourth quarter of 2022, we entered into an agreement with Canadian Cancer Trials Group, or CCTG, for a planned, basket Phase 2 IST that is enrolling patients with selected, advanced cancers receiving lunresertib as combination with gemcitabine (NCT05605509), and in a second active study that will evaluate lunresertib in combination with gemcitabine in patients with CDK4/6 inhibitor treated ER+/HER2- metastatic breast cancer (NCT05601440). In October 2023, we announced positive initial data from Modules 1 and 2 of our ongoing Phase 1 MYTHIC clinical trial evaluating lunresertib alone and in combination with camonsertib showing early efficacy signals across multiple tumor types and in each genotype selected, along with a favorable safety and tolerability profile. We reported this data at a plenary session titled, “New Drugs on the Horizon” at the AACR-NCI-EORTC International Conference on Molecular Targets and Cancer Therapeutics.</w:t>
      </w:r>
    </w:p>
    <w:p>
      <w:pPr>
        <w:spacing w:after="0" w:line="1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continue to focus on the advancement of our preclinical programs into clinical development. We initiated IND-enabling studies in the first half of 2023 for a small molecule, now designated RP-1664, against an undisclosed target with potential to enter the clinic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the first half of 2024. We also initiated IND-enabling studies for our newly designated polymerase theta, or Polθ, inhibitor, RP-3467, in June 2023. RP-3467 has shown greater potency in preclinical studies compared to RP-2119, our first Polθ inhibitor designated in 2022, and we expect to enter the clinic in the second half of 2024. With the termination of the Ono Agreement, our Polθ program, including RP-3467, is wholly-owned by Repare.</w:t>
      </w:r>
    </w:p>
    <w:p>
      <w:pPr>
        <w:spacing w:after="0" w:line="16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On June 23, 2020, we completed our initial public offering, or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approximately $232.0 million, after deducting underwriting commissions and offering expenses of $3.2 million. On November 1, 2021, we completed a follow-on offering, or the 2021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As of September 30, 2023, we had cash and cash equivalents and marketable securities on hand of $250.1 million.</w:t>
      </w:r>
    </w:p>
    <w:p>
      <w:pPr>
        <w:spacing w:after="0" w:line="18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Since inception, we have incurred significant operating losses. Our net losses were $29.0 million and $106.9 million for the years ended December 31, 2022 and 2021, respectively, and $65.8 million for the nine months ended September 30, 2023. As of September 30, 2023, we had an accumulated deficit of $305.1 million. We expect to continue to incur significant and increasing expenses and operating losses for the foreseeable future, as we advance our product candidates, including lunresertib, through preclinical and clinical development and seek regulatory approvals, manufacture drug product and drug supply, maintain and expand our intellectual property portfolio. Our net losses are also expected to be impacted as we hire additional personnel, pay for accounting, audit, legal, regulatory and consulting services, and pay costs associated with maintaining compliance with Nasdaq listing rules and the SEC requirements,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spacing w:after="0" w:line="18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Considerations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Unfavorable conditions in the economy in the United States, Canada and abroad may negatively affect the growth of our business and our results of operations. For example, macroeconomic events, including the COVID-19 pandemic, rising inflation, the U.S. Federal Reserve raising interest rates, disruptions in access to bank deposits or lending commitments due to bank failures and the Russia-Ukraine and Hamas-Israel wars,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020" w:hanging="503"/>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Advancing lunresertib (RP-6306), a first-in-class, oral PKMYT1 inhibitor, for the treatment of molecularly selected advanced solid tumors.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ind w:left="1023" w:hanging="514"/>
        <w:spacing w:after="0" w:line="259" w:lineRule="auto"/>
        <w:tabs>
          <w:tab w:leader="none" w:pos="102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Presented initial positive data from Modules 1 and 2 of our ongoing Phase 1 MYTHIC trial evaluating lunresertib alone and in combination with camonsertib in patients with advanced solid tumors harboring </w:t>
      </w:r>
      <w:r>
        <w:rPr>
          <w:rFonts w:ascii="Arial" w:cs="Arial" w:eastAsia="Arial" w:hAnsi="Arial"/>
          <w:sz w:val="18"/>
          <w:szCs w:val="18"/>
          <w:i w:val="1"/>
          <w:iCs w:val="1"/>
          <w:color w:val="auto"/>
        </w:rPr>
        <w:t>CCNE1</w:t>
      </w:r>
      <w:r>
        <w:rPr>
          <w:rFonts w:ascii="Arial" w:cs="Arial" w:eastAsia="Arial" w:hAnsi="Arial"/>
          <w:sz w:val="18"/>
          <w:szCs w:val="18"/>
          <w:color w:val="auto"/>
        </w:rPr>
        <w:t xml:space="preserve"> amplification or </w:t>
      </w:r>
      <w:r>
        <w:rPr>
          <w:rFonts w:ascii="Arial" w:cs="Arial" w:eastAsia="Arial" w:hAnsi="Arial"/>
          <w:sz w:val="18"/>
          <w:szCs w:val="18"/>
          <w:i w:val="1"/>
          <w:iCs w:val="1"/>
          <w:color w:val="auto"/>
        </w:rPr>
        <w:t>FBXW7</w:t>
      </w:r>
      <w:r>
        <w:rPr>
          <w:rFonts w:ascii="Arial" w:cs="Arial" w:eastAsia="Arial" w:hAnsi="Arial"/>
          <w:sz w:val="18"/>
          <w:szCs w:val="18"/>
          <w:color w:val="auto"/>
        </w:rPr>
        <w:t xml:space="preserve"> or </w:t>
      </w:r>
      <w:r>
        <w:rPr>
          <w:rFonts w:ascii="Arial" w:cs="Arial" w:eastAsia="Arial" w:hAnsi="Arial"/>
          <w:sz w:val="18"/>
          <w:szCs w:val="18"/>
          <w:i w:val="1"/>
          <w:iCs w:val="1"/>
          <w:color w:val="auto"/>
        </w:rPr>
        <w:t>PPP2R1A</w:t>
      </w:r>
      <w:r>
        <w:rPr>
          <w:rFonts w:ascii="Arial" w:cs="Arial" w:eastAsia="Arial" w:hAnsi="Arial"/>
          <w:sz w:val="18"/>
          <w:szCs w:val="18"/>
          <w:color w:val="auto"/>
        </w:rPr>
        <w:t xml:space="preserve"> deleterious alternations (NCT04855656) at the 2023 AACR-NCI-EORTC International Conference and additional data from a later cut-off date in a virtual webcast event we hosted.</w:t>
      </w:r>
    </w:p>
    <w:p>
      <w:pPr>
        <w:spacing w:after="0" w:line="78" w:lineRule="exact"/>
        <w:rPr>
          <w:rFonts w:ascii="Arial" w:cs="Arial" w:eastAsia="Arial" w:hAnsi="Arial"/>
          <w:sz w:val="18"/>
          <w:szCs w:val="18"/>
          <w:color w:val="auto"/>
        </w:rPr>
      </w:pPr>
    </w:p>
    <w:p>
      <w:pPr>
        <w:ind w:left="1523" w:hanging="505"/>
        <w:spacing w:after="0" w:line="277" w:lineRule="auto"/>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As of the September 5, 2023 data cut-off date as presented during our virtual webcast event, we reported that 67 patients were enrolled in Module 1 (monotherapy) and 59 patients in Module 2 (combination therapy).</w:t>
      </w:r>
    </w:p>
    <w:p>
      <w:pPr>
        <w:spacing w:after="0" w:line="62" w:lineRule="exact"/>
        <w:rPr>
          <w:rFonts w:ascii="Arial" w:cs="Arial" w:eastAsia="Arial" w:hAnsi="Arial"/>
          <w:sz w:val="18"/>
          <w:szCs w:val="18"/>
          <w:color w:val="auto"/>
        </w:rPr>
      </w:pPr>
    </w:p>
    <w:p>
      <w:pPr>
        <w:ind w:left="1523" w:hanging="505"/>
        <w:spacing w:after="0"/>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the Module 2 cohort at the combination preliminary recommended Phase 2 dose (RP2D):</w:t>
      </w:r>
    </w:p>
    <w:p>
      <w:pPr>
        <w:spacing w:after="0" w:line="117" w:lineRule="exact"/>
        <w:rPr>
          <w:rFonts w:ascii="Arial" w:cs="Arial" w:eastAsia="Arial" w:hAnsi="Arial"/>
          <w:sz w:val="18"/>
          <w:szCs w:val="18"/>
          <w:color w:val="auto"/>
        </w:rPr>
      </w:pPr>
    </w:p>
    <w:p>
      <w:pPr>
        <w:jc w:val="both"/>
        <w:ind w:left="2043" w:hanging="516"/>
        <w:spacing w:after="0" w:line="263" w:lineRule="auto"/>
        <w:tabs>
          <w:tab w:leader="none" w:pos="2043" w:val="left"/>
        </w:tabs>
        <w:numPr>
          <w:ilvl w:val="3"/>
          <w:numId w:val="8"/>
        </w:numPr>
        <w:rPr>
          <w:rFonts w:ascii="Arial" w:cs="Arial" w:eastAsia="Arial" w:hAnsi="Arial"/>
          <w:sz w:val="18"/>
          <w:szCs w:val="18"/>
          <w:color w:val="auto"/>
        </w:rPr>
      </w:pPr>
      <w:r>
        <w:rPr>
          <w:rFonts w:ascii="Arial" w:cs="Arial" w:eastAsia="Arial" w:hAnsi="Arial"/>
          <w:sz w:val="18"/>
          <w:szCs w:val="18"/>
          <w:color w:val="auto"/>
        </w:rPr>
        <w:t>Protocol-defined overall response (OR) (RECIST or GCIG CA-125 responses) was observed to be 33.3% (N=18). Clinical benefit rate (CBR) (overall response or stable disease of at least 16 weeks without tumor progression) was 50.0%.</w:t>
      </w:r>
    </w:p>
    <w:p>
      <w:pPr>
        <w:spacing w:after="0" w:line="75" w:lineRule="exact"/>
        <w:rPr>
          <w:rFonts w:ascii="Arial" w:cs="Arial" w:eastAsia="Arial" w:hAnsi="Arial"/>
          <w:sz w:val="18"/>
          <w:szCs w:val="18"/>
          <w:color w:val="auto"/>
        </w:rPr>
      </w:pPr>
    </w:p>
    <w:p>
      <w:pPr>
        <w:ind w:left="2043" w:hanging="516"/>
        <w:spacing w:after="0" w:line="308" w:lineRule="auto"/>
        <w:tabs>
          <w:tab w:leader="none" w:pos="2043" w:val="left"/>
        </w:tabs>
        <w:numPr>
          <w:ilvl w:val="3"/>
          <w:numId w:val="8"/>
        </w:numPr>
        <w:rPr>
          <w:rFonts w:ascii="Arial" w:cs="Arial" w:eastAsia="Arial" w:hAnsi="Arial"/>
          <w:sz w:val="17"/>
          <w:szCs w:val="17"/>
          <w:color w:val="auto"/>
        </w:rPr>
      </w:pPr>
      <w:r>
        <w:rPr>
          <w:rFonts w:ascii="Arial" w:cs="Arial" w:eastAsia="Arial" w:hAnsi="Arial"/>
          <w:sz w:val="17"/>
          <w:szCs w:val="17"/>
          <w:color w:val="auto"/>
        </w:rPr>
        <w:t>In the cohort of patients with gynecologic tumors, the RECIST response was 50%, OR was 60%, and CBR was 70%. These patients also had a median of 3 and up to 9 prior lines of therapy, before administration of lunresertib.</w:t>
      </w:r>
    </w:p>
    <w:p>
      <w:pPr>
        <w:spacing w:after="0" w:line="38" w:lineRule="exact"/>
        <w:rPr>
          <w:rFonts w:ascii="Arial" w:cs="Arial" w:eastAsia="Arial" w:hAnsi="Arial"/>
          <w:sz w:val="17"/>
          <w:szCs w:val="17"/>
          <w:color w:val="auto"/>
        </w:rPr>
      </w:pPr>
    </w:p>
    <w:p>
      <w:pPr>
        <w:ind w:left="1523" w:hanging="505"/>
        <w:spacing w:after="0"/>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all evaluable patients in the trial, across all doses (N=55), OR was 23.6% and CBR was 41.8%.</w:t>
      </w:r>
    </w:p>
    <w:p>
      <w:pPr>
        <w:spacing w:after="0" w:line="117" w:lineRule="exact"/>
        <w:rPr>
          <w:rFonts w:ascii="Arial" w:cs="Arial" w:eastAsia="Arial" w:hAnsi="Arial"/>
          <w:sz w:val="18"/>
          <w:szCs w:val="18"/>
          <w:color w:val="auto"/>
        </w:rPr>
      </w:pPr>
    </w:p>
    <w:p>
      <w:pPr>
        <w:ind w:left="1523" w:hanging="505"/>
        <w:spacing w:after="0" w:line="277" w:lineRule="auto"/>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RECIST responses in this ongoing combination trial included 8 confirmed and 3 unconfirmed partial responses (PR). Additionally, 3 patients with ovarian tumors had cancer antigen 125 (CA-125) responses.</w:t>
      </w:r>
    </w:p>
    <w:p>
      <w:pPr>
        <w:spacing w:after="0" w:line="62" w:lineRule="exact"/>
        <w:rPr>
          <w:rFonts w:ascii="Arial" w:cs="Arial" w:eastAsia="Arial" w:hAnsi="Arial"/>
          <w:sz w:val="18"/>
          <w:szCs w:val="18"/>
          <w:color w:val="auto"/>
        </w:rPr>
      </w:pPr>
    </w:p>
    <w:p>
      <w:pPr>
        <w:jc w:val="both"/>
        <w:ind w:left="1523" w:hanging="505"/>
        <w:spacing w:after="0" w:line="263" w:lineRule="auto"/>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Encouraging and highly manageable safety and tolerability was observed for the combination therapy arm of the trial (N=59). The most common treatment-related adverse event (TRAE) was anemia, with Grade 3 occurring in 42% of patients enrolled in the trial:</w:t>
      </w:r>
    </w:p>
    <w:p>
      <w:pPr>
        <w:spacing w:after="0" w:line="75" w:lineRule="exact"/>
        <w:rPr>
          <w:rFonts w:ascii="Arial" w:cs="Arial" w:eastAsia="Arial" w:hAnsi="Arial"/>
          <w:sz w:val="18"/>
          <w:szCs w:val="18"/>
          <w:color w:val="auto"/>
        </w:rPr>
      </w:pPr>
    </w:p>
    <w:p>
      <w:pPr>
        <w:jc w:val="both"/>
        <w:ind w:left="2043" w:hanging="516"/>
        <w:spacing w:after="0" w:line="263" w:lineRule="auto"/>
        <w:tabs>
          <w:tab w:leader="none" w:pos="2043" w:val="left"/>
        </w:tabs>
        <w:numPr>
          <w:ilvl w:val="3"/>
          <w:numId w:val="8"/>
        </w:numPr>
        <w:rPr>
          <w:rFonts w:ascii="Arial" w:cs="Arial" w:eastAsia="Arial" w:hAnsi="Arial"/>
          <w:sz w:val="18"/>
          <w:szCs w:val="18"/>
          <w:color w:val="auto"/>
        </w:rPr>
      </w:pPr>
      <w:r>
        <w:rPr>
          <w:rFonts w:ascii="Arial" w:cs="Arial" w:eastAsia="Arial" w:hAnsi="Arial"/>
          <w:sz w:val="18"/>
          <w:szCs w:val="18"/>
          <w:color w:val="auto"/>
        </w:rPr>
        <w:t>35% of patients did not develop anemia at the preliminary RP2D. Generally, those with Grade 3 anemia had the lowest hemoglobin values at the time of trial enrollment, were intensely pretreated with greater than 4 prior therapies and were of advanced age.</w:t>
      </w:r>
    </w:p>
    <w:p>
      <w:pPr>
        <w:spacing w:after="0" w:line="75" w:lineRule="exact"/>
        <w:rPr>
          <w:rFonts w:ascii="Arial" w:cs="Arial" w:eastAsia="Arial" w:hAnsi="Arial"/>
          <w:sz w:val="18"/>
          <w:szCs w:val="18"/>
          <w:color w:val="auto"/>
        </w:rPr>
      </w:pPr>
    </w:p>
    <w:p>
      <w:pPr>
        <w:jc w:val="both"/>
        <w:ind w:left="2043" w:hanging="516"/>
        <w:spacing w:after="0" w:line="263" w:lineRule="auto"/>
        <w:tabs>
          <w:tab w:leader="none" w:pos="2043" w:val="left"/>
        </w:tabs>
        <w:numPr>
          <w:ilvl w:val="3"/>
          <w:numId w:val="8"/>
        </w:numPr>
        <w:rPr>
          <w:rFonts w:ascii="Arial" w:cs="Arial" w:eastAsia="Arial" w:hAnsi="Arial"/>
          <w:sz w:val="18"/>
          <w:szCs w:val="18"/>
          <w:color w:val="auto"/>
        </w:rPr>
      </w:pPr>
      <w:r>
        <w:rPr>
          <w:rFonts w:ascii="Arial" w:cs="Arial" w:eastAsia="Arial" w:hAnsi="Arial"/>
          <w:sz w:val="18"/>
          <w:szCs w:val="18"/>
          <w:color w:val="auto"/>
        </w:rPr>
        <w:t>The anemia reported by patients in the trial usually improved after a one-week treatment interruption and standard supportive care, and did not lead to any therapy discontinuations for patients who received treatment at the preliminary RP2D.</w:t>
      </w:r>
    </w:p>
    <w:p>
      <w:pPr>
        <w:spacing w:after="0" w:line="75" w:lineRule="exact"/>
        <w:rPr>
          <w:rFonts w:ascii="Arial" w:cs="Arial" w:eastAsia="Arial" w:hAnsi="Arial"/>
          <w:sz w:val="18"/>
          <w:szCs w:val="18"/>
          <w:color w:val="auto"/>
        </w:rPr>
      </w:pPr>
    </w:p>
    <w:p>
      <w:pPr>
        <w:ind w:left="2043" w:hanging="516"/>
        <w:spacing w:after="0"/>
        <w:tabs>
          <w:tab w:leader="none" w:pos="2043" w:val="left"/>
        </w:tabs>
        <w:numPr>
          <w:ilvl w:val="3"/>
          <w:numId w:val="8"/>
        </w:numPr>
        <w:rPr>
          <w:rFonts w:ascii="Arial" w:cs="Arial" w:eastAsia="Arial" w:hAnsi="Arial"/>
          <w:sz w:val="18"/>
          <w:szCs w:val="18"/>
          <w:color w:val="auto"/>
        </w:rPr>
      </w:pPr>
      <w:r>
        <w:rPr>
          <w:rFonts w:ascii="Arial" w:cs="Arial" w:eastAsia="Arial" w:hAnsi="Arial"/>
          <w:sz w:val="18"/>
          <w:szCs w:val="18"/>
          <w:color w:val="auto"/>
        </w:rPr>
        <w:t>There were no Grade 4 or Grade 5 TRAEs reported at the preliminary RP2D.</w:t>
      </w:r>
    </w:p>
    <w:p>
      <w:pPr>
        <w:spacing w:after="0" w:line="117" w:lineRule="exact"/>
        <w:rPr>
          <w:rFonts w:ascii="Arial" w:cs="Arial" w:eastAsia="Arial" w:hAnsi="Arial"/>
          <w:sz w:val="18"/>
          <w:szCs w:val="18"/>
          <w:color w:val="auto"/>
        </w:rPr>
      </w:pPr>
    </w:p>
    <w:p>
      <w:pPr>
        <w:ind w:left="2043" w:hanging="516"/>
        <w:spacing w:after="0" w:line="277" w:lineRule="auto"/>
        <w:tabs>
          <w:tab w:leader="none" w:pos="2043" w:val="left"/>
        </w:tabs>
        <w:numPr>
          <w:ilvl w:val="3"/>
          <w:numId w:val="8"/>
        </w:numPr>
        <w:rPr>
          <w:rFonts w:ascii="Arial" w:cs="Arial" w:eastAsia="Arial" w:hAnsi="Arial"/>
          <w:sz w:val="18"/>
          <w:szCs w:val="18"/>
          <w:color w:val="auto"/>
        </w:rPr>
      </w:pPr>
      <w:r>
        <w:rPr>
          <w:rFonts w:ascii="Arial" w:cs="Arial" w:eastAsia="Arial" w:hAnsi="Arial"/>
          <w:sz w:val="18"/>
          <w:szCs w:val="18"/>
          <w:color w:val="auto"/>
        </w:rPr>
        <w:t>This data indicates that anemia management can be individualized and alleviated with simple patient monitoring. This approach is now being tested in the expansion cohorts of the MYTHIC trial.</w:t>
      </w:r>
    </w:p>
    <w:p>
      <w:pPr>
        <w:spacing w:after="0" w:line="62" w:lineRule="exact"/>
        <w:rPr>
          <w:rFonts w:ascii="Arial" w:cs="Arial" w:eastAsia="Arial" w:hAnsi="Arial"/>
          <w:sz w:val="18"/>
          <w:szCs w:val="18"/>
          <w:color w:val="auto"/>
        </w:rPr>
      </w:pPr>
    </w:p>
    <w:p>
      <w:pPr>
        <w:ind w:left="1523" w:hanging="505"/>
        <w:spacing w:after="0" w:line="277" w:lineRule="auto"/>
        <w:tabs>
          <w:tab w:leader="none" w:pos="1523" w:val="left"/>
        </w:tabs>
        <w:numPr>
          <w:ilvl w:val="2"/>
          <w:numId w:val="8"/>
        </w:numPr>
        <w:rPr>
          <w:rFonts w:ascii="Arial" w:cs="Arial" w:eastAsia="Arial" w:hAnsi="Arial"/>
          <w:sz w:val="18"/>
          <w:szCs w:val="18"/>
          <w:color w:val="auto"/>
        </w:rPr>
      </w:pPr>
      <w:r>
        <w:rPr>
          <w:rFonts w:ascii="Arial" w:cs="Arial" w:eastAsia="Arial" w:hAnsi="Arial"/>
          <w:sz w:val="18"/>
          <w:szCs w:val="18"/>
          <w:color w:val="auto"/>
        </w:rPr>
        <w:t>We expect to report additional combination therapy data from the expansion cohorts of the MYTHIC trial in the second half of 2024.</w:t>
      </w:r>
    </w:p>
    <w:p>
      <w:pPr>
        <w:spacing w:after="0" w:line="62" w:lineRule="exact"/>
        <w:rPr>
          <w:rFonts w:ascii="Arial" w:cs="Arial" w:eastAsia="Arial" w:hAnsi="Arial"/>
          <w:sz w:val="18"/>
          <w:szCs w:val="18"/>
          <w:color w:val="auto"/>
        </w:rPr>
      </w:pPr>
    </w:p>
    <w:p>
      <w:pPr>
        <w:jc w:val="both"/>
        <w:ind w:left="1023" w:hanging="514"/>
        <w:spacing w:after="0" w:line="286" w:lineRule="auto"/>
        <w:tabs>
          <w:tab w:leader="none" w:pos="1023"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expect to report initial data from our ongoing Phase 1 MINOTAUR trial evaluating lunresertib in combination with FOLFIRI (NCT05147350) in the first half of 2024. Additionally, we expect to report initial updated data from our ongoing Phase 1 MAGNETIC trial evaluating lunresertib in combination with gemcitabine (NCT05147272) in the second half of 2024.</w:t>
      </w:r>
    </w:p>
    <w:p>
      <w:pPr>
        <w:spacing w:after="0" w:line="57" w:lineRule="exact"/>
        <w:rPr>
          <w:rFonts w:ascii="Arial" w:cs="Arial" w:eastAsia="Arial" w:hAnsi="Arial"/>
          <w:sz w:val="17"/>
          <w:szCs w:val="17"/>
          <w:color w:val="auto"/>
        </w:rPr>
      </w:pPr>
    </w:p>
    <w:p>
      <w:pPr>
        <w:jc w:val="both"/>
        <w:ind w:left="1023" w:hanging="514"/>
        <w:spacing w:after="0" w:line="263" w:lineRule="auto"/>
        <w:tabs>
          <w:tab w:leader="none" w:pos="1023"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are collaborating with Princess Margaret Cancer Center to initiate clinical testing, as part of an investigator-sponsored trial (IST), of a fourth lunresertib combination with carboplatin and paclitaxel for the treatment of recurrent gynecological malignancies, with first patient dosing expected to take place by the end of this year.</w:t>
      </w:r>
    </w:p>
    <w:p>
      <w:pPr>
        <w:spacing w:after="0" w:line="75" w:lineRule="exact"/>
        <w:rPr>
          <w:rFonts w:ascii="Arial" w:cs="Arial" w:eastAsia="Arial" w:hAnsi="Arial"/>
          <w:sz w:val="18"/>
          <w:szCs w:val="18"/>
          <w:color w:val="auto"/>
        </w:rPr>
      </w:pPr>
    </w:p>
    <w:p>
      <w:pPr>
        <w:jc w:val="both"/>
        <w:ind w:left="1023" w:hanging="514"/>
        <w:spacing w:after="0" w:line="259" w:lineRule="auto"/>
        <w:tabs>
          <w:tab w:leader="none" w:pos="1023"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are also collaborating with the Canadian Cancer Trials Group in an ongoing basket Phase 2 IST that is enrolling patients with selected, advanced cancers receiving lunresertib as combination with gemcitabine (NCT05605509), and in a second active trial that will evaluate lunresertib in combination with gemcitabine in patients with CDK4/6 inhibitor treated ER+/HER2- metastatic breast cancer (NCT05601440).</w:t>
      </w:r>
    </w:p>
    <w:p>
      <w:pPr>
        <w:spacing w:after="0" w:line="74" w:lineRule="exact"/>
        <w:rPr>
          <w:rFonts w:ascii="Arial" w:cs="Arial" w:eastAsia="Arial" w:hAnsi="Arial"/>
          <w:sz w:val="18"/>
          <w:szCs w:val="18"/>
          <w:color w:val="auto"/>
        </w:rPr>
      </w:pPr>
    </w:p>
    <w:p>
      <w:pPr>
        <w:jc w:val="both"/>
        <w:ind w:left="503" w:hanging="503"/>
        <w:spacing w:after="0" w:line="266"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Advancing camonsertib (RP-3500 / RG6526), a potent and selective oral small molecule inhibitor of ATR (Ataxia-Telangiectasia and Rad3-related protein kinase) for the treatment of tumors with specific synthetic lethal genomic alterations in partnership with Roche.</w:t>
      </w:r>
    </w:p>
    <w:p>
      <w:pPr>
        <w:spacing w:after="0" w:line="71" w:lineRule="exact"/>
        <w:rPr>
          <w:rFonts w:ascii="Arial" w:cs="Arial" w:eastAsia="Arial" w:hAnsi="Arial"/>
          <w:sz w:val="18"/>
          <w:szCs w:val="18"/>
          <w:color w:val="auto"/>
        </w:rPr>
      </w:pPr>
    </w:p>
    <w:p>
      <w:pPr>
        <w:jc w:val="both"/>
        <w:ind w:left="1023" w:hanging="514"/>
        <w:spacing w:after="0" w:line="259" w:lineRule="auto"/>
        <w:tabs>
          <w:tab w:leader="none" w:pos="1023" w:val="left"/>
        </w:tabs>
        <w:numPr>
          <w:ilvl w:val="1"/>
          <w:numId w:val="8"/>
        </w:numPr>
        <w:rPr>
          <w:rFonts w:ascii="Arial" w:cs="Arial" w:eastAsia="Arial" w:hAnsi="Arial"/>
          <w:sz w:val="18"/>
          <w:szCs w:val="18"/>
          <w:color w:val="auto"/>
        </w:rPr>
      </w:pPr>
      <w:r>
        <w:rPr>
          <w:rFonts w:ascii="Arial" w:cs="Arial" w:eastAsia="Arial" w:hAnsi="Arial"/>
          <w:sz w:val="18"/>
          <w:szCs w:val="18"/>
          <w:color w:val="auto"/>
        </w:rPr>
        <w:t>Roche has included a camonsertib-based arm in its Phase 2, global, multicenter, open-label, multi-cohort TAPISTRY trial (NCT04589845) and its Phase 1/2 study of multiple immunotherapy-based treatment combinations in participants with metastatic non-small cell lung cancer (Morpheus Lung; NCT03337698). We are eligible to receive a milestone payment of $40 million upon enrollment of the first patient with camonsertib in the TAPISTRY trial, which is</w:t>
      </w:r>
    </w:p>
    <w:p>
      <w:pPr>
        <w:spacing w:after="0" w:line="187"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23" w:name="page24"/>
    <w:bookmarkEnd w:id="23"/>
    <w:p>
      <w:pPr>
        <w:ind w:left="1540"/>
        <w:spacing w:after="0"/>
        <w:rPr>
          <w:sz w:val="20"/>
          <w:szCs w:val="20"/>
          <w:color w:val="auto"/>
        </w:rPr>
      </w:pPr>
      <w:r>
        <w:rPr>
          <w:rFonts w:ascii="Arial" w:cs="Arial" w:eastAsia="Arial" w:hAnsi="Arial"/>
          <w:sz w:val="17"/>
          <w:szCs w:val="17"/>
          <w:color w:val="auto"/>
        </w:rPr>
        <w:t>expected by year-end, and could be eligible for an additional $15 million milestone payment if this study becomes registrational.</w:t>
      </w:r>
    </w:p>
    <w:p>
      <w:pPr>
        <w:spacing w:after="0" w:line="129" w:lineRule="exact"/>
        <w:rPr>
          <w:sz w:val="20"/>
          <w:szCs w:val="20"/>
          <w:color w:val="auto"/>
        </w:rPr>
      </w:pPr>
    </w:p>
    <w:p>
      <w:pPr>
        <w:ind w:left="1540" w:right="20" w:hanging="514"/>
        <w:spacing w:after="0" w:line="308" w:lineRule="auto"/>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We are continuing to conduct dose optimization and efficacy assessments in tumor specific expansions in the ATTACC clinical trial in collaboration with Roche to support future clinical development plans for camonsertib combinations with PARP inhibitors.</w:t>
      </w:r>
    </w:p>
    <w:p>
      <w:pPr>
        <w:spacing w:after="0" w:line="38" w:lineRule="exact"/>
        <w:rPr>
          <w:rFonts w:ascii="Arial" w:cs="Arial" w:eastAsia="Arial" w:hAnsi="Arial"/>
          <w:sz w:val="17"/>
          <w:szCs w:val="17"/>
          <w:color w:val="auto"/>
        </w:rPr>
      </w:pPr>
    </w:p>
    <w:p>
      <w:pPr>
        <w:jc w:val="both"/>
        <w:ind w:left="1540" w:hanging="514"/>
        <w:spacing w:after="0" w:line="291"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We also presented clinical and preclinical data from our ongoing Phase 1b TRESR clinical trial evaluating camonsertib in combination with gemcitabine in patients with solid tumors with ATR inhibitor sensitizing mutations at the AACR-NCI-EROTC conference. The latest data cut from the trial continues to show the benefits of combination therapy, which has led to anti-tumor activity in heavily pretreated patients, including 7 patients (N=28) with confirmed or unconfirmed PRs per RECIST, or GCIG CA-125 responses (N=28), with responses observed primarily in patients with gynecologic cancers. Overall molecular response rate (MRR) of 57%, along with 82% decrease in circulating tumor DNA (ctDNA). The combination therapy was found to be safe and well-tolerated to date, with no drug-drug interactions observed. Efficacy assessment is ongoing at the proposed RP2D in patients with ovarian cancer</w:t>
      </w:r>
    </w:p>
    <w:p>
      <w:pPr>
        <w:spacing w:after="0" w:line="54"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Advancing preclinical programs into clinical development.</w:t>
      </w:r>
    </w:p>
    <w:p>
      <w:pPr>
        <w:spacing w:after="0" w:line="121" w:lineRule="exact"/>
        <w:rPr>
          <w:rFonts w:ascii="Arial" w:cs="Arial" w:eastAsia="Arial" w:hAnsi="Arial"/>
          <w:sz w:val="18"/>
          <w:szCs w:val="18"/>
          <w:color w:val="auto"/>
        </w:rPr>
      </w:pPr>
    </w:p>
    <w:p>
      <w:pPr>
        <w:ind w:left="1540" w:right="20" w:hanging="514"/>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RP-1664 IND-enabling studies, which began in the first quarter of 2023, are nearing completion and we expect to initiate a clinical trial in the first half of 2024.</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RP-3467 is our wholly-owned Polθ inhibitor, currently in IND-enabling studies, which began in the second quarter of 2023 and remain ongoing. We expect to initiate a clinical trial in the second half of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revenue from collaboration agreements: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540" w:type="dxa"/>
            <w:vAlign w:val="bottom"/>
            <w:gridSpan w:val="5"/>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Roche Collaboration and License Agreement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1,659</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112,344</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87"/>
              </w:rPr>
              <w:t>11,796</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112,344</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Bristol Myers Squibb Collaboration and License Agreement</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w w:val="90"/>
              </w:rPr>
              <w:t>15,817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Ono Collaboration Agreement</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90"/>
              </w:rPr>
              <w:t>10,473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2,159</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112,545</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ind w:left="260"/>
              <w:spacing w:after="0"/>
              <w:rPr>
                <w:sz w:val="20"/>
                <w:szCs w:val="20"/>
                <w:color w:val="auto"/>
              </w:rPr>
            </w:pPr>
            <w:r>
              <w:rPr>
                <w:rFonts w:ascii="Arial" w:cs="Arial" w:eastAsia="Arial" w:hAnsi="Arial"/>
                <w:sz w:val="18"/>
                <w:szCs w:val="18"/>
                <w:color w:val="auto"/>
                <w:w w:val="90"/>
              </w:rPr>
              <w:t>38,086</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113,632</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Hoffmann-La Roche Inc. and F. Hoffmann-La Roche Ltd</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June 1, 2022, we entered into a collaboration and license agreement, or the Roche Agreement, with Roche regarding the development and commercialization of our product candidate camonsertib (also known as RP-3500 or RG6526) and specified other ATR inhibitors, which we refer to as the Licensed Products. The transaction was subject to clearance under the Hart-Scott-Rodino Antitrust Improvements Act of 1976 and other customary closing conditions, which were met on July 13, 2022.</w:t>
      </w:r>
    </w:p>
    <w:p>
      <w:pPr>
        <w:spacing w:after="0" w:line="1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Under the Roche Agreement, we granted Roche a worldwide, perpetual, exclusive, sublicensable license to develop, manufacture, and commercialize the Licensed Products. Roche assumes all subsequent development of camonsertib with the potential to expand development into additional tumors and multiple combination studies. We have agreed to complete specified ongoing clinical trials in accordance with the development plan in the Roche Agreement, as well as ongoing investigator sponsored trials, or together, the Continuing Trials, at our expense. We also retained the right to conduct specified clinical trials of camonsertib in combination with our PKMYT1 compound (also known as lunresertib).</w:t>
      </w:r>
    </w:p>
    <w:p>
      <w:pPr>
        <w:spacing w:after="0" w:line="1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ind w:firstLine="509"/>
        <w:spacing w:after="0" w:line="296" w:lineRule="auto"/>
        <w:rPr>
          <w:sz w:val="20"/>
          <w:szCs w:val="20"/>
          <w:color w:val="auto"/>
        </w:rPr>
      </w:pPr>
      <w:r>
        <w:rPr>
          <w:rFonts w:ascii="Arial" w:cs="Arial" w:eastAsia="Arial" w:hAnsi="Arial"/>
          <w:sz w:val="16"/>
          <w:szCs w:val="16"/>
          <w:color w:val="auto"/>
        </w:rPr>
        <w:t>Under the terms of the Roche Agreement, we received an upfront payment of $125 million in July 2022, and are eligible to receive up to $1.172 billion in potential clinical, regulatory, commercial and sales milestones, as well as royalties on global net sales ranging from high-single-digits to high-teens. The Roche Agreement also provides us with the ability to opt-in to a 50/50 U.S. co-development and profit share arrangement, including participation in U.S. co-promotion if U.S. regulatory approval is received. If we choose to exercise its co-development and profit share option, we will continue to be eligible to receive certain clinical, regulatory, commercial and sales milestone payments, in addition to full ex-U.S. royalties.</w:t>
      </w:r>
    </w:p>
    <w:p>
      <w:pPr>
        <w:spacing w:after="0" w:line="1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determined that the transaction price at the onset of the Roche Agreement was $134.6 million, being (i) the total non-refundable upfront payment received of $125.0 million, (ii) the additional $4.0 million payment received, negotiated with Roche for revisions to the clinical development plan under the Roche Agreement as agreed at the time of the effective date of the Roche Agreement, and (iii) the $5.6 million received for the transfer of clinical trial materials.</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February 2023, we received a further payment of $4.0 million negotiated with Roche for additional revisions to the clinical development plan. We determined that the scope and the price of the Roche Agreement had increased as a result of these additional changes and, thus, reflected a contract modification under ASC 606. The transaction price was updated for the additional consideration of $4.0 million, which has been allocated to the completion of the Continuing Trials performance obligation.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100" w:type="dxa"/>
            <w:vAlign w:val="bottom"/>
          </w:tcPr>
          <w:p>
            <w:pPr>
              <w:spacing w:after="0"/>
              <w:rPr>
                <w:sz w:val="16"/>
                <w:szCs w:val="16"/>
                <w:color w:val="auto"/>
              </w:rPr>
            </w:pPr>
          </w:p>
        </w:tc>
        <w:tc>
          <w:tcPr>
            <w:tcW w:w="18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2"/>
              </w:rPr>
              <w:t>Transaction price</w:t>
            </w:r>
          </w:p>
        </w:tc>
      </w:tr>
      <w:tr>
        <w:trPr>
          <w:trHeight w:val="169"/>
        </w:trPr>
        <w:tc>
          <w:tcPr>
            <w:tcW w:w="9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Combined licenses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105,327</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Completion of Continuing Trials</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30,585</w:t>
            </w:r>
          </w:p>
        </w:tc>
        <w:tc>
          <w:tcPr>
            <w:tcW w:w="100" w:type="dxa"/>
            <w:vAlign w:val="bottom"/>
          </w:tcPr>
          <w:p>
            <w:pPr>
              <w:spacing w:after="0"/>
              <w:rPr>
                <w:sz w:val="20"/>
                <w:szCs w:val="20"/>
                <w:color w:val="auto"/>
              </w:rPr>
            </w:pPr>
          </w:p>
        </w:tc>
      </w:tr>
      <w:tr>
        <w:trPr>
          <w:trHeight w:val="24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clinical trial materials</w:t>
            </w:r>
          </w:p>
        </w:tc>
        <w:tc>
          <w:tcPr>
            <w:tcW w:w="1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ind w:left="200"/>
              <w:spacing w:after="0"/>
              <w:rPr>
                <w:sz w:val="20"/>
                <w:szCs w:val="20"/>
                <w:color w:val="auto"/>
              </w:rPr>
            </w:pPr>
            <w:r>
              <w:rPr>
                <w:rFonts w:ascii="Arial" w:cs="Arial" w:eastAsia="Arial" w:hAnsi="Arial"/>
                <w:sz w:val="18"/>
                <w:szCs w:val="18"/>
                <w:color w:val="auto"/>
              </w:rPr>
              <w:t>Total transaction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138,626</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9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Completion of Continuing</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Roche Agreement</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Trials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0"/>
              <w:spacing w:after="0"/>
              <w:rPr>
                <w:sz w:val="20"/>
                <w:szCs w:val="20"/>
                <w:color w:val="auto"/>
              </w:rPr>
            </w:pPr>
            <w:r>
              <w:rPr>
                <w:rFonts w:ascii="Arial" w:cs="Arial" w:eastAsia="Arial" w:hAnsi="Arial"/>
                <w:sz w:val="18"/>
                <w:szCs w:val="18"/>
                <w:color w:val="auto"/>
              </w:rPr>
              <w:t>Increase in collaboration revenue receivable</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(5,312 )</w:t>
            </w:r>
          </w:p>
        </w:tc>
      </w:tr>
      <w:tr>
        <w:trPr>
          <w:trHeight w:val="237"/>
        </w:trPr>
        <w:tc>
          <w:tcPr>
            <w:tcW w:w="9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223"/>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224"/>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Classified as short-term</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00"/>
              <w:spacing w:after="0"/>
              <w:rPr>
                <w:sz w:val="20"/>
                <w:szCs w:val="20"/>
                <w:color w:val="auto"/>
              </w:rPr>
            </w:pPr>
            <w:r>
              <w:rPr>
                <w:rFonts w:ascii="Arial" w:cs="Arial" w:eastAsia="Arial" w:hAnsi="Arial"/>
                <w:sz w:val="18"/>
                <w:szCs w:val="18"/>
                <w:color w:val="auto"/>
              </w:rPr>
              <w:t>Classified as long-term</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-2417445</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recognized $1.7 million and $11.8 million as revenue for the three and nine months ended September 30, 2023, respectively in recognition of research and development services performed towards the completion of the Continuing Trials under the Roche Agreement. Adjustments to revenue previously recognized based on updated measures of progress related to the completion of the Continuing Trials have been recognized on a cumulative catch-up basis in the three and nine months ended September 30, 2023.</w:t>
      </w:r>
    </w:p>
    <w:p>
      <w:pPr>
        <w:spacing w:after="0" w:line="18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recognized $112.3 million for the three and nine months ended September 30, 2022 as revenue associated with the Roche Agreement, of which $105.3 million related to the grant of the combined licenses, $2.7 million related to the clinical trial materials transferred, and $4.3 million related to the partial recognition of deferred revenue for research and development services performed towards the completion of the Continuing Trials during the period.</w:t>
      </w:r>
    </w:p>
    <w:p>
      <w:pPr>
        <w:spacing w:after="0" w:line="14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of September 30, 2023, there was $10.2 million (December 31, 2022 - $18.0 million) of deferred revenue related to the Roche Agreement, of which $7.7 million (December 31, 2022 - $15.3 million) was classified as current and $2.5 million (December 31, 2022 - $2.7 million) was classified as non-current in the condensed consolidated balance sheet based on the period the services to complete the Continuing Trials are expected to be performed.</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Bristol-Myers Squibb Company</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May 2020, we entered into a collaboration and license agreement, or the BMS Agreement, with the Bristol Myers Squibb Company, or Bristol Myers Squibb, pursuant to which we and Bristol Myers Squibb have agreed to collaborate in the research and development of potential new product candidates for the treatment of cancer. We are providing Bristol Myers Squibb access to a selected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number of our existing screening campaigns and novel campaigns. We are responsible for carrying out early-stage research activities directed to identifying potential targets for potential licensing by Bristol Myers Squibb.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BMS Agreement was subsequently amended in July, September and November 2020 to include additional campaigns to the list of existing campaigns from which Bristol Myers Squibb may select campaigns under the BMS Agreement and to enable unblinding of a Bristol Myers Squibb alliance manager in order to streamline the collaboration process. The BMS Agreement was also amended in May 2023 to extend review periods for specified targets.</w:t>
      </w:r>
    </w:p>
    <w:p>
      <w:pPr>
        <w:spacing w:after="0" w:line="18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part of the BMS Agreement, Bristol Myers Squibb paid us an initial upfront fee of $50.0 million and made an equity investment of $15.0 million in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spacing w:after="0" w:line="1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$50.0 million upfront payment was recorded as deferred revenue on our consolidated balance sheet and is expected to be partially recognized at the point in time when option licenses are exercised by Bristol Myers Squibb, with the remainder being recognized on a proportional performance basis over the period of service for research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Transaction price</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Borders>
              <w:top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activities</w:t>
            </w: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Options to license druggable targets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license undruggable targets</w:t>
            </w: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0"/>
              <w:spacing w:after="0"/>
              <w:rPr>
                <w:sz w:val="20"/>
                <w:szCs w:val="20"/>
                <w:color w:val="auto"/>
              </w:rPr>
            </w:pPr>
            <w:r>
              <w:rPr>
                <w:rFonts w:ascii="Arial" w:cs="Arial" w:eastAsia="Arial" w:hAnsi="Arial"/>
                <w:sz w:val="18"/>
                <w:szCs w:val="18"/>
                <w:color w:val="auto"/>
              </w:rPr>
              <w:t>Total transaction price</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Options to license</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Options to license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22"/>
              <w:spacing w:after="0" w:line="149" w:lineRule="exact"/>
              <w:rPr>
                <w:sz w:val="20"/>
                <w:szCs w:val="20"/>
                <w:color w:val="auto"/>
              </w:rPr>
            </w:pPr>
            <w:r>
              <w:rPr>
                <w:rFonts w:ascii="Arial" w:cs="Arial" w:eastAsia="Arial" w:hAnsi="Arial"/>
                <w:sz w:val="14"/>
                <w:szCs w:val="14"/>
                <w:b w:val="1"/>
                <w:bCs w:val="1"/>
                <w:color w:val="auto"/>
                <w:w w:val="94"/>
              </w:rPr>
              <w:t>undruggable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BMS Agreement</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Research activities</w:t>
            </w:r>
          </w:p>
        </w:tc>
        <w:tc>
          <w:tcPr>
            <w:tcW w:w="12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druggable targets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targets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gridSpan w:val="5"/>
          </w:tcPr>
          <w:p>
            <w:pPr>
              <w:jc w:val="right"/>
              <w:ind w:right="74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(366 )</w:t>
            </w:r>
          </w:p>
        </w:tc>
        <w:tc>
          <w:tcPr>
            <w:tcW w:w="3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2023</w:t>
            </w:r>
          </w:p>
        </w:tc>
        <w:tc>
          <w:tcPr>
            <w:tcW w:w="4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40" w:type="dxa"/>
            <w:vAlign w:val="bottom"/>
          </w:tcPr>
          <w:p>
            <w:pPr>
              <w:ind w:left="200"/>
              <w:spacing w:after="0"/>
              <w:rPr>
                <w:sz w:val="20"/>
                <w:szCs w:val="20"/>
                <w:color w:val="auto"/>
              </w:rPr>
            </w:pPr>
            <w:r>
              <w:rPr>
                <w:rFonts w:ascii="Arial" w:cs="Arial" w:eastAsia="Arial" w:hAnsi="Arial"/>
                <w:sz w:val="18"/>
                <w:szCs w:val="18"/>
                <w:color w:val="auto"/>
              </w:rPr>
              <w:t>Increase in collaboration revenue receivable</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shd w:val="clear" w:color="auto" w:fill="CFF0FC"/>
          </w:tcPr>
          <w:p>
            <w:pPr>
              <w:spacing w:after="0"/>
              <w:rPr>
                <w:sz w:val="19"/>
                <w:szCs w:val="19"/>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(1,242 )</w:t>
            </w:r>
          </w:p>
        </w:tc>
        <w:tc>
          <w:tcPr>
            <w:tcW w:w="380" w:type="dxa"/>
            <w:vAlign w:val="bottom"/>
            <w:shd w:val="clear" w:color="auto" w:fill="CFF0FC"/>
          </w:tcPr>
          <w:p>
            <w:pPr>
              <w:spacing w:after="0"/>
              <w:rPr>
                <w:sz w:val="19"/>
                <w:szCs w:val="19"/>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(13,709 )</w:t>
            </w:r>
          </w:p>
        </w:tc>
        <w:tc>
          <w:tcPr>
            <w:tcW w:w="14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(14,951 )</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June 30, 2023</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FF0FC"/>
          </w:tcPr>
          <w:p>
            <w:pPr>
              <w:ind w:left="200"/>
              <w:spacing w:after="0" w:line="195" w:lineRule="exact"/>
              <w:rPr>
                <w:sz w:val="20"/>
                <w:szCs w:val="20"/>
                <w:color w:val="auto"/>
              </w:rPr>
            </w:pPr>
            <w:r>
              <w:rPr>
                <w:rFonts w:ascii="Arial" w:cs="Arial" w:eastAsia="Arial" w:hAnsi="Arial"/>
                <w:sz w:val="18"/>
                <w:szCs w:val="18"/>
                <w:color w:val="auto"/>
              </w:rPr>
              <w:t>Recognition as revenue, as the result of performance obligations</w:t>
            </w:r>
          </w:p>
        </w:tc>
        <w:tc>
          <w:tcPr>
            <w:tcW w:w="4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(500 )</w:t>
            </w:r>
          </w:p>
        </w:tc>
        <w:tc>
          <w:tcPr>
            <w:tcW w:w="38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satisfied</w:t>
            </w:r>
          </w:p>
        </w:tc>
        <w:tc>
          <w:tcPr>
            <w:tcW w:w="42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2023</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Classified as short-term</w:t>
            </w:r>
          </w:p>
        </w:tc>
        <w:tc>
          <w:tcPr>
            <w:tcW w:w="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-1276350</wp:posOffset>
            </wp:positionV>
            <wp:extent cx="253746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37460" cy="17970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-814070</wp:posOffset>
            </wp:positionV>
            <wp:extent cx="7747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-814070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-814070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-342265</wp:posOffset>
            </wp:positionV>
            <wp:extent cx="7747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-342265</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-342265</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recognized $0.5 million and $2.1 million as revenue for the three and nine months ended September 30, 2023. respectively, and $0.2 million and $1.3 million for the three and nine months ended September 30, 2022, respectively, in recognition of deferred revenue for research activities performed under the BMS Agreement.</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May 2023, Bristol Myers Squibb exercised its option for a druggable target and in June 2023, Bristol Myers Squibb waived its rights to exercise an option for a druggable target. As a result, we recognized nil and $12.7 million as revenue related to druggable targets for the three and nine months ended September 30, 2023, respectively (nil for the three and nine months ended September 30, 2022), including the option fee payment of $0.25 million, which was received in July 2023.</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May 2023, Bristol Myers Squibb also triggered a $1.0 million further development election for a previously exercised druggable target, which was received in July 2023. As such, we recognized nil and $1.0 million for this specified research milestone as revenue during the three and nine months ended September 30, 2023, respectively (nil for the three and nine months ended September 30,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ind w:firstLine="509"/>
        <w:spacing w:after="0" w:line="263" w:lineRule="auto"/>
        <w:rPr>
          <w:sz w:val="20"/>
          <w:szCs w:val="20"/>
          <w:color w:val="auto"/>
        </w:rPr>
      </w:pPr>
      <w:r>
        <w:rPr>
          <w:rFonts w:ascii="Arial" w:cs="Arial" w:eastAsia="Arial" w:hAnsi="Arial"/>
          <w:sz w:val="18"/>
          <w:szCs w:val="18"/>
          <w:color w:val="auto"/>
        </w:rPr>
        <w:t>As of September 30, 2023, there was $12.8 million (December 31, 2022 - $27.4 million) of deferred revenue related to the BMS Agreement, which was classified as current in the condensed consolidated balance sheet based on the period the services are expected to be performed, the expected timing of potential option exercises for undruggable targets, and the expected expiry of the BMS Agreement.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January 2019, we entered into a research services, license and collaboration agreement, or the Ono Agreement, with Ono Pharmaceutical Company Ltd., or Ono, pursuant to which we and Ono agreed to collaborate in the research of potential product candidates targeting Polθ and the development of our small molecule Polθ inhibitor program. Pursuant to the terms of the agreement, we received initial upfront payments of approximately $8.1 million. These upfront payments were recorded as deferred revenue on our consolidated balance sheet as per our revenue recognition accounting policy and were to be recognized as revenue at the point in time when a product candidate was licensed to Ono pursuant to the terms of the agreement.</w:t>
      </w:r>
    </w:p>
    <w:p>
      <w:pPr>
        <w:spacing w:after="0" w:line="1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October 2021 and December 2022, we achieved specified research triggers amounting to ¥100 million ($0.9 million) and ¥200 million ($1.5 million), respectively, as research service payments provided for in the Ono Agreement. The ¥200 million ($1.5 million) was included in the collaboration revenue receivable at December 31, 2022 and was subsequently received in January 2023. These amounts were added to the transaction price as the consideration was no longer constrained.</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October 2021, we and Ono entered into an amendment to the Ono Agreement whereby the research term, as defined in the Ono Agreement, was extended by one year. In January 2023, we and Ono entered into a second amendment to the Ono Agreement whereby the Research Term, as defined in the Ono Agreement, was extended until July 31, 2023.</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June 2023, we and Ono determined not to further extend the term of the Ono Agreement. As a result, no product candidate will be licensed to Ono pursuant to the terms of the Ono Agreement. We recognized nil and $10.5 million as revenue for the three and nine months ended September 30, 2023, respectively (nil for the three and nine months ended September 30, 2022), with regards to the performance obligation under the Ono Agreement. In July 2023, Ono provided us with a formal notice to terminate the Ono Agreement without cause as defined in the Ono Agreement. As a result of this termination, all rights to the Polθ program have reverted back to us.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Deferred revenue pertaining to the Ono Agreement</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7"/>
              </w:rPr>
              <w:t>Research activities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2023</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260" w:type="dxa"/>
            <w:vAlign w:val="bottom"/>
          </w:tcPr>
          <w:p>
            <w:pPr>
              <w:ind w:left="200"/>
              <w:spacing w:after="0"/>
              <w:rPr>
                <w:sz w:val="20"/>
                <w:szCs w:val="20"/>
                <w:color w:val="auto"/>
              </w:rPr>
            </w:pPr>
            <w:r>
              <w:rPr>
                <w:rFonts w:ascii="Arial" w:cs="Arial" w:eastAsia="Arial" w:hAnsi="Arial"/>
                <w:sz w:val="18"/>
                <w:szCs w:val="18"/>
                <w:color w:val="auto"/>
              </w:rPr>
              <w:t>Recognition as revenue, as the result of performance obligations satisfied</w:t>
            </w:r>
          </w:p>
        </w:tc>
        <w:tc>
          <w:tcPr>
            <w:tcW w:w="24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(10,473 )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2023</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partially offset by fully refundable Canadian research and development tax credits. We expense research and development costs as incurred, which include:</w:t>
      </w:r>
    </w:p>
    <w:p>
      <w:pPr>
        <w:spacing w:after="0" w:line="76" w:lineRule="exact"/>
        <w:rPr>
          <w:sz w:val="20"/>
          <w:szCs w:val="20"/>
          <w:color w:val="auto"/>
        </w:rPr>
      </w:pPr>
    </w:p>
    <w:p>
      <w:pPr>
        <w:ind w:left="1020" w:hanging="503"/>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and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Discovery costs</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Direct external costs*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2,428</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5,800</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Laboratory supplies and research materials</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Personnel related costs*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Facilities related costs</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Other costs*</w:t>
            </w: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0"/>
                <w:szCs w:val="20"/>
                <w:color w:val="auto"/>
              </w:rPr>
            </w:pPr>
          </w:p>
        </w:tc>
      </w:tr>
      <w:tr>
        <w:trPr>
          <w:trHeight w:val="237"/>
        </w:trPr>
        <w:tc>
          <w:tcPr>
            <w:tcW w:w="47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Direct external costs</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Camonsertib program*</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Lunresertib program*</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RP-1664 program</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RP-3467 and Polθ program</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Personnel related costs*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Facilities related costs</w:t>
            </w: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Other costs*</w:t>
            </w: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0"/>
                <w:szCs w:val="20"/>
                <w:color w:val="auto"/>
              </w:rPr>
            </w:pPr>
          </w:p>
        </w:tc>
      </w:tr>
      <w:tr>
        <w:trPr>
          <w:trHeight w:val="236"/>
        </w:trPr>
        <w:tc>
          <w:tcPr>
            <w:tcW w:w="47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R&amp;D tax credits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(305 )</w:t>
            </w:r>
          </w:p>
        </w:tc>
        <w:tc>
          <w:tcPr>
            <w:tcW w:w="360" w:type="dxa"/>
            <w:vAlign w:val="bottom"/>
          </w:tcPr>
          <w:p>
            <w:pPr>
              <w:spacing w:after="0"/>
              <w:rPr>
                <w:sz w:val="20"/>
                <w:szCs w:val="20"/>
                <w:color w:val="auto"/>
              </w:rPr>
            </w:pPr>
          </w:p>
        </w:tc>
        <w:tc>
          <w:tcPr>
            <w:tcW w:w="1020" w:type="dxa"/>
            <w:vAlign w:val="bottom"/>
            <w:gridSpan w:val="2"/>
          </w:tcPr>
          <w:p>
            <w:pPr>
              <w:jc w:val="right"/>
              <w:ind w:right="93"/>
              <w:spacing w:after="0"/>
              <w:rPr>
                <w:sz w:val="20"/>
                <w:szCs w:val="20"/>
                <w:color w:val="auto"/>
              </w:rPr>
            </w:pPr>
            <w:r>
              <w:rPr>
                <w:rFonts w:ascii="Arial" w:cs="Arial" w:eastAsia="Arial" w:hAnsi="Arial"/>
                <w:sz w:val="18"/>
                <w:szCs w:val="18"/>
                <w:color w:val="auto"/>
              </w:rPr>
              <w:t>(309 )</w:t>
            </w:r>
          </w:p>
        </w:tc>
        <w:tc>
          <w:tcPr>
            <w:tcW w:w="3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(1,048 )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(1,035 )</w:t>
            </w:r>
          </w:p>
        </w:tc>
      </w:tr>
      <w:tr>
        <w:trPr>
          <w:trHeight w:val="276"/>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costs</w:t>
            </w:r>
          </w:p>
        </w:tc>
        <w:tc>
          <w:tcPr>
            <w:tcW w:w="1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31,242</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98,327</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69"/>
        </w:trPr>
        <w:tc>
          <w:tcPr>
            <w:tcW w:w="4700" w:type="dxa"/>
            <w:vAlign w:val="bottom"/>
          </w:tcPr>
          <w:p>
            <w:pPr>
              <w:spacing w:after="0"/>
              <w:rPr>
                <w:sz w:val="20"/>
                <w:szCs w:val="20"/>
                <w:color w:val="auto"/>
              </w:rPr>
            </w:pPr>
            <w:r>
              <w:rPr>
                <w:rFonts w:ascii="Arial" w:cs="Arial" w:eastAsia="Arial" w:hAnsi="Arial"/>
                <w:sz w:val="14"/>
                <w:szCs w:val="14"/>
                <w:color w:val="auto"/>
              </w:rPr>
              <w:t>*Certain amounts have been reclassified for presentation purposes.</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8"/>
        </w:trPr>
        <w:tc>
          <w:tcPr>
            <w:tcW w:w="47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-2365375</wp:posOffset>
            </wp:positionV>
            <wp:extent cx="6858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-2365375</wp:posOffset>
            </wp:positionV>
            <wp:extent cx="685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-2365375</wp:posOffset>
            </wp:positionV>
            <wp:extent cx="6858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-805180</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685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-805180</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-479425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-462280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-479425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-479425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-462280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09"/>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77" w:lineRule="exact"/>
        <w:rPr>
          <w:sz w:val="20"/>
          <w:szCs w:val="20"/>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the FDA, the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directors and officers insurance expenses, investor and public relations expenses and other general administrative expenses.</w:t>
      </w:r>
    </w:p>
    <w:p>
      <w:pPr>
        <w:spacing w:after="0" w:line="1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significant accounting, audit, legal, regulatory, compliance and directors and officers' insurance costs as well as investor and public relations expenses.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consists primarily of realized and unrealized gains and losses on foreign exchange, interest income earned on cash and cash equivalents and marketable securities, and other expenses such as interest and bank charges.</w:t>
      </w:r>
    </w:p>
    <w:p>
      <w:pPr>
        <w:spacing w:after="0" w:line="17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Realized and unrealized gains and losses on foreign exchange consist of realized and unrealized gains and losses from holding cash and foreign currency denominated other receivables, accounts payable, accrued expenses and other current liabilities as well as operating lease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411"/>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2,159</w:t>
            </w:r>
          </w:p>
        </w:tc>
        <w:tc>
          <w:tcPr>
            <w:tcW w:w="280" w:type="dxa"/>
            <w:vAlign w:val="bottom"/>
          </w:tcPr>
          <w:p>
            <w:pPr>
              <w:spacing w:after="0"/>
              <w:rPr>
                <w:sz w:val="20"/>
                <w:szCs w:val="20"/>
                <w:color w:val="auto"/>
              </w:rPr>
            </w:pP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112,545</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(110,386 )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32,709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31,242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36"/>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40,577</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(111,817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(loss) gain on foreign exchange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(40 )</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(166 )</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(32 )</w:t>
            </w:r>
          </w:p>
        </w:tc>
        <w:tc>
          <w:tcPr>
            <w:tcW w:w="5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net</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Income tax recovery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(54 )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75,461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-1610995</wp:posOffset>
            </wp:positionV>
            <wp:extent cx="7747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-1610995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-668020</wp:posOffset>
            </wp:positionV>
            <wp:extent cx="7747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was $2.2 million for the three months ended September 30, 2023, compared to $112.5 million for three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$110.3 million was due to:</w:t>
      </w:r>
    </w:p>
    <w:p>
      <w:pPr>
        <w:spacing w:after="0" w:line="103" w:lineRule="exact"/>
        <w:rPr>
          <w:sz w:val="20"/>
          <w:szCs w:val="20"/>
          <w:color w:val="auto"/>
        </w:rPr>
      </w:pPr>
    </w:p>
    <w:p>
      <w:pPr>
        <w:jc w:val="both"/>
        <w:ind w:left="102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$110.6 million decrease in revenue recognized under the Roche Agreement mainly as a result of the $108.0 million revenue recognized in the third quarter of 2022 pursuant to the satisfaction of our performance obligations for the issuance of the combined licenses and the clinical trial materials transferred; and</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increase in deferred revenue recognized under the BMS Agreement mainly as a result of the deferred revenue allocated to the performance obligations for research activities performed.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Research and development expenses were $32.7 million for the three months ended September 30, 2023, compared to $31.2 million for the three months ended September 30, 2022. The increase of $1.5 million was primarily due to:</w:t>
      </w:r>
    </w:p>
    <w:p>
      <w:pPr>
        <w:spacing w:after="0" w:line="62" w:lineRule="exact"/>
        <w:rPr>
          <w:sz w:val="20"/>
          <w:szCs w:val="20"/>
          <w:color w:val="auto"/>
        </w:rPr>
      </w:pPr>
    </w:p>
    <w:p>
      <w:pPr>
        <w:jc w:val="both"/>
        <w:ind w:left="102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$0.6 million increase in direct external costs as a result of a $2.8 million increase in costs with the advancement of clinical trials for lunresertib and IND-enabling studies for RP-1664, partially offset by a $1.4 million decrease in costs with the transition of the camonsertib program to Roche, a $0.6 million decrease in Polθ external costs and a $0.2 million decrease in discovery related costs;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$1.7 million increase in personnel-related costs, including a $0.7 million increase in share-based compensation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decrease in other research and development costs.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General and administrative expenses were $7.9 million for the three months ended September 30, 2023, compared to $7.9 million for the three months ended September 30, 2022. The nil change in general and administrative expenses consisted of:</w:t>
      </w:r>
    </w:p>
    <w:p>
      <w:pPr>
        <w:spacing w:after="0" w:line="62"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 million increase in personnel related costs, including a $0.6 million increase in share-based compensation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$0.6 million decrease in our D&amp;O insurance premium due to lower renewal premiums;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$0.5 million decrease related to lower professional fees associated with the timing of services provided;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$0.1 million increase in other general and administrative costs including IT costs.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Other income, net was $3.2 million and $2.1 million for the three months ended September 30, 2023 and 2022, respectively. The increase of $1.1 million was primarily attributable to higher interest income due to higher interest rates.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Recovery (Expense)</w:t>
      </w:r>
    </w:p>
    <w:p>
      <w:pPr>
        <w:spacing w:after="0" w:line="11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income tax recovery of $16.3 million for the three months ended September 30, 2023 reflected the taxable income in our U.S. subsidiary partially offset by federal and state research and development tax credits, as well as a prior period favorable adjustment in U.S. income taxes.</w:t>
      </w:r>
    </w:p>
    <w:p>
      <w:pPr>
        <w:spacing w:after="0" w:line="14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income tax expense of $0.1 million for the three months ended September 30, 2022 primarily reflected U.S. federal and state research and development tax credits generated, offset by taxable income in our U.S. subsidiary.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38,086</w:t>
            </w:r>
          </w:p>
        </w:tc>
        <w:tc>
          <w:tcPr>
            <w:tcW w:w="280" w:type="dxa"/>
            <w:vAlign w:val="bottom"/>
          </w:tcPr>
          <w:p>
            <w:pPr>
              <w:spacing w:after="0"/>
              <w:rPr>
                <w:sz w:val="20"/>
                <w:szCs w:val="20"/>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113,632</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(75,546 )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98,327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123,443</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(85,357</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(loss) gain on foreign exchange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(137 )</w:t>
            </w: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(387 )</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(73 )</w:t>
            </w:r>
          </w:p>
        </w:tc>
        <w:tc>
          <w:tcPr>
            <w:tcW w:w="4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(56 )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36"/>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net</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Income tax recovery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9,573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(119 )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-1610995</wp:posOffset>
            </wp:positionV>
            <wp:extent cx="7683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-1610995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7683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was $38.1 million for the nine months ended September 30, 2023, compared to $113.6 million for nine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$75.5 million was due to:</w:t>
      </w:r>
    </w:p>
    <w:p>
      <w:pPr>
        <w:spacing w:after="0" w:line="103" w:lineRule="exact"/>
        <w:rPr>
          <w:sz w:val="20"/>
          <w:szCs w:val="20"/>
          <w:color w:val="auto"/>
        </w:rPr>
      </w:pPr>
    </w:p>
    <w:p>
      <w:pPr>
        <w:jc w:val="both"/>
        <w:ind w:left="102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$100.5 million decrease in revenue recognized under the Roche Agreement a result of the $108.0 million revenue recognized in the third quarter of 2022 pursuant to the satisfaction of our performance obligations for the issuance of the combined licenses and the clinical trial materials transferred, partially offset by higher deferred revenue recognized for the Roche Agreement as the agreement became effective in July 2022;</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$14.5 million increase in revenue recognized under the BMS Agreement mainly for the deferred revenue allocated to the satisfaction of our performance obligations for two options to license druggable targets;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$10.5 million increase in deferred revenue recognized under the Ono Agreement as a result of the termination of the Ono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Research and development expenses were $98.3 million for the nine months ended September 30, 2023, compared to $89.2 million for the nine months ended September 30, 2022. The increase of $9.1 million was primarily due to:</w:t>
      </w:r>
    </w:p>
    <w:p>
      <w:pPr>
        <w:spacing w:after="0" w:line="62" w:lineRule="exact"/>
        <w:rPr>
          <w:sz w:val="20"/>
          <w:szCs w:val="20"/>
          <w:color w:val="auto"/>
        </w:rPr>
      </w:pPr>
    </w:p>
    <w:p>
      <w:pPr>
        <w:jc w:val="both"/>
        <w:ind w:left="10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$5.0 million increase in direct external costs as a result of a $9.7 million increase in costs with the advancement of clinical trials for lunresertib and IND-enabling studies for RP-1664 and Polθ, partially offset by a $2.8 million decrease in costs with the transition of the camonsertib program to Roche and a $1.9 million decrease in discovery related costs;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$5.8 million increase in personnel-related costs, including a $2.5 million increase in share-based compensation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$1.7 million decrease in other research and development costs, including lower laboratory supplies and research materials.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General and administrative expenses were $25.1 million for the nine months ended September 30, 2023, compared to $24.6 million for the nine months ended September 30, 2022. The increase of $0.5 million in general and administrative expenses consisted of:</w:t>
      </w:r>
    </w:p>
    <w:p>
      <w:pPr>
        <w:spacing w:after="0" w:line="62"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$3.1 million increase in personnel related costs, including a $1.6 million increase in share-based compensation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decrease in our D&amp;O insurance premium due to lower renewal premiums;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$1.1 million decrease related to lower professional fees associated with the Roche Agreement signed in 2022;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$0.4 million increase in other general and administrative costs including IT and travel costs.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Other income, net was $10.0 million and $2.9 million for the nine months ended September 30, 2023 and 2022, respectively. The increase of $7.1 million was primarily attributable to higher interest income due to higher sums invested in cash and cash equivalents and marketable securities as well as higher interest rates.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Recovery (Expense)</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income tax recovery of $9.6 million for the nine months ended September 30, 2023 reflected the taxable income in our U.S. subsidiary partially offset by federal and state research and development tax credits, as well as a prior period favorable adjustment in U.S. income taxes.</w:t>
      </w:r>
    </w:p>
    <w:p>
      <w:pPr>
        <w:spacing w:after="0" w:line="3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income tax expense of $0.1 million for the nine months ended September 30, 2022 primarily reflected U.S. federal and state research and development tax credits generated, offset by taxable income in our U.S. subsidiary.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 On June 2020, we completed our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$232.0 million, after deducting underwriting commissions, and offering expenses of $3.2 million. In November 2021, we completed a follow-on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w:t>
      </w:r>
    </w:p>
    <w:p>
      <w:pPr>
        <w:spacing w:after="0" w:line="17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August 2022, we entered into a Common Shares Sale Agreement, or the Sales Agreement, with Cowen and Company, LLC as sales agent, pursuant to which we may issue and sell common shares from time to time, or the ATM Shares. The ATM Shares to be sold under the Sales Agreement, if any, will be issued and sold pursuant to our shelf registration statement on Form S-3 (File No. 333-257668), up to a maximum aggregate amount of $125.0 million. No shares have been issued under the Sales Agreement as of the date of this Quarterly Report on Form 10-Q.</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received initial upfront and additional payments of approximately $60.5 million in the aggregate from partnerships with Ono for our Polθ inhibitor program and Bristol Myers Squibb for research and development of potential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new product candidates for the treatment of cancer. In June 2022, we entered into a collaboration and license agreement with Roche for camonsertib and have received initial payments under the terms of the Roche Agreement in the aggregate amount of $138.6 million.</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continue to incur additional costs associated with operating as a public company. We expect that our research and development and general and administrative costs will increase in connection with our planned research and development activities.</w:t>
      </w:r>
    </w:p>
    <w:p>
      <w:pPr>
        <w:spacing w:after="0" w:line="18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Beginning in 2022, the Tax Cuts and Jobs Act of 2017 eliminated the option to deduct certain U.S.-based research and development expenditures in the current fiscal year and required taxpayers to amortize them over five years pursuant to Section 174 of the Internal Revenue Code of 1986, as amended, or IRC. This provision increased our year-to-date 2023 and 2022 cash payments of income taxes significantly as compared to 2021 in compliance with IRC Section 174. In September 2023, new interim guidance was issued by the Department of Treasury and the Internal Revenue Service on IRC Section 174 that supports the deduction of such expenses. An income tax receivable in the amount of $18.1 million as of September 30, 2023 reflects the overpayment of tax installments by our U.S. subsidiary, of which $4.8 million was received in October 2023. Any changes to tax legislation may materially affect our cash flows.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16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of September 30, 2023, our cash and cash equivalents and marketable securities on hand was $250.1 million. We believe that our existing cash and cash equivalents and marketable securities on hand will be sufficient to fund our anticipated operating and capital expenditure requirements into 2026.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9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3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initiation, timing, costs, progress and results of our product candidates, including our ongoing Phase 1 clinical trials of lunresertib;</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 including the Roche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left="10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camonsertib, lunresertib and any future product candidates for which we or our collaborators receive marketing approval;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(99,002 )</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29,959</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(128,961 )</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46,162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(209,836 )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255,998</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 held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(52,152 )</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(179,236 )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127,084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Net cash used in operating activities was $99.0 million for the nine months ended September 30, 2023, reflecting a net loss of $65.8 million and a net change of $49.2 million in our net operating assets, offset by non-cash charges of $16.0 million. The non-cash charges primarily consist of share-based compensation for option and restricted share unit grants to employees, as well as depreciation expense and non-cash lease expense, offset by the net accretion of marketable securities. The change in our net operating assets was primarily due to $32.8 million of deferred revenue being recognized, a $19.3 million tax recovery and a $1.6 million decrease in operating lease liability, offset by an increase of $4.6 million in accounts payable.</w:t>
      </w:r>
    </w:p>
    <w:p>
      <w:pPr>
        <w:spacing w:after="0" w:line="16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Net cash provided by operating activities was $30.0 million for the nine months ended September 30, 2022, reflecting a net income of $2.6 million, a net change of $14.4 million in net operating assets and non-cash charges of $13.0 million. The non-cash charges primarily consist of share-based compensation for option grants to employees, as well as depreciation expense, and non-cash lease expense offset by deferred taxes. The change in our net operating assets was primarily due to a net increase of $11.4 million related to balances in deferred revenues and collaboration revenue receivable from the Roche Agreement.</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$129.0 million increase in cash used in operating activities for the nine months ended September 30, 2023 compared to the nine months ended September 30, 2022 is primarily due to increases in our research and development expenses, as we advance our various programs, and in income taxes paid offset by receipts related to our collaboration agreements and interest income.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investing activities was $46.2 million for the nine months ended September 30, 2023 and resulted primarily from the proceeds on maturities of marketable securities offset by purchases of marketable securities and property and equipment.</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was $209.8 million for the nine months ended September 30, 2022 and resulted primarily from the purchases of marketable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was $0.7 million primarily consisting of net proceeds from the issuance of common shares under the ESPP for the nine months ended September 30, 2023.</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was $0.7 million consisting of net proceeds from the exercise of stock options and issuance of common shares under the ESPP for the nine months ended September 30,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material changes to our material cash requirements during the nine months ended September 30, 2023 from those described under “Management’s Discussion and Analysis of Financial Condition and Results of Operations” in the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This management’s discussion and analysis is based on our unaudited condensed consolidated financial statements, which have been prepared in accordance with U.S. generally accepted accounting principles. The preparation of these unaudited condensed consolidated financial statements requires us to make judgments and estimates that affect the reported amounts of assets and liabilities, the disclosure of contingent assets and liabilities at the date of the unaudited condensed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have been no significant changes to our critical accounting estimates from those described in “Management’s Discussion and Analysis of Financial Condition and Results of Operations” included in the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See Note 2 to our annual consolidated financial statements included in the Annual Report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Filer Status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the market value of our common shares held by non-affiliates was between $250 million and $700 million as of June 30, 2023 and our revenue for the year ended December 31, 2022 was more than $100 million, we will be deemed an accelerated filer under the Exchange Act as of December 31, 2023. In addition, we will lose our status as a “smaller reporting company” and no longer be eligible to rely on the scaled disclosure exemptions available to smaller reporting companies starting with the filing of our first Quarterly Report in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Under SEC rules and regulations, because we are considered to be a “smaller reporting company”, we are not required to provide the information required by this item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509"/>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September 30, 2023. Based upon that evaluation, our Chief Executive Officer and Chief Financial Officer have concluded that, as of such date, our disclosure controls and procedures are effective.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period covered by this Quarterly Report on Form 10-Q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Investing in our common shares involves a high degree of risk. In addition to the other information set forth in this Quarterly Report on Form 10-Q, you should carefully consider the risks described in the Annual Report, including the disclosure therein under Part I, Item 1A, "Risk Factors,” before deciding whether to invest in our common shares. These are not the only risks facing our business. Other risks and uncertainties that we are not currently aware of or that we currently consider immaterial also may materially adversely affect our business, financial condition and future results. Risks we have identified but currently consider immaterial could still also materially adversely affect our business, financial condition and future results of operations if our assumptions about those risks are incorrect or if circumstances change.</w:t>
      </w:r>
    </w:p>
    <w:p>
      <w:pPr>
        <w:spacing w:after="0" w:line="1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material changes during the period covered in this report to the risk factors previously disclosed in Part I, Item 1A of the Annual Report, except as follows:</w:t>
      </w:r>
    </w:p>
    <w:p>
      <w:pPr>
        <w:spacing w:after="0" w:line="2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future results of operations. For example, in March 2010, the Patient Protection and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49" w:lineRule="exact"/>
        <w:rPr>
          <w:sz w:val="20"/>
          <w:szCs w:val="20"/>
          <w:color w:val="auto"/>
        </w:rPr>
      </w:pPr>
    </w:p>
    <w:p>
      <w:pPr>
        <w:jc w:val="both"/>
        <w:ind w:left="10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“donut-hole” under the Medicare Part D program beginning in 2025 by significantly lowering the beneficiary maximum out-of-pocket cost and through a newly established manufacturer discount program. It is possible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that the ACA will be subject to judicial or Congressional challenges in the future. It is also unclear how any such challenges and other litigation, and further healthcare reform measures of the Biden administration will impact the ACA and our business.</w:t>
      </w:r>
    </w:p>
    <w:p>
      <w:pPr>
        <w:spacing w:after="0" w:line="170"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until 2032 unless additional action is taken by Congress.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 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as amended and the rules and regulations of The Nasdaq Global Market. Pursuant to Section 404(a) of the Sarbanes-Oxley Act, we are now required to perform system and process evaluation and testing of our internal control over financial reporting to allow our management to report on the effectiveness of our internal control over financial reporting. Furthermore, because the market value of our common shares held by non-affiliates was between $250 million and $700 million as of June 30, 2022 and our revenue for the year ended December 31, 2022 was more than $100 million, we will be deemed an “accelerated filer” under the Exchange Act as of December 31, 2023. While we will be eligible to rely on certain scaled disclosure exemptions available to smaller reporting companies until the filing of our first Quarterly Report on Form 10-Q in 2024, we will be required to comply with Section 404(b) of the Sarbanes Oxley Act starting with our Annual Report on Form 10-K for the year ending December 31, 2023. Section 404(b) of the Sarbanes-Oxley Act requires our independent registered public accounting firm to issue an annual report that addresses the effectiveness of our internal control over financial reporting. Preparing such attestation report and the cost of compliance with reporting requirements that we have not previously implemented will increase our expenses and require significant management time.</w:t>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evaluation and testing process, if we identify one or more material weaknesses in our internal control over financial reporting, we will be unable to assert that our internal control over financial reporting is effective. Further, we may in the future discover weaknesses in our system of internal financial and accounting controls and procedures that could result in a material misstatement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our financial statements. Moreover,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jc w:val="both"/>
        <w:ind w:firstLine="575"/>
        <w:spacing w:after="0" w:line="263" w:lineRule="auto"/>
        <w:rPr>
          <w:sz w:val="20"/>
          <w:szCs w:val="20"/>
          <w:color w:val="auto"/>
        </w:rPr>
      </w:pPr>
      <w:r>
        <w:rPr>
          <w:rFonts w:ascii="Arial" w:cs="Arial" w:eastAsia="Arial" w:hAnsi="Arial"/>
          <w:sz w:val="18"/>
          <w:szCs w:val="18"/>
          <w:color w:val="auto"/>
        </w:rPr>
        <w:t>If we are unable to assert that our internal control over financial reporting is effective, investors could lose confidence in the reliability of our financial statements, the market price of our common shares could decline and we could be subject to sanctions or investigations by The Nasdaq Global Market, the SEC or other regulatory authorities.</w:t>
      </w:r>
    </w:p>
    <w:p>
      <w:pPr>
        <w:spacing w:after="0" w:line="2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Changes to the tax treatment of research and experimental expenditures as a result of U.S. federal tax legislative changes could increase our tax burden and adversely affect our business and financial condition.</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December 2017, the U.S. government enacted comprehensive tax legislation, the Tax Cuts and Jobs Act of 2017, or TCJA, significantly reformed the Internal Revenue Code of 1986, as amended, or IRC. As a result of this legislation beginning in 2022, research and experimental expenditures subject to IRC Section 174 are no longer deductible in the year they are incurred for US tax purposes. Instead, U.S.-based specified research and experimental expenditures are required to be capitalized and amortized ratably over a five-year period. Any such expenditures attributable to research conducted outside the United States must be capitalized and amortized over a 15-year period. While Congress is considering legislation that would defer or repeal the amortization requirement to later years, on September 8, 2023, the Department of Treasury and the Internal Revenue Service issued interim guidance on IRC Section 174 in view of forthcoming regulations which supports the deduction of certain expenses that would otherwise be treated as specified research and experimental expenditures. Treasury regulations addressing the capitalization and amortization of specified research or experimental expenditures could differ from the interim guidance issued by the Department of Treasury and the Internal Revenue Service which could increase our tax burden and adversely affect our business and financial condition.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20" w:right="7980" w:hanging="512"/>
        <w:spacing w:after="0" w:line="407" w:lineRule="auto"/>
        <w:tabs>
          <w:tab w:leader="none" w:pos="26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Securities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520" w:right="8120" w:hanging="512"/>
        <w:spacing w:after="0" w:line="407" w:lineRule="auto"/>
        <w:tabs>
          <w:tab w:leader="none" w:pos="27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32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2"/>
              </w:rPr>
              <w:t>Incorporated by Reference</w:t>
            </w: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1"/>
        </w:trPr>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File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88"/>
        </w:trPr>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8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Filing Date</w:t>
            </w: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auto"/>
                <w:w w:val="87"/>
              </w:rPr>
            </w:pPr>
            <w:hyperlink r:id="rId267">
              <w:r>
                <w:rPr>
                  <w:rFonts w:ascii="Arial" w:cs="Arial" w:eastAsia="Arial" w:hAnsi="Arial"/>
                  <w:sz w:val="18"/>
                  <w:szCs w:val="18"/>
                  <w:color w:val="auto"/>
                  <w:w w:val="87"/>
                </w:rPr>
                <w:t>3.1</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rFonts w:ascii="Arial" w:cs="Arial" w:eastAsia="Arial" w:hAnsi="Arial"/>
                <w:sz w:val="18"/>
                <w:szCs w:val="18"/>
                <w:color w:val="auto"/>
              </w:rPr>
            </w:pPr>
            <w:hyperlink r:id="rId267">
              <w:r>
                <w:rPr>
                  <w:rFonts w:ascii="Arial" w:cs="Arial" w:eastAsia="Arial" w:hAnsi="Arial"/>
                  <w:sz w:val="18"/>
                  <w:szCs w:val="18"/>
                  <w:color w:val="auto"/>
                </w:rPr>
                <w:t>Articles of Continuance of Repare Therapeutics Inc.</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23, 2020</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auto"/>
                <w:w w:val="87"/>
              </w:rPr>
            </w:pPr>
            <w:hyperlink r:id="rId268">
              <w:r>
                <w:rPr>
                  <w:rFonts w:ascii="Arial" w:cs="Arial" w:eastAsia="Arial" w:hAnsi="Arial"/>
                  <w:sz w:val="18"/>
                  <w:szCs w:val="18"/>
                  <w:color w:val="auto"/>
                  <w:w w:val="87"/>
                </w:rPr>
                <w:t>3.2</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rFonts w:ascii="Arial" w:cs="Arial" w:eastAsia="Arial" w:hAnsi="Arial"/>
                <w:sz w:val="18"/>
                <w:szCs w:val="18"/>
                <w:color w:val="auto"/>
              </w:rPr>
            </w:pPr>
            <w:hyperlink r:id="rId268">
              <w:r>
                <w:rPr>
                  <w:rFonts w:ascii="Arial" w:cs="Arial" w:eastAsia="Arial" w:hAnsi="Arial"/>
                  <w:sz w:val="18"/>
                  <w:szCs w:val="18"/>
                  <w:color w:val="auto"/>
                </w:rPr>
                <w:t>Amended and Restated Bylaws of Repare Therapeutics Inc.</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23, 2020</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31.1*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0563C1"/>
                <w:w w:val="98"/>
              </w:rPr>
              <w:t>Certification of Principal Executive Officer Pursuant to Rules 13a-</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318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w w:val="95"/>
              </w:rPr>
              <w:t>14(a) and 15d-14(a) under the Securities Exchange Act of 1934, as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318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rPr>
              <w:t>Adopted Pursuant to Section 302 of the Sarbanes-Oxley Act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23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0563C1"/>
                <w:w w:val="84"/>
              </w:rPr>
              <w:t>2002.</w:t>
            </w: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0563C1"/>
                <w:w w:val="99"/>
              </w:rPr>
              <w:t>Certification of Principal Financial Officer Pursuant to Rules 13a-</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340" w:type="dxa"/>
            <w:vAlign w:val="bottom"/>
            <w:gridSpan w:val="4"/>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w w:val="95"/>
              </w:rPr>
              <w:t>14(a) and 15d-14(a) under the Securities Exchange Act of 1934, as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34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rPr>
              <w:t>Adopted Pursuant to Section 302 of the Sarbanes-Oxley Act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23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0563C1"/>
                <w:w w:val="84"/>
              </w:rPr>
              <w:t>2002.</w:t>
            </w: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0563C1"/>
                <w:w w:val="99"/>
              </w:rPr>
              <w:t>Certification of Principal Executive Officer Pursuant to 18 U.S.C.</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34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w w:val="94"/>
              </w:rPr>
              <w:t>Section 1350, as Adopted Pursuant to Section 906 of the Sarbanes-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34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rPr>
              <w:t>Oxley Act of 2002.</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rPr>
              <w:t>32.2**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0563C1"/>
              </w:rPr>
              <w:t>Certification of Principal Financial Officer Pursuant to 18 U.S.C.</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gridSpan w:val="6"/>
            <w:shd w:val="clear" w:color="auto" w:fill="0563C1"/>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w w:val="94"/>
              </w:rPr>
              <w:t>Section 1350, as Adopted Pursuant to Section 906 of the Sarbanes-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20" w:type="dxa"/>
            <w:vAlign w:val="bottom"/>
            <w:gridSpan w:val="8"/>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0"/>
          </w:tcPr>
          <w:p>
            <w:pPr>
              <w:spacing w:after="0" w:line="196" w:lineRule="exact"/>
              <w:rPr>
                <w:sz w:val="20"/>
                <w:szCs w:val="20"/>
                <w:color w:val="auto"/>
              </w:rPr>
            </w:pPr>
            <w:r>
              <w:rPr>
                <w:rFonts w:ascii="Arial" w:cs="Arial" w:eastAsia="Arial" w:hAnsi="Arial"/>
                <w:sz w:val="18"/>
                <w:szCs w:val="18"/>
                <w:color w:val="0563C1"/>
              </w:rPr>
              <w:t>Oxley Act of 2002.</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7"/>
              </w:rPr>
              <w:t>101.INS*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4"/>
              </w:rPr>
              <w:t>101.SCH*</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8"/>
              </w:rPr>
              <w:t>101.CAL*</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Calculation Linkbase Document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4"/>
              </w:rPr>
              <w:t>101.DEF*</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9"/>
              </w:rPr>
              <w:t>101.LAB*</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0"/>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3" w:lineRule="exact"/>
        <w:rPr>
          <w:sz w:val="20"/>
          <w:szCs w:val="20"/>
          <w:color w:val="auto"/>
        </w:rPr>
      </w:pPr>
    </w:p>
    <w:p>
      <w:pPr>
        <w:ind w:left="1180" w:right="5240" w:hanging="801"/>
        <w:spacing w:after="0" w:line="277"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Inline Cover Page Interactive Data File (formatted as inline XBRL and contained in Exhibit 101)</w:t>
      </w:r>
    </w:p>
    <w:p>
      <w:pPr>
        <w:spacing w:after="0" w:line="1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jc w:val="both"/>
        <w:ind w:firstLine="8"/>
        <w:spacing w:after="0" w:line="279" w:lineRule="auto"/>
        <w:tabs>
          <w:tab w:leader="none" w:pos="2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9512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9,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Lloyd M. Segal</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-130175</wp:posOffset>
            </wp:positionV>
            <wp:extent cx="33261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Steve Forte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-130175</wp:posOffset>
            </wp:positionV>
            <wp:extent cx="33261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4940" w:space="720"/>
            <w:col w:w="5580"/>
          </w:cols>
          <w:pgMar w:left="320" w:top="337"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Lloyd M. Segal,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hanging="503"/>
        <w:spacing w:after="0" w:line="308" w:lineRule="auto"/>
        <w:tabs>
          <w:tab w:leader="none" w:pos="10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Lloyd M. Segal</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Lloyd M. Segal</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 Forte, certify that:</w:t>
      </w:r>
    </w:p>
    <w:p>
      <w:pPr>
        <w:spacing w:after="0" w:line="225"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hanging="503"/>
        <w:spacing w:after="0" w:line="308" w:lineRule="auto"/>
        <w:tabs>
          <w:tab w:leader="none" w:pos="10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By: /s/ Steve Forte</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Steve Forte</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345"/>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connection with the Quarterly Report on Form 10-Q of Repare Therapeutics Inc. (the “Company”) for the period ended September 30, 2023 as filed with the Securities and Exchange Commission on the date hereof (the “Report”), I, Lloyd M. Segal, President and Chief Executive Officer of the Company, hereby certify, pursuant to 18 U.S.C. § 1350, as adopted pursuant to § 906 of the Sarbanes-Oxley Act of 2002, that, to the best of my knowledge:</w:t>
      </w:r>
    </w:p>
    <w:p>
      <w:pPr>
        <w:spacing w:after="0" w:line="149"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Lloyd M. Segal</w:t>
            </w:r>
          </w:p>
        </w:tc>
      </w:tr>
      <w:tr>
        <w:trPr>
          <w:trHeight w:val="209"/>
        </w:trPr>
        <w:tc>
          <w:tcPr>
            <w:tcW w:w="58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Lloyd M. Segal</w:t>
            </w:r>
          </w:p>
        </w:tc>
      </w:tr>
      <w:tr>
        <w:trPr>
          <w:trHeight w:val="216"/>
        </w:trPr>
        <w:tc>
          <w:tcPr>
            <w:tcW w:w="58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44"/>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connection with the Quarterly Report on Form 10-Q of Repare Therapeutics Inc. (the “Company”) for the period ended September 30, 2023 as filed with the Securities and Exchange Commission on the date hereof (the “Report”), I, Steve Forte, Chief Financial Officer of the Company, hereby certify, pursuant to 18 U.S.C. § 1350, as adopted pursuant to § 906 of the Sarbanes-Oxley Act of 2002, that, to the best of my knowledge:</w:t>
      </w:r>
    </w:p>
    <w:p>
      <w:pPr>
        <w:spacing w:after="0" w:line="165"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Forte</w:t>
            </w:r>
          </w:p>
        </w:tc>
      </w:tr>
      <w:tr>
        <w:trPr>
          <w:trHeight w:val="209"/>
        </w:trPr>
        <w:tc>
          <w:tcPr>
            <w:tcW w:w="58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Steve Forte</w:t>
            </w:r>
          </w:p>
        </w:tc>
      </w:tr>
      <w:tr>
        <w:trPr>
          <w:trHeight w:val="216"/>
        </w:trPr>
        <w:tc>
          <w:tcPr>
            <w:tcW w:w="58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tc>
      </w:tr>
      <w:tr>
        <w:trPr>
          <w:trHeight w:val="344"/>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0"/>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67" Type="http://schemas.openxmlformats.org/officeDocument/2006/relationships/hyperlink" Target="https://www.sec.gov/Archives/edgar/data/1808158/000119312520176579/d920931dex31.htm" TargetMode="External"/><Relationship Id="rId268" Type="http://schemas.openxmlformats.org/officeDocument/2006/relationships/hyperlink" Target="https://www.sec.gov/Archives/edgar/data/1808158/000119312520176579/d92093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2023-11-09T06:18:25Z</dcterms:created>
  <dcterms:modified xsi:type="dcterms:W3CDTF">2023-11-09T06:18:25Z</dcterms:modified>
</cp:coreProperties>
</file>