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ASHINGTON</w:t>
      </w:r>
      <w:r>
        <w:rPr>
          <w:rFonts w:ascii="Arial" w:cs="Arial" w:eastAsia="Arial" w:hAnsi="Arial"/>
          <w:sz w:val="18"/>
          <w:szCs w:val="18"/>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313055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7"/>
          <w:szCs w:val="17"/>
          <w:b w:val="1"/>
          <w:bCs w:val="1"/>
          <w:color w:val="auto"/>
        </w:rPr>
        <w:t>NDER THE</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ECURITIES</w:t>
      </w:r>
      <w:r>
        <w:rPr>
          <w:rFonts w:ascii="Arial" w:cs="Arial" w:eastAsia="Arial" w:hAnsi="Arial"/>
          <w:sz w:val="22"/>
          <w:szCs w:val="22"/>
          <w:b w:val="1"/>
          <w:bCs w:val="1"/>
          <w:color w:val="auto"/>
        </w:rPr>
        <w:t xml:space="preserve"> E</w:t>
      </w:r>
      <w:r>
        <w:rPr>
          <w:rFonts w:ascii="Arial" w:cs="Arial" w:eastAsia="Arial" w:hAnsi="Arial"/>
          <w:sz w:val="17"/>
          <w:szCs w:val="17"/>
          <w:b w:val="1"/>
          <w:bCs w:val="1"/>
          <w:color w:val="auto"/>
        </w:rPr>
        <w:t>XCHANGE</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CT OF</w:t>
      </w:r>
      <w:r>
        <w:rPr>
          <w:rFonts w:ascii="Arial" w:cs="Arial" w:eastAsia="Arial" w:hAnsi="Arial"/>
          <w:sz w:val="22"/>
          <w:szCs w:val="22"/>
          <w:b w:val="1"/>
          <w:bCs w:val="1"/>
          <w:color w:val="auto"/>
        </w:rPr>
        <w:t xml:space="preserve">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Repare Therapeutics Inc.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Shares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30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760273102</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30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Ansbert Gadicke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MPM Asset Management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450 Kendall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Cambridge, MA 01242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Telephone: (617) 425-9200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0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July 12, 2021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4"/>
          <w:szCs w:val="24"/>
          <w:color w:val="auto"/>
        </w:rPr>
      </w:pPr>
    </w:p>
    <w:p>
      <w:pPr>
        <w:ind w:left="460" w:right="240" w:hanging="452"/>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65"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760273102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MPM BioVentures 2014, L.P.</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w w:val="99"/>
              </w:rPr>
              <w:t>(b)</w:t>
            </w:r>
          </w:p>
        </w:tc>
        <w:tc>
          <w:tcPr>
            <w:tcW w:w="954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96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WC</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2,036,689</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0" w:type="dxa"/>
            <w:vAlign w:val="bottom"/>
            <w:tcBorders>
              <w:left w:val="single" w:sz="8" w:color="auto"/>
            </w:tcBorders>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4"/>
              </w:rPr>
              <w:t>Beneficially</w:t>
            </w:r>
          </w:p>
        </w:tc>
        <w:tc>
          <w:tcPr>
            <w:tcW w:w="32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7"/>
              </w:rPr>
              <w:t>Person</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2,036,689</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5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7"/>
              </w:rPr>
              <w:t>2,036,689</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80" w:hanging="452"/>
        <w:spacing w:after="0" w:line="268"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This schedule is filed by MPM BioVentures 2014, L.P. (“BV 2014”), MPM BioVentures 2014 (B), L.P. (“BV 2014(B)”), MPM Asset Management Investors BV2014 LLC (“AM BV2014 LLC”), UBS Oncology Impact Fund L.P. (“UBS Oncology”), MPM BioVentures 2014 GP LLC (“BV 2014 GP”), MPM BioVentures 2014 LLC (“BV 2014 LLC”), Oncology Impact Fund (Cayman) Management LP (“Oncology Cayman”), MPM Oncology Impact Management LP (“Oncology LP”) and MPM Oncology Impact Management GP LLC (“Oncology GP”) (collectively, the “MPM Entities”) and Ansbert Gadicke, Luke Evnin and Todd Foley (collectively, the “Listed Persons” and together with the MPM Entities, the “Filing Persons”). The MPM Entities and the Listed Persons expressly disclaim status as a “group” for purposes of this Schedule 13D.</w:t>
      </w:r>
    </w:p>
    <w:p>
      <w:pPr>
        <w:ind w:left="460" w:right="440" w:hanging="452"/>
        <w:spacing w:after="0" w:line="26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percentage is calculated based upon 37,000,707 outstanding common shares of Repare Therapeutics, Inc. (the “Issuer”), as disclosed in the Issuer’s Quarterly Report on Form 10-Q, filed with the Securities and Exchange Commission on May 13, 2021.</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60"/>
          </w:cols>
          <w:pgMar w:left="320" w:top="27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760273102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MPM BioVentures 2014 (B), L.P.</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6"/>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80" w:type="dxa"/>
            <w:vAlign w:val="bottom"/>
            <w:gridSpan w:val="2"/>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8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w w:val="99"/>
              </w:rPr>
              <w:t>(b)</w:t>
            </w:r>
          </w:p>
        </w:tc>
        <w:tc>
          <w:tcPr>
            <w:tcW w:w="954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spacing w:after="0"/>
              <w:rPr>
                <w:sz w:val="20"/>
                <w:szCs w:val="20"/>
                <w:color w:val="auto"/>
              </w:rPr>
            </w:pPr>
          </w:p>
        </w:tc>
        <w:tc>
          <w:tcPr>
            <w:tcW w:w="96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WC</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135,843</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4"/>
              </w:rPr>
              <w:t>Shares</w:t>
            </w: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0" w:type="dxa"/>
            <w:vAlign w:val="bottom"/>
            <w:tcBorders>
              <w:left w:val="single" w:sz="8" w:color="auto"/>
            </w:tcBorders>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4"/>
              </w:rPr>
              <w:t>Beneficially</w:t>
            </w:r>
          </w:p>
        </w:tc>
        <w:tc>
          <w:tcPr>
            <w:tcW w:w="14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7"/>
              </w:rPr>
              <w:t>Each</w:t>
            </w: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1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7"/>
              </w:rPr>
              <w:t>Person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135,843</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7"/>
              </w:rPr>
              <w:t>With:</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5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740" w:type="dxa"/>
            <w:vAlign w:val="bottom"/>
            <w:tcBorders>
              <w:right w:val="single" w:sz="8" w:color="auto"/>
            </w:tcBorders>
            <w:gridSpan w:val="2"/>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ind w:left="160"/>
              <w:spacing w:after="0"/>
              <w:rPr>
                <w:sz w:val="20"/>
                <w:szCs w:val="20"/>
                <w:color w:val="auto"/>
              </w:rPr>
            </w:pPr>
            <w:r>
              <w:rPr>
                <w:rFonts w:ascii="Arial" w:cs="Arial" w:eastAsia="Arial" w:hAnsi="Arial"/>
                <w:sz w:val="18"/>
                <w:szCs w:val="18"/>
                <w:color w:val="auto"/>
              </w:rPr>
              <w:t>Aggregate</w:t>
            </w:r>
          </w:p>
        </w:tc>
        <w:tc>
          <w:tcPr>
            <w:tcW w:w="9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2"/>
              </w:rPr>
              <w:t>135,843</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5"/>
              </w:rPr>
              <w:t>0.4%(2)</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PN</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40" w:hanging="452"/>
        <w:spacing w:after="0" w:line="25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Schedule is filed by the MPM Entities and the Listed Persons. The MPM Entities and the Listed Persons expressly disclaim status as a “group” for purposes of this Schedule 13D.</w:t>
      </w:r>
    </w:p>
    <w:p>
      <w:pPr>
        <w:spacing w:after="0" w:line="1" w:lineRule="exact"/>
        <w:rPr>
          <w:rFonts w:ascii="Arial" w:cs="Arial" w:eastAsia="Arial" w:hAnsi="Arial"/>
          <w:sz w:val="18"/>
          <w:szCs w:val="18"/>
          <w:color w:val="auto"/>
        </w:rPr>
      </w:pPr>
    </w:p>
    <w:p>
      <w:pPr>
        <w:ind w:left="460" w:right="100" w:hanging="452"/>
        <w:spacing w:after="0" w:line="26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percentage is calculated based upon 37,000,707 outstanding common shares of the Issuer, as disclosed in the Issuer’s Quarterly Report on Form 10-Q, filed with the Securities and Exchange Commission on May 13, 2021.</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60"/>
          </w:cols>
          <w:pgMar w:left="320" w:top="274"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760273102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MPM Asset Management Investors BV2014 LLC</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6"/>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00" w:type="dxa"/>
            <w:vAlign w:val="bottom"/>
            <w:gridSpan w:val="2"/>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w w:val="99"/>
              </w:rPr>
              <w:t>(b)</w:t>
            </w:r>
          </w:p>
        </w:tc>
        <w:tc>
          <w:tcPr>
            <w:tcW w:w="954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spacing w:after="0"/>
              <w:rPr>
                <w:sz w:val="20"/>
                <w:szCs w:val="20"/>
                <w:color w:val="auto"/>
              </w:rPr>
            </w:pPr>
          </w:p>
        </w:tc>
        <w:tc>
          <w:tcPr>
            <w:tcW w:w="96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WC</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70,104</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4"/>
              </w:rPr>
              <w:t>Shares</w:t>
            </w: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0" w:type="dxa"/>
            <w:vAlign w:val="bottom"/>
            <w:tcBorders>
              <w:left w:val="single" w:sz="8" w:color="auto"/>
            </w:tcBorders>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4"/>
              </w:rPr>
              <w:t>Beneficially</w:t>
            </w:r>
          </w:p>
        </w:tc>
        <w:tc>
          <w:tcPr>
            <w:tcW w:w="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7"/>
              </w:rPr>
              <w:t>Each</w:t>
            </w: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7"/>
              </w:rPr>
              <w:t>Person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70,104</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7"/>
              </w:rPr>
              <w:t>With:</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5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10.</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ind w:left="160"/>
              <w:spacing w:after="0"/>
              <w:rPr>
                <w:sz w:val="20"/>
                <w:szCs w:val="20"/>
                <w:color w:val="auto"/>
              </w:rPr>
            </w:pPr>
            <w:r>
              <w:rPr>
                <w:rFonts w:ascii="Arial" w:cs="Arial" w:eastAsia="Arial" w:hAnsi="Arial"/>
                <w:sz w:val="18"/>
                <w:szCs w:val="18"/>
                <w:color w:val="auto"/>
              </w:rPr>
              <w:t>Aggregate</w:t>
            </w:r>
          </w:p>
        </w:tc>
        <w:tc>
          <w:tcPr>
            <w:tcW w:w="9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4"/>
              </w:rPr>
              <w:t>70,104</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OO</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40" w:hanging="452"/>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Schedule is filed by the MPM Entities and the Listed Persons. The MPM Entities and the Listed Persons expressly disclaim status as a “group” for purposes of this Schedule 13D.</w:t>
      </w:r>
    </w:p>
    <w:p>
      <w:pPr>
        <w:spacing w:after="0" w:line="1" w:lineRule="exact"/>
        <w:rPr>
          <w:rFonts w:ascii="Arial" w:cs="Arial" w:eastAsia="Arial" w:hAnsi="Arial"/>
          <w:sz w:val="18"/>
          <w:szCs w:val="18"/>
          <w:color w:val="auto"/>
        </w:rPr>
      </w:pPr>
    </w:p>
    <w:p>
      <w:pPr>
        <w:ind w:left="460" w:right="100" w:hanging="452"/>
        <w:spacing w:after="0" w:line="26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percentage is calculated based upon 37,000,707 outstanding common shares of the Issuer, as disclosed in the Issuer’s Quarterly Report on Form 10-Q, filed with the Securities and Exchange Commission on May 13, 2021.</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60"/>
          </w:cols>
          <w:pgMar w:left="320" w:top="274"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760273102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UBS Oncology Impact Fund, L.P.</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w w:val="99"/>
              </w:rPr>
              <w:t>(b)</w:t>
            </w:r>
          </w:p>
        </w:tc>
        <w:tc>
          <w:tcPr>
            <w:tcW w:w="954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96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WC</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1,639,849</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0" w:type="dxa"/>
            <w:vAlign w:val="bottom"/>
            <w:tcBorders>
              <w:left w:val="single" w:sz="8" w:color="auto"/>
            </w:tcBorders>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4"/>
              </w:rPr>
              <w:t>Beneficially</w:t>
            </w:r>
          </w:p>
        </w:tc>
        <w:tc>
          <w:tcPr>
            <w:tcW w:w="32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7"/>
              </w:rPr>
              <w:t>Person</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1,639,849</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5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7"/>
              </w:rPr>
              <w:t>1,639,849</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40" w:hanging="452"/>
        <w:spacing w:after="0" w:line="25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Schedule is filed by the MPM Entities and the Listed Persons. The MPM Entities and the Listed Persons expressly disclaim status as a “group” for purposes of this Schedule 13D.</w:t>
      </w:r>
    </w:p>
    <w:p>
      <w:pPr>
        <w:spacing w:after="0" w:line="1" w:lineRule="exact"/>
        <w:rPr>
          <w:rFonts w:ascii="Arial" w:cs="Arial" w:eastAsia="Arial" w:hAnsi="Arial"/>
          <w:sz w:val="18"/>
          <w:szCs w:val="18"/>
          <w:color w:val="auto"/>
        </w:rPr>
      </w:pPr>
    </w:p>
    <w:p>
      <w:pPr>
        <w:ind w:left="460" w:right="100" w:hanging="452"/>
        <w:spacing w:after="0" w:line="26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percentage is calculated based upon 37,000,707 outstanding common shares of the Issuer, as disclosed in the Issuer’s Quarterly Report on Form 10-Q, filed with the Securities and Exchange Commission on May 13, 2021.</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60"/>
          </w:cols>
          <w:pgMar w:left="320" w:top="274"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760273102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MPM BioVentures 2014 GP LLC</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w w:val="99"/>
              </w:rPr>
              <w:t>(b)</w:t>
            </w:r>
          </w:p>
        </w:tc>
        <w:tc>
          <w:tcPr>
            <w:tcW w:w="954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96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WC</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0" w:type="dxa"/>
            <w:vAlign w:val="bottom"/>
            <w:tcBorders>
              <w:left w:val="single" w:sz="8" w:color="auto"/>
            </w:tcBorders>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4"/>
              </w:rPr>
              <w:t>Beneficially</w:t>
            </w:r>
          </w:p>
        </w:tc>
        <w:tc>
          <w:tcPr>
            <w:tcW w:w="32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2,172,532(2)</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7"/>
              </w:rPr>
              <w:t>Person</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5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2,172,532(2)</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2,172,536(2)</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40" w:hanging="452"/>
        <w:spacing w:after="0" w:line="25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Schedule is filed by the MPM Entities and the Listed Persons. The MPM Entities and the Listed Persons expressly disclaim status as a “group” for purposes of this Schedule 13D.</w:t>
      </w:r>
    </w:p>
    <w:p>
      <w:pPr>
        <w:spacing w:after="0" w:line="1"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2,036,689 shares held by BV 2014 and 135,843 shares held by BV 2014(B). BV 2014 GP and BV 2014 LLC are the direct and indirect general partners of BV 2014 and BV 2014(B).</w:t>
      </w:r>
    </w:p>
    <w:p>
      <w:pPr>
        <w:ind w:left="460" w:right="100" w:hanging="452"/>
        <w:spacing w:after="0" w:line="26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percentage is calculated based upon 37,000,707 outstanding common shares of the Issuer, as disclosed in the Issuer’s Quarterly Report on Form 10-Q, filed with the Securities and Exchange Commission on May 13, 2021.</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60"/>
          </w:cols>
          <w:pgMar w:left="320" w:top="274"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760273102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MPM BioVentures 2014 LLC</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w w:val="99"/>
              </w:rPr>
              <w:t>(b)</w:t>
            </w:r>
          </w:p>
        </w:tc>
        <w:tc>
          <w:tcPr>
            <w:tcW w:w="954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96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WC</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0" w:type="dxa"/>
            <w:vAlign w:val="bottom"/>
            <w:tcBorders>
              <w:left w:val="single" w:sz="8" w:color="auto"/>
            </w:tcBorders>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4"/>
              </w:rPr>
              <w:t>Beneficially</w:t>
            </w:r>
          </w:p>
        </w:tc>
        <w:tc>
          <w:tcPr>
            <w:tcW w:w="32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2,242,636(2)</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7"/>
              </w:rPr>
              <w:t>Person</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5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2,242,636(2)</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2,242,636(2)</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40" w:hanging="452"/>
        <w:spacing w:after="0" w:line="25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Schedule is filed by the MPM Entities and the Listed Persons. The MPM Entities and the Listed Persons expressly disclaim status as a “group” for purposes of this Schedule 13D.</w:t>
      </w:r>
    </w:p>
    <w:p>
      <w:pPr>
        <w:spacing w:after="0" w:line="1" w:lineRule="exact"/>
        <w:rPr>
          <w:rFonts w:ascii="Arial" w:cs="Arial" w:eastAsia="Arial" w:hAnsi="Arial"/>
          <w:sz w:val="18"/>
          <w:szCs w:val="18"/>
          <w:color w:val="auto"/>
        </w:rPr>
      </w:pPr>
    </w:p>
    <w:p>
      <w:pPr>
        <w:ind w:left="460" w:right="60" w:hanging="452"/>
        <w:spacing w:after="0" w:line="265"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2,036,689 shares held by BV 2014, 135,843 shares held by BV 2014(B) and 70,104 shares held by AM BV2014 LLC. BV 2014 GP and BV 2014 LLC are the direct and indirect general partners of BV 2014 and BV 2014(B). BV 2014 LLC is the manager of AM BV2014 LLC.</w:t>
      </w:r>
    </w:p>
    <w:p>
      <w:pPr>
        <w:ind w:left="460" w:right="100" w:hanging="452"/>
        <w:spacing w:after="0" w:line="26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percentage is calculated based upon 37,000,707 outstanding common shares of the Issuer, as disclosed in the Issuer’s Quarterly Report on Form 10-Q, filed with the Securities and Exchange Commission on May 13, 2021.</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60"/>
          </w:cols>
          <w:pgMar w:left="320" w:top="274"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760273102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Oncology Impact Fund (Cayman) Management LP</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w w:val="99"/>
              </w:rPr>
              <w:t>(b)</w:t>
            </w:r>
          </w:p>
        </w:tc>
        <w:tc>
          <w:tcPr>
            <w:tcW w:w="954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96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WC</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1,639,849(2)</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0" w:type="dxa"/>
            <w:vAlign w:val="bottom"/>
            <w:tcBorders>
              <w:left w:val="single" w:sz="8" w:color="auto"/>
            </w:tcBorders>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4"/>
              </w:rPr>
              <w:t>Beneficially</w:t>
            </w:r>
          </w:p>
        </w:tc>
        <w:tc>
          <w:tcPr>
            <w:tcW w:w="32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7"/>
              </w:rPr>
              <w:t>Person</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1,639,849(2)</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5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1,639,849(2)</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40" w:hanging="452"/>
        <w:spacing w:after="0" w:line="25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Schedule is filed by the MPM Entities and the Listed Persons. The MPM Entities and the Listed Persons expressly disclaim status as a “group” for purposes of this Schedule 13D.</w:t>
      </w:r>
    </w:p>
    <w:p>
      <w:pPr>
        <w:spacing w:after="0" w:line="1"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shares held by UBS Oncology. Oncology GP is the general partner of Oncology LP, the General Partner of Oncology (Cayman), the General Partner of UBS Oncology.</w:t>
      </w:r>
    </w:p>
    <w:p>
      <w:pPr>
        <w:ind w:left="460" w:right="100" w:hanging="452"/>
        <w:spacing w:after="0" w:line="26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percentage is calculated based upon 37,000,707 outstanding common shares of the Issuer, as disclosed in the Issuer’s Quarterly Report on Form 10-Q, filed with the Securities and Exchange Commission on May 13, 2021.</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60"/>
          </w:cols>
          <w:pgMar w:left="320" w:top="274"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760273102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MPM Oncology Impact Management LP</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w w:val="99"/>
              </w:rPr>
              <w:t>(b)</w:t>
            </w:r>
          </w:p>
        </w:tc>
        <w:tc>
          <w:tcPr>
            <w:tcW w:w="954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96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WC</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1,639,849(2)</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0" w:type="dxa"/>
            <w:vAlign w:val="bottom"/>
            <w:tcBorders>
              <w:left w:val="single" w:sz="8" w:color="auto"/>
            </w:tcBorders>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4"/>
              </w:rPr>
              <w:t>Beneficially</w:t>
            </w:r>
          </w:p>
        </w:tc>
        <w:tc>
          <w:tcPr>
            <w:tcW w:w="32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7"/>
              </w:rPr>
              <w:t>Person</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1,639,849(2)</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5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1,639,849(2)</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40" w:hanging="452"/>
        <w:spacing w:after="0" w:line="25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Schedule is filed by the MPM Entities and the Listed Persons. The MPM Entities and the Listed Persons expressly disclaim status as a “group” for purposes of this Schedule 13D.</w:t>
      </w:r>
    </w:p>
    <w:p>
      <w:pPr>
        <w:spacing w:after="0" w:line="1"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shares held by UBS Oncology. Oncology GP is the general partner of Oncology LP, the General Partner of Oncology (Cayman), the General Partner of UBS Oncology.</w:t>
      </w:r>
    </w:p>
    <w:p>
      <w:pPr>
        <w:ind w:left="460" w:right="100" w:hanging="452"/>
        <w:spacing w:after="0" w:line="26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percentage is calculated based upon 37,000,707 outstanding common shares of the Issuer, as disclosed in the Issuer’s Quarterly Report on Form 10-Q, filed with the Securities and Exchange Commission on May 13, 2021.</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60"/>
          </w:cols>
          <w:pgMar w:left="320" w:top="274"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760273102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MPM Oncology Impact Management GP LLC</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w w:val="99"/>
              </w:rPr>
              <w:t>(b)</w:t>
            </w:r>
          </w:p>
        </w:tc>
        <w:tc>
          <w:tcPr>
            <w:tcW w:w="954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96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WC</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1,639,849(2)</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0" w:type="dxa"/>
            <w:vAlign w:val="bottom"/>
            <w:tcBorders>
              <w:left w:val="single" w:sz="8" w:color="auto"/>
            </w:tcBorders>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4"/>
              </w:rPr>
              <w:t>Beneficially</w:t>
            </w:r>
          </w:p>
        </w:tc>
        <w:tc>
          <w:tcPr>
            <w:tcW w:w="32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7"/>
              </w:rPr>
              <w:t>Person</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1,639,849(2)</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5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1,639,849(2)</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40" w:hanging="452"/>
        <w:spacing w:after="0" w:line="25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Schedule is filed by the MPM Entities and the Listed Persons. The MPM Entities and the Listed Persons expressly disclaim status as a “group” for purposes of this Schedule 13D.</w:t>
      </w:r>
    </w:p>
    <w:p>
      <w:pPr>
        <w:spacing w:after="0" w:line="1"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shares held by UBS Oncology. Oncology GP is the general partner of Oncology LP, the General Partner of Oncology (Cayman), the General Partner of UBS Oncology.</w:t>
      </w:r>
    </w:p>
    <w:p>
      <w:pPr>
        <w:ind w:left="460" w:right="100" w:hanging="452"/>
        <w:spacing w:after="0" w:line="26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percentage is calculated based upon 37,000,707 outstanding common shares of the Issuer, as disclosed in the Issuer’s Quarterly Report on Form 10-Q, filed with the Securities and Exchange Commission on May 13, 2021.</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60"/>
          </w:cols>
          <w:pgMar w:left="320" w:top="274"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760273102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Ansbert Gadicke</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w w:val="99"/>
              </w:rPr>
              <w:t>(b)</w:t>
            </w:r>
          </w:p>
        </w:tc>
        <w:tc>
          <w:tcPr>
            <w:tcW w:w="954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96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6"/>
              </w:rPr>
              <w:t>United States</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0" w:type="dxa"/>
            <w:vAlign w:val="bottom"/>
            <w:tcBorders>
              <w:left w:val="single" w:sz="8" w:color="auto"/>
            </w:tcBorders>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4"/>
              </w:rPr>
              <w:t>Beneficially</w:t>
            </w:r>
          </w:p>
        </w:tc>
        <w:tc>
          <w:tcPr>
            <w:tcW w:w="32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3,882,485(2)</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7"/>
              </w:rPr>
              <w:t>Person</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5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3,882,485(2)</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3,882,485(2)</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40" w:hanging="452"/>
        <w:spacing w:after="0" w:line="25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Schedule is filed by the MPM Entities and the Listed Persons. The MPM Entities and the Listed Persons expressly disclaim status as a “group” for purposes of this Schedule 13D.</w:t>
      </w:r>
    </w:p>
    <w:p>
      <w:pPr>
        <w:spacing w:after="0" w:line="1" w:lineRule="exact"/>
        <w:rPr>
          <w:rFonts w:ascii="Arial" w:cs="Arial" w:eastAsia="Arial" w:hAnsi="Arial"/>
          <w:sz w:val="18"/>
          <w:szCs w:val="18"/>
          <w:color w:val="auto"/>
        </w:rPr>
      </w:pPr>
    </w:p>
    <w:p>
      <w:pPr>
        <w:ind w:left="460" w:right="320" w:hanging="452"/>
        <w:spacing w:after="0" w:line="265"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2,036,689 shares held by BV 2014, 135,843 shares held by BV 2014(B), 70,104 shares held by AM BV 2014 LLC and 1,639,849 shares held by UBS Oncology. The Reporting Person is a managing director of BV 2014 LLC and the managing member of Oncology GP.</w:t>
      </w:r>
    </w:p>
    <w:p>
      <w:pPr>
        <w:ind w:left="460" w:right="100" w:hanging="452"/>
        <w:spacing w:after="0" w:line="26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percentage is calculated based upon 37,000,707 outstanding common shares of the Issuer, as disclosed in the Issuer’s Quarterly Report on Form 10-Q, filed with the Securities and Exchange Commission on May 13, 2021.</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60"/>
          </w:cols>
          <w:pgMar w:left="320" w:top="274"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760273102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Luke Evnin</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w w:val="99"/>
              </w:rPr>
              <w:t>(b)</w:t>
            </w:r>
          </w:p>
        </w:tc>
        <w:tc>
          <w:tcPr>
            <w:tcW w:w="954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96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6"/>
              </w:rPr>
              <w:t>United States</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0" w:type="dxa"/>
            <w:vAlign w:val="bottom"/>
            <w:tcBorders>
              <w:left w:val="single" w:sz="8" w:color="auto"/>
            </w:tcBorders>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4"/>
              </w:rPr>
              <w:t>Beneficially</w:t>
            </w:r>
          </w:p>
        </w:tc>
        <w:tc>
          <w:tcPr>
            <w:tcW w:w="32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2,242,636(2)</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7"/>
              </w:rPr>
              <w:t>Person</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5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2,242,636(2)</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2,242,636(2)</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40" w:hanging="452"/>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Schedule is filed by the MPM Entities and the Listed Persons. The MPM Entities and the Listed Persons expressly disclaim status as a “group” for purposes of this Schedule 13D.</w:t>
      </w:r>
    </w:p>
    <w:p>
      <w:pPr>
        <w:spacing w:after="0" w:line="1"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2,036,689 shares held by BV 2014, 135,843 shares held by BV 2014(B) and 70,104 shares held by AM BV 2014 LLC. The Reporting Person is a managing director of BV 2014 LLC.</w:t>
      </w:r>
    </w:p>
    <w:p>
      <w:pPr>
        <w:ind w:left="460" w:right="100" w:hanging="452"/>
        <w:spacing w:after="0" w:line="26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percentage is calculated based upon 37,000,707 outstanding common shares of the Issuer, as disclosed in the Issuer’s Quarterly Report on Form 10-Q, filed with the Securities and Exchange Commission on May 13, 2021.</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60"/>
          </w:cols>
          <w:pgMar w:left="320" w:top="274"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760273102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Todd Foley</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w w:val="99"/>
              </w:rPr>
              <w:t>(b)</w:t>
            </w:r>
          </w:p>
        </w:tc>
        <w:tc>
          <w:tcPr>
            <w:tcW w:w="954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96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6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6"/>
              </w:rPr>
              <w:t>United States</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0" w:type="dxa"/>
            <w:vAlign w:val="bottom"/>
            <w:tcBorders>
              <w:left w:val="single" w:sz="8" w:color="auto"/>
            </w:tcBorders>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4"/>
              </w:rPr>
              <w:t>Beneficially</w:t>
            </w:r>
          </w:p>
        </w:tc>
        <w:tc>
          <w:tcPr>
            <w:tcW w:w="32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2,242,636(2)</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5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5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7"/>
              </w:rPr>
              <w:t>Person</w:t>
            </w: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7"/>
              </w:rPr>
              <w:t>With:</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5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2,242,636(2)</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2,242,636(2)</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40" w:hanging="452"/>
        <w:spacing w:after="0" w:line="25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Schedule is filed by the MPM Entities and the Listed Persons. The MPM Entities and the Listed Persons expressly disclaim status as a “group” for purposes of this Schedule 13D.</w:t>
      </w:r>
    </w:p>
    <w:p>
      <w:pPr>
        <w:spacing w:after="0" w:line="1"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2,036,689 shares held by BV 2014, 135,843 shares held by BV 2014(B) and 70,104 shares held by AM BV 2014 LLC. The Reporting Person is a managing director of BV 2014 LLC.</w:t>
      </w:r>
    </w:p>
    <w:p>
      <w:pPr>
        <w:ind w:left="460" w:right="100" w:hanging="452"/>
        <w:spacing w:after="0" w:line="26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percentage is calculated based upon 37,000,707 outstanding common shares of the Issuer, as disclosed in the Issuer’s Quarterly Report on Form 10-Q, filed with the Securities and Exchange Commission on May 13, 2021.</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60"/>
          </w:cols>
          <w:pgMar w:left="320" w:top="274" w:right="319" w:bottom="1440" w:gutter="0" w:footer="0" w:header="0"/>
        </w:sectPr>
      </w:pPr>
    </w:p>
    <w:bookmarkStart w:id="13" w:name="page14"/>
    <w:bookmarkEnd w:id="13"/>
    <w:p>
      <w:pPr>
        <w:ind w:right="20" w:firstLine="449"/>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3 to Schedule 13D (“Amendment No. 3”) is being filed as an amendment to the initial statement on Schedule 13D relating to the common shares (the “Common Shares”), of Repare Therapeutics Inc. (the “Issuer”), as filed with the Securities and Exchange Commission (the “SEC”) on July 6, 2020, as amended by Amendment No. 1 filed March 23, 2021 and Amendment No. 2 filed May 25, 2021 (as amended, the “Original Schedule 13D”). This Schedule 13D/A is being filed by the Filing Persons to report the open market sales and distribution in kind of the Issuer’s Common Shares by certain Filing Persons.</w:t>
      </w:r>
    </w:p>
    <w:p>
      <w:pPr>
        <w:spacing w:after="0" w:line="188" w:lineRule="exact"/>
        <w:rPr>
          <w:sz w:val="20"/>
          <w:szCs w:val="20"/>
          <w:color w:val="auto"/>
        </w:rPr>
      </w:pPr>
    </w:p>
    <w:p>
      <w:pPr>
        <w:jc w:val="both"/>
        <w:ind w:right="80" w:firstLine="1011"/>
        <w:spacing w:after="0" w:line="263" w:lineRule="auto"/>
        <w:rPr>
          <w:sz w:val="20"/>
          <w:szCs w:val="20"/>
          <w:color w:val="auto"/>
        </w:rPr>
      </w:pPr>
      <w:r>
        <w:rPr>
          <w:rFonts w:ascii="Arial" w:cs="Arial" w:eastAsia="Arial" w:hAnsi="Arial"/>
          <w:sz w:val="18"/>
          <w:szCs w:val="18"/>
          <w:color w:val="auto"/>
        </w:rPr>
        <w:t>Items 4, 5 and 7 of the Original Schedule 13D are hereby amended and supplemented to the extent hereinafter expressly set forth and, except as amended and supplemented hereby, the Original Schedule 13D remains in full force and effect. All capitalized terms used in this Amendment No. 3 but not defined herein shall have the meanings ascribed thereto in the Original Schedule 13D.</w:t>
      </w:r>
    </w:p>
    <w:p>
      <w:pPr>
        <w:spacing w:after="0" w:line="32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the Original Schedule 13D is hereby amended and supplemented by adding the following paragraph at the end of Item 4:</w:t>
      </w:r>
    </w:p>
    <w:p>
      <w:pPr>
        <w:spacing w:after="0" w:line="225"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The MPM Entities sold an aggregate of 396,746 Common Shares in open market transactions from May 25, 2021 through July 12, 2021 for aggregate gross proceeds of $13,233,847.</w:t>
      </w:r>
    </w:p>
    <w:p>
      <w:pPr>
        <w:spacing w:after="0" w:line="31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 (b) The following information with respect to the ownership of the Common Shares of the Issuer by the Filing Persons is provided as of July 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Sole Voting</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Shared</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Sole</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Shared</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Beneficial</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1"/>
              </w:rPr>
              <w:t>Reporting Person</w:t>
            </w:r>
          </w:p>
        </w:tc>
        <w:tc>
          <w:tcPr>
            <w:tcW w:w="3580" w:type="dxa"/>
            <w:vAlign w:val="bottom"/>
            <w:vMerge w:val="restart"/>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Held</w:t>
            </w:r>
          </w:p>
        </w:tc>
        <w:tc>
          <w:tcPr>
            <w:tcW w:w="94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Voting</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Dispositive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Dispositive</w:t>
            </w:r>
          </w:p>
        </w:tc>
        <w:tc>
          <w:tcPr>
            <w:tcW w:w="940" w:type="dxa"/>
            <w:vAlign w:val="bottom"/>
            <w:gridSpan w:val="2"/>
            <w:vMerge w:val="continue"/>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of Class</w:t>
            </w:r>
          </w:p>
        </w:tc>
        <w:tc>
          <w:tcPr>
            <w:tcW w:w="0" w:type="dxa"/>
            <w:vAlign w:val="bottom"/>
          </w:tcPr>
          <w:p>
            <w:pPr>
              <w:spacing w:after="0"/>
              <w:rPr>
                <w:sz w:val="1"/>
                <w:szCs w:val="1"/>
                <w:color w:val="auto"/>
              </w:rPr>
            </w:pPr>
          </w:p>
        </w:tc>
      </w:tr>
      <w:tr>
        <w:trPr>
          <w:trHeight w:val="163"/>
        </w:trPr>
        <w:tc>
          <w:tcPr>
            <w:tcW w:w="1100" w:type="dxa"/>
            <w:vAlign w:val="bottom"/>
            <w:tcBorders>
              <w:bottom w:val="single" w:sz="8" w:color="auto"/>
            </w:tcBorders>
            <w:vMerge w:val="continue"/>
          </w:tcPr>
          <w:p>
            <w:pPr>
              <w:spacing w:after="0"/>
              <w:rPr>
                <w:sz w:val="13"/>
                <w:szCs w:val="13"/>
                <w:color w:val="auto"/>
              </w:rPr>
            </w:pPr>
          </w:p>
        </w:tc>
        <w:tc>
          <w:tcPr>
            <w:tcW w:w="3580" w:type="dxa"/>
            <w:vAlign w:val="bottom"/>
            <w:vMerge w:val="continue"/>
          </w:tcPr>
          <w:p>
            <w:pPr>
              <w:spacing w:after="0"/>
              <w:rPr>
                <w:sz w:val="13"/>
                <w:szCs w:val="13"/>
                <w:color w:val="auto"/>
              </w:rPr>
            </w:pPr>
          </w:p>
        </w:tc>
        <w:tc>
          <w:tcPr>
            <w:tcW w:w="9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7"/>
              </w:rPr>
              <w:t>Directly</w:t>
            </w:r>
          </w:p>
        </w:tc>
        <w:tc>
          <w:tcPr>
            <w:tcW w:w="94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Power</w:t>
            </w:r>
          </w:p>
        </w:tc>
        <w:tc>
          <w:tcPr>
            <w:tcW w:w="9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5"/>
              </w:rPr>
              <w:t>Power</w:t>
            </w:r>
          </w:p>
        </w:tc>
        <w:tc>
          <w:tcPr>
            <w:tcW w:w="9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Power</w:t>
            </w:r>
          </w:p>
        </w:tc>
        <w:tc>
          <w:tcPr>
            <w:tcW w:w="9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0"/>
              </w:rPr>
              <w:t>Power</w:t>
            </w:r>
          </w:p>
        </w:tc>
        <w:tc>
          <w:tcPr>
            <w:tcW w:w="94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9"/>
              </w:rPr>
              <w:t>Ownership</w:t>
            </w: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BV 2014</w:t>
            </w: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2,036,689</w:t>
            </w:r>
          </w:p>
        </w:tc>
        <w:tc>
          <w:tcPr>
            <w:tcW w:w="16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2,036,689</w:t>
            </w:r>
          </w:p>
        </w:tc>
        <w:tc>
          <w:tcPr>
            <w:tcW w:w="16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6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2,036,689</w:t>
            </w:r>
          </w:p>
        </w:tc>
        <w:tc>
          <w:tcPr>
            <w:tcW w:w="16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6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2,036,689</w:t>
            </w:r>
          </w:p>
        </w:tc>
        <w:tc>
          <w:tcPr>
            <w:tcW w:w="1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BV 2014(B)</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135,843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135,843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135,843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135,843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 BV 2014 LLC</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70,104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70,104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70,104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70,104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UBS Oncology</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1,639,849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1,639,849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1,639,849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1,639,849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BV 2014 GP(2)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2,172,532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2,172,532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2,172,532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BV 2014 LLC(3)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2,242,636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2,242,636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2,242,636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Oncology Cayman(4)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1,639,849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1,639,849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1,639,849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Oncology LP(4)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1,639,849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1,639,849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1,639,849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Oncology GP(4)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1,639,849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1,639,849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1,639,849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Ansbert Gadicke(5)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3,882,485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3,882,485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3,882,485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Luke Evnin(6)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2,242,636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2,242,636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2,242,636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Todd Foley(6)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2,242,636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2,242,636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2,242,636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80" w:hanging="452"/>
        <w:spacing w:after="0" w:line="25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percentage is calculated based upon 37,000,707 outstanding common shares of the Issuer, as disclosed in the Issuer’s Quarterly Report on Form 10-Q, filed with the Securities and Exchange Commission on May 13, 2021.</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securities held by BV 2014 and BV 2014(B). BV 2014 GP and BV 2014 LLC are the direct and indirect general partners of BV 2014 and BV 2014(B).</w:t>
      </w:r>
    </w:p>
    <w:p>
      <w:pPr>
        <w:ind w:left="460" w:right="20" w:hanging="452"/>
        <w:spacing w:after="0" w:line="26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securities held by BV 2014, BV 2014(B) and AM BV2014 LLC. BV 2014 GP and BV 2014 LLC are the direct and indirect general partners of BV 2014 and BV 2014(B). BV 2014 LLC is the manager of AM BV2014 LLC.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320" w:top="274" w:right="339" w:bottom="1440" w:gutter="0" w:footer="0" w:header="0"/>
        </w:sectPr>
      </w:pPr>
    </w:p>
    <w:bookmarkStart w:id="14" w:name="page15"/>
    <w:bookmarkEnd w:id="14"/>
    <w:p>
      <w:pPr>
        <w:ind w:left="460" w:right="20" w:hanging="452"/>
        <w:spacing w:after="0" w:line="25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Includes shares held by UBS Oncology. Oncology GP is the general partner of Oncology LP, the General Partner of Oncology (Cayman), the General Partner of UBS Oncology.</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securities held by BV 2014, BV 2014(B), AM BV 2014 LLC and UBS Oncology. The Reporting Person is a managing director of BV 2014 LLC and the managing member of Oncology GP.</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securities held by BV 2014, BV 2014(B) and AM BV 2014 LLC. The Reporting Person is a managing director of BV 2014 LLC.</w:t>
      </w:r>
    </w:p>
    <w:p>
      <w:pPr>
        <w:spacing w:after="0" w:line="211"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Each Filing Person disclaims membership in a “group.” Each Filing Person also disclaims beneficial ownership of any shares of the Issuer, except for the shares set forth in the table above next to the respective Filing Person’s name in subsection (b) of this Item 5.</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The Reporting Persons sold the following Common Shares in the open market in the sixty days preceding the date of this filing: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 of</w:t>
            </w: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Price Range</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5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1"/>
              </w:rPr>
              <w:t>Sold by BV 2014</w:t>
            </w:r>
          </w:p>
        </w:tc>
        <w:tc>
          <w:tcPr>
            <w:tcW w:w="1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Sold by AM BV 2014</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Sold by UBS</w:t>
            </w:r>
          </w:p>
        </w:tc>
        <w:tc>
          <w:tcPr>
            <w:tcW w:w="0" w:type="dxa"/>
            <w:vAlign w:val="bottom"/>
          </w:tcPr>
          <w:p>
            <w:pPr>
              <w:spacing w:after="0"/>
              <w:rPr>
                <w:sz w:val="1"/>
                <w:szCs w:val="1"/>
                <w:color w:val="auto"/>
              </w:rPr>
            </w:pPr>
          </w:p>
        </w:tc>
      </w:tr>
      <w:tr>
        <w:trPr>
          <w:trHeight w:val="182"/>
        </w:trPr>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Sale</w:t>
            </w:r>
          </w:p>
        </w:tc>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LLC</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Oncology</w:t>
            </w:r>
          </w:p>
        </w:tc>
        <w:tc>
          <w:tcPr>
            <w:tcW w:w="0" w:type="dxa"/>
            <w:vAlign w:val="bottom"/>
          </w:tcPr>
          <w:p>
            <w:pPr>
              <w:spacing w:after="0"/>
              <w:rPr>
                <w:sz w:val="1"/>
                <w:szCs w:val="1"/>
                <w:color w:val="auto"/>
              </w:rPr>
            </w:pPr>
          </w:p>
        </w:tc>
      </w:tr>
      <w:tr>
        <w:trPr>
          <w:trHeight w:val="203"/>
        </w:trPr>
        <w:tc>
          <w:tcPr>
            <w:tcW w:w="8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7"/>
              </w:rPr>
              <w:t>5/18/2021</w:t>
            </w:r>
          </w:p>
        </w:tc>
        <w:tc>
          <w:tcPr>
            <w:tcW w:w="33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33.06-$34.05</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w w:val="84"/>
              </w:rPr>
              <w:t>33.90</w:t>
            </w:r>
          </w:p>
        </w:tc>
        <w:tc>
          <w:tcPr>
            <w:tcW w:w="4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6,292</w:t>
            </w:r>
          </w:p>
        </w:tc>
        <w:tc>
          <w:tcPr>
            <w:tcW w:w="4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217</w:t>
            </w:r>
          </w:p>
        </w:tc>
        <w:tc>
          <w:tcPr>
            <w:tcW w:w="4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8,264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w w:val="97"/>
              </w:rPr>
              <w:t>5/18/2021</w:t>
            </w:r>
          </w:p>
        </w:tc>
        <w:tc>
          <w:tcPr>
            <w:tcW w:w="4980" w:type="dxa"/>
            <w:vAlign w:val="bottom"/>
            <w:gridSpan w:val="4"/>
          </w:tcPr>
          <w:p>
            <w:pPr>
              <w:jc w:val="right"/>
              <w:ind w:right="460"/>
              <w:spacing w:after="0"/>
              <w:rPr>
                <w:sz w:val="20"/>
                <w:szCs w:val="20"/>
                <w:color w:val="auto"/>
              </w:rPr>
            </w:pPr>
            <w:r>
              <w:rPr>
                <w:rFonts w:ascii="Arial" w:cs="Arial" w:eastAsia="Arial" w:hAnsi="Arial"/>
                <w:sz w:val="18"/>
                <w:szCs w:val="18"/>
                <w:color w:val="auto"/>
              </w:rPr>
              <w:t>$  34.07-$35.01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34.61</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3,638</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125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7"/>
              </w:rPr>
              <w:t>5/18/2021</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35.14</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w w:val="97"/>
              </w:rPr>
              <w:t>5/19/2021</w:t>
            </w:r>
          </w:p>
        </w:tc>
        <w:tc>
          <w:tcPr>
            <w:tcW w:w="4980" w:type="dxa"/>
            <w:vAlign w:val="bottom"/>
            <w:gridSpan w:val="4"/>
          </w:tcPr>
          <w:p>
            <w:pPr>
              <w:jc w:val="right"/>
              <w:ind w:right="460"/>
              <w:spacing w:after="0"/>
              <w:rPr>
                <w:sz w:val="20"/>
                <w:szCs w:val="20"/>
                <w:color w:val="auto"/>
              </w:rPr>
            </w:pPr>
            <w:r>
              <w:rPr>
                <w:rFonts w:ascii="Arial" w:cs="Arial" w:eastAsia="Arial" w:hAnsi="Arial"/>
                <w:sz w:val="18"/>
                <w:szCs w:val="18"/>
                <w:color w:val="auto"/>
              </w:rPr>
              <w:t>$  33.70-$34.64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34.23</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3,895</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134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7"/>
              </w:rPr>
              <w:t>5/19/2021</w:t>
            </w:r>
          </w:p>
        </w:tc>
        <w:tc>
          <w:tcPr>
            <w:tcW w:w="49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34.74-$35.25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35.00</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1,874</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w w:val="97"/>
              </w:rPr>
              <w:t>5/20/2021</w:t>
            </w:r>
          </w:p>
        </w:tc>
        <w:tc>
          <w:tcPr>
            <w:tcW w:w="4980" w:type="dxa"/>
            <w:vAlign w:val="bottom"/>
            <w:gridSpan w:val="4"/>
          </w:tcPr>
          <w:p>
            <w:pPr>
              <w:jc w:val="right"/>
              <w:ind w:right="460"/>
              <w:spacing w:after="0"/>
              <w:rPr>
                <w:sz w:val="20"/>
                <w:szCs w:val="20"/>
                <w:color w:val="auto"/>
              </w:rPr>
            </w:pPr>
            <w:r>
              <w:rPr>
                <w:rFonts w:ascii="Arial" w:cs="Arial" w:eastAsia="Arial" w:hAnsi="Arial"/>
                <w:sz w:val="18"/>
                <w:szCs w:val="18"/>
                <w:color w:val="auto"/>
              </w:rPr>
              <w:t>$  34.10-$35.04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34.66</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3,985</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137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7"/>
              </w:rPr>
              <w:t>5/20/2021</w:t>
            </w:r>
          </w:p>
        </w:tc>
        <w:tc>
          <w:tcPr>
            <w:tcW w:w="49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35.14-$35.22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35.19</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256</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w w:val="97"/>
              </w:rPr>
              <w:t>5/21/2021</w:t>
            </w:r>
          </w:p>
        </w:tc>
        <w:tc>
          <w:tcPr>
            <w:tcW w:w="4980" w:type="dxa"/>
            <w:vAlign w:val="bottom"/>
            <w:gridSpan w:val="4"/>
          </w:tcPr>
          <w:p>
            <w:pPr>
              <w:jc w:val="right"/>
              <w:ind w:right="460"/>
              <w:spacing w:after="0"/>
              <w:rPr>
                <w:sz w:val="20"/>
                <w:szCs w:val="20"/>
                <w:color w:val="auto"/>
              </w:rPr>
            </w:pPr>
            <w:r>
              <w:rPr>
                <w:rFonts w:ascii="Arial" w:cs="Arial" w:eastAsia="Arial" w:hAnsi="Arial"/>
                <w:sz w:val="18"/>
                <w:szCs w:val="18"/>
                <w:color w:val="auto"/>
              </w:rPr>
              <w:t>$  34.40-$34.99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34.80</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128,922</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4,437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169,310</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7"/>
              </w:rPr>
              <w:t>5/24/2021</w:t>
            </w:r>
          </w:p>
        </w:tc>
        <w:tc>
          <w:tcPr>
            <w:tcW w:w="49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32.57-$33.56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33.30</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1,511</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w w:val="97"/>
              </w:rPr>
              <w:t>5/24/2021</w:t>
            </w:r>
          </w:p>
        </w:tc>
        <w:tc>
          <w:tcPr>
            <w:tcW w:w="4980" w:type="dxa"/>
            <w:vAlign w:val="bottom"/>
            <w:gridSpan w:val="4"/>
          </w:tcPr>
          <w:p>
            <w:pPr>
              <w:jc w:val="right"/>
              <w:ind w:right="460"/>
              <w:spacing w:after="0"/>
              <w:rPr>
                <w:sz w:val="20"/>
                <w:szCs w:val="20"/>
                <w:color w:val="auto"/>
              </w:rPr>
            </w:pPr>
            <w:r>
              <w:rPr>
                <w:rFonts w:ascii="Arial" w:cs="Arial" w:eastAsia="Arial" w:hAnsi="Arial"/>
                <w:sz w:val="18"/>
                <w:szCs w:val="18"/>
                <w:color w:val="auto"/>
              </w:rPr>
              <w:t>$  33.60-$34.37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34.28</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7,945</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274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10,434</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7"/>
              </w:rPr>
              <w:t>5/25/2021</w:t>
            </w:r>
          </w:p>
        </w:tc>
        <w:tc>
          <w:tcPr>
            <w:tcW w:w="49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32.45-$33.32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32.87</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2,756</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w w:val="97"/>
              </w:rPr>
              <w:t>5/25/2021</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33.59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33.59</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43</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7"/>
              </w:rPr>
              <w:t>5/26/2021</w:t>
            </w:r>
          </w:p>
        </w:tc>
        <w:tc>
          <w:tcPr>
            <w:tcW w:w="49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$ 31.955-$32.90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32.74</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9,512</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12,493</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w w:val="97"/>
              </w:rPr>
              <w:t>5/26/2021</w:t>
            </w:r>
          </w:p>
        </w:tc>
        <w:tc>
          <w:tcPr>
            <w:tcW w:w="4980" w:type="dxa"/>
            <w:vAlign w:val="bottom"/>
            <w:gridSpan w:val="4"/>
          </w:tcPr>
          <w:p>
            <w:pPr>
              <w:jc w:val="right"/>
              <w:ind w:right="460"/>
              <w:spacing w:after="0"/>
              <w:rPr>
                <w:sz w:val="20"/>
                <w:szCs w:val="20"/>
                <w:color w:val="auto"/>
              </w:rPr>
            </w:pPr>
            <w:r>
              <w:rPr>
                <w:rFonts w:ascii="Arial" w:cs="Arial" w:eastAsia="Arial" w:hAnsi="Arial"/>
                <w:sz w:val="18"/>
                <w:szCs w:val="18"/>
                <w:color w:val="auto"/>
              </w:rPr>
              <w:t>$  32.98-$33.12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33.01</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726</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25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7"/>
              </w:rPr>
              <w:t>5/27/2021</w:t>
            </w:r>
          </w:p>
        </w:tc>
        <w:tc>
          <w:tcPr>
            <w:tcW w:w="49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32.07-$33.05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32.81</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1,843</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w w:val="97"/>
              </w:rPr>
              <w:t>5/27/2021</w:t>
            </w:r>
          </w:p>
        </w:tc>
        <w:tc>
          <w:tcPr>
            <w:tcW w:w="4980" w:type="dxa"/>
            <w:vAlign w:val="bottom"/>
            <w:gridSpan w:val="4"/>
          </w:tcPr>
          <w:p>
            <w:pPr>
              <w:jc w:val="right"/>
              <w:ind w:right="460"/>
              <w:spacing w:after="0"/>
              <w:rPr>
                <w:sz w:val="20"/>
                <w:szCs w:val="20"/>
                <w:color w:val="auto"/>
              </w:rPr>
            </w:pPr>
            <w:r>
              <w:rPr>
                <w:rFonts w:ascii="Arial" w:cs="Arial" w:eastAsia="Arial" w:hAnsi="Arial"/>
                <w:sz w:val="18"/>
                <w:szCs w:val="18"/>
                <w:color w:val="auto"/>
              </w:rPr>
              <w:t>$ 33.075-$33.59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33.16</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1,544</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53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7"/>
              </w:rPr>
              <w:t>5/28/2021</w:t>
            </w:r>
          </w:p>
        </w:tc>
        <w:tc>
          <w:tcPr>
            <w:tcW w:w="49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32.04-$32.89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32.67</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7,131</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9,365</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6/1/2021</w:t>
            </w:r>
          </w:p>
        </w:tc>
        <w:tc>
          <w:tcPr>
            <w:tcW w:w="4980" w:type="dxa"/>
            <w:vAlign w:val="bottom"/>
            <w:gridSpan w:val="4"/>
          </w:tcPr>
          <w:p>
            <w:pPr>
              <w:jc w:val="right"/>
              <w:ind w:right="460"/>
              <w:spacing w:after="0"/>
              <w:rPr>
                <w:sz w:val="20"/>
                <w:szCs w:val="20"/>
                <w:color w:val="auto"/>
              </w:rPr>
            </w:pPr>
            <w:r>
              <w:rPr>
                <w:rFonts w:ascii="Arial" w:cs="Arial" w:eastAsia="Arial" w:hAnsi="Arial"/>
                <w:sz w:val="18"/>
                <w:szCs w:val="18"/>
                <w:color w:val="auto"/>
              </w:rPr>
              <w:t>$  32.12-$32.98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32.50</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6,449</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222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8,470</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6/2/2021</w:t>
            </w:r>
          </w:p>
        </w:tc>
        <w:tc>
          <w:tcPr>
            <w:tcW w:w="49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31.29-$32.24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31.83</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2,521</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6/2/2021</w:t>
            </w:r>
          </w:p>
        </w:tc>
        <w:tc>
          <w:tcPr>
            <w:tcW w:w="4980" w:type="dxa"/>
            <w:vAlign w:val="bottom"/>
            <w:gridSpan w:val="4"/>
          </w:tcPr>
          <w:p>
            <w:pPr>
              <w:jc w:val="right"/>
              <w:ind w:right="460"/>
              <w:spacing w:after="0"/>
              <w:rPr>
                <w:sz w:val="20"/>
                <w:szCs w:val="20"/>
                <w:color w:val="auto"/>
              </w:rPr>
            </w:pPr>
            <w:r>
              <w:rPr>
                <w:rFonts w:ascii="Arial" w:cs="Arial" w:eastAsia="Arial" w:hAnsi="Arial"/>
                <w:sz w:val="18"/>
                <w:szCs w:val="18"/>
                <w:color w:val="auto"/>
              </w:rPr>
              <w:t>$  32.31-$32.58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32.42</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126</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6/3/2021</w:t>
            </w:r>
          </w:p>
        </w:tc>
        <w:tc>
          <w:tcPr>
            <w:tcW w:w="49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$ 31.35-$32.265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31.92</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9,497</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12,472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6/4/2021</w:t>
            </w:r>
          </w:p>
        </w:tc>
        <w:tc>
          <w:tcPr>
            <w:tcW w:w="4980" w:type="dxa"/>
            <w:vAlign w:val="bottom"/>
            <w:gridSpan w:val="4"/>
          </w:tcPr>
          <w:p>
            <w:pPr>
              <w:jc w:val="right"/>
              <w:ind w:right="460"/>
              <w:spacing w:after="0"/>
              <w:rPr>
                <w:sz w:val="20"/>
                <w:szCs w:val="20"/>
                <w:color w:val="auto"/>
              </w:rPr>
            </w:pPr>
            <w:r>
              <w:rPr>
                <w:rFonts w:ascii="Arial" w:cs="Arial" w:eastAsia="Arial" w:hAnsi="Arial"/>
                <w:sz w:val="18"/>
                <w:szCs w:val="18"/>
                <w:color w:val="auto"/>
              </w:rPr>
              <w:t>$  30.10-$31.09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30.80</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3,426</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118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6/4/2021</w:t>
            </w:r>
          </w:p>
        </w:tc>
        <w:tc>
          <w:tcPr>
            <w:tcW w:w="49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31.10-$31.54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31.28</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1,999</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6/7/2021</w:t>
            </w:r>
          </w:p>
        </w:tc>
        <w:tc>
          <w:tcPr>
            <w:tcW w:w="4980" w:type="dxa"/>
            <w:vAlign w:val="bottom"/>
            <w:gridSpan w:val="4"/>
          </w:tcPr>
          <w:p>
            <w:pPr>
              <w:jc w:val="right"/>
              <w:ind w:right="460"/>
              <w:spacing w:after="0"/>
              <w:rPr>
                <w:sz w:val="20"/>
                <w:szCs w:val="20"/>
                <w:color w:val="auto"/>
              </w:rPr>
            </w:pPr>
            <w:r>
              <w:rPr>
                <w:rFonts w:ascii="Arial" w:cs="Arial" w:eastAsia="Arial" w:hAnsi="Arial"/>
                <w:sz w:val="18"/>
                <w:szCs w:val="18"/>
                <w:color w:val="auto"/>
              </w:rPr>
              <w:t>$  30.41-$31.25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30.74</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1,023</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35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6/7/2021</w:t>
            </w:r>
          </w:p>
        </w:tc>
        <w:tc>
          <w:tcPr>
            <w:tcW w:w="49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31.50-$32.49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32.25</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724</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6/7/2021</w:t>
            </w:r>
          </w:p>
        </w:tc>
        <w:tc>
          <w:tcPr>
            <w:tcW w:w="4980" w:type="dxa"/>
            <w:vAlign w:val="bottom"/>
            <w:gridSpan w:val="4"/>
          </w:tcPr>
          <w:p>
            <w:pPr>
              <w:jc w:val="right"/>
              <w:ind w:right="460"/>
              <w:spacing w:after="0"/>
              <w:rPr>
                <w:sz w:val="20"/>
                <w:szCs w:val="20"/>
                <w:color w:val="auto"/>
              </w:rPr>
            </w:pPr>
            <w:r>
              <w:rPr>
                <w:rFonts w:ascii="Arial" w:cs="Arial" w:eastAsia="Arial" w:hAnsi="Arial"/>
                <w:sz w:val="18"/>
                <w:szCs w:val="18"/>
                <w:color w:val="auto"/>
              </w:rPr>
              <w:t>$  32.50-$33.15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32.96</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8,100</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279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10,638</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6/8/2021</w:t>
            </w:r>
          </w:p>
        </w:tc>
        <w:tc>
          <w:tcPr>
            <w:tcW w:w="49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$ 32.16-$33.145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32.80</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3,852</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6/8/2021</w:t>
            </w:r>
          </w:p>
        </w:tc>
        <w:tc>
          <w:tcPr>
            <w:tcW w:w="4980" w:type="dxa"/>
            <w:vAlign w:val="bottom"/>
            <w:gridSpan w:val="4"/>
          </w:tcPr>
          <w:p>
            <w:pPr>
              <w:jc w:val="right"/>
              <w:ind w:right="460"/>
              <w:spacing w:after="0"/>
              <w:rPr>
                <w:sz w:val="20"/>
                <w:szCs w:val="20"/>
                <w:color w:val="auto"/>
              </w:rPr>
            </w:pPr>
            <w:r>
              <w:rPr>
                <w:rFonts w:ascii="Arial" w:cs="Arial" w:eastAsia="Arial" w:hAnsi="Arial"/>
                <w:sz w:val="18"/>
                <w:szCs w:val="18"/>
                <w:color w:val="auto"/>
              </w:rPr>
              <w:t>$  33.16-$33.93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33.41</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7,308</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251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6/9/2021</w:t>
            </w:r>
          </w:p>
        </w:tc>
        <w:tc>
          <w:tcPr>
            <w:tcW w:w="33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0"/>
              </w:rPr>
              <w:t>$33.66—$34.65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34.42</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4,627</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6/9/2021</w:t>
            </w:r>
          </w:p>
        </w:tc>
        <w:tc>
          <w:tcPr>
            <w:tcW w:w="334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w w:val="90"/>
              </w:rPr>
              <w:t>$34.69—$35.00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34.79</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10,379</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359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13,630</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7"/>
              </w:rPr>
              <w:t>6/14/2021</w:t>
            </w:r>
          </w:p>
        </w:tc>
        <w:tc>
          <w:tcPr>
            <w:tcW w:w="49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32.95-$33.57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33.09</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852</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w w:val="97"/>
              </w:rPr>
              <w:t>6/16/2021</w:t>
            </w:r>
          </w:p>
        </w:tc>
        <w:tc>
          <w:tcPr>
            <w:tcW w:w="4980" w:type="dxa"/>
            <w:vAlign w:val="bottom"/>
            <w:gridSpan w:val="4"/>
          </w:tcPr>
          <w:p>
            <w:pPr>
              <w:jc w:val="right"/>
              <w:ind w:right="460"/>
              <w:spacing w:after="0"/>
              <w:rPr>
                <w:sz w:val="20"/>
                <w:szCs w:val="20"/>
                <w:color w:val="auto"/>
              </w:rPr>
            </w:pPr>
            <w:r>
              <w:rPr>
                <w:rFonts w:ascii="Arial" w:cs="Arial" w:eastAsia="Arial" w:hAnsi="Arial"/>
                <w:sz w:val="18"/>
                <w:szCs w:val="18"/>
                <w:color w:val="auto"/>
              </w:rPr>
              <w:t>$  32.95-$33.66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33.33</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1,800</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62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7"/>
              </w:rPr>
              <w:t>6/17/2021</w:t>
            </w:r>
          </w:p>
        </w:tc>
        <w:tc>
          <w:tcPr>
            <w:tcW w:w="49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33.06-$34.03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33.78</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13,123</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17,235</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w w:val="97"/>
              </w:rPr>
              <w:t>6/17/2021</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34.07-$34.26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34.12</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728</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25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40"/>
          </w:cols>
          <w:pgMar w:left="320" w:top="27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6/18/2021</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6"/>
              </w:rPr>
              <w:t>32.95-$33.94</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$33.46</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2,471</w:t>
            </w: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6/18/2021</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w w:val="96"/>
              </w:rPr>
              <w:t>32.97-$34.14</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$34.03</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1,363</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47</w:t>
            </w:r>
          </w:p>
        </w:tc>
        <w:tc>
          <w:tcPr>
            <w:tcW w:w="980" w:type="dxa"/>
            <w:vAlign w:val="bottom"/>
          </w:tcPr>
          <w:p>
            <w:pPr>
              <w:jc w:val="right"/>
              <w:spacing w:after="0"/>
              <w:rPr>
                <w:sz w:val="20"/>
                <w:szCs w:val="20"/>
                <w:color w:val="auto"/>
              </w:rPr>
            </w:pPr>
            <w:r>
              <w:rPr>
                <w:rFonts w:ascii="Arial" w:cs="Arial" w:eastAsia="Arial" w:hAnsi="Arial"/>
                <w:sz w:val="18"/>
                <w:szCs w:val="18"/>
                <w:color w:val="auto"/>
              </w:rPr>
              <w:t>1,789</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6/21/2021</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6"/>
              </w:rPr>
              <w:t>33.33-$34.30</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$33.80</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2,471</w:t>
            </w: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6/21/2021</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w w:val="96"/>
              </w:rPr>
              <w:t>34.39-$34.87</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$34.63</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13,540</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466</w:t>
            </w:r>
          </w:p>
        </w:tc>
        <w:tc>
          <w:tcPr>
            <w:tcW w:w="980" w:type="dxa"/>
            <w:vAlign w:val="bottom"/>
          </w:tcPr>
          <w:p>
            <w:pPr>
              <w:jc w:val="right"/>
              <w:spacing w:after="0"/>
              <w:rPr>
                <w:sz w:val="20"/>
                <w:szCs w:val="20"/>
                <w:color w:val="auto"/>
              </w:rPr>
            </w:pPr>
            <w:r>
              <w:rPr>
                <w:rFonts w:ascii="Arial" w:cs="Arial" w:eastAsia="Arial" w:hAnsi="Arial"/>
                <w:sz w:val="18"/>
                <w:szCs w:val="18"/>
                <w:color w:val="auto"/>
              </w:rPr>
              <w:t>17,782</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6/22/2021</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6"/>
              </w:rPr>
              <w:t>32.95-$33.93</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$33.36</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1,436</w:t>
            </w: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6/22/2021</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w w:val="96"/>
              </w:rPr>
              <w:t>33.98-$34.16</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$34.09</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183</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9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6/23/2021</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6"/>
              </w:rPr>
              <w:t>32.95-$33.03</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$32.98</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601</w:t>
            </w: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6/24/2021</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w w:val="96"/>
              </w:rPr>
              <w:t>33.11-$33.90</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$33.53</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2,607</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90</w:t>
            </w:r>
          </w:p>
        </w:tc>
        <w:tc>
          <w:tcPr>
            <w:tcW w:w="980" w:type="dxa"/>
            <w:vAlign w:val="bottom"/>
          </w:tcPr>
          <w:p>
            <w:pPr>
              <w:jc w:val="right"/>
              <w:spacing w:after="0"/>
              <w:rPr>
                <w:sz w:val="20"/>
                <w:szCs w:val="20"/>
                <w:color w:val="auto"/>
              </w:rPr>
            </w:pPr>
            <w:r>
              <w:rPr>
                <w:rFonts w:ascii="Arial" w:cs="Arial" w:eastAsia="Arial" w:hAnsi="Arial"/>
                <w:sz w:val="18"/>
                <w:szCs w:val="18"/>
                <w:color w:val="auto"/>
              </w:rPr>
              <w:t>3,424</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6/25/2021</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6"/>
              </w:rPr>
              <w:t>33.10-$33.98</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$33.51</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9,612</w:t>
            </w: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331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6/28/2021</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w w:val="96"/>
              </w:rPr>
              <w:t>33.59-$34.54</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$34.06</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5,878</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202</w:t>
            </w:r>
          </w:p>
        </w:tc>
        <w:tc>
          <w:tcPr>
            <w:tcW w:w="980" w:type="dxa"/>
            <w:vAlign w:val="bottom"/>
          </w:tcPr>
          <w:p>
            <w:pPr>
              <w:jc w:val="right"/>
              <w:spacing w:after="0"/>
              <w:rPr>
                <w:sz w:val="20"/>
                <w:szCs w:val="20"/>
                <w:color w:val="auto"/>
              </w:rPr>
            </w:pPr>
            <w:r>
              <w:rPr>
                <w:rFonts w:ascii="Arial" w:cs="Arial" w:eastAsia="Arial" w:hAnsi="Arial"/>
                <w:sz w:val="18"/>
                <w:szCs w:val="18"/>
                <w:color w:val="auto"/>
              </w:rPr>
              <w:t>7,720</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6/28/2021</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6"/>
              </w:rPr>
              <w:t>34.60-$35.10</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$34.82</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1,150</w:t>
            </w: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6/29/2021</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w w:val="96"/>
              </w:rPr>
              <w:t>32.95-$33.78</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$33.29</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1,150</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40</w:t>
            </w:r>
          </w:p>
        </w:tc>
        <w:tc>
          <w:tcPr>
            <w:tcW w:w="980" w:type="dxa"/>
            <w:vAlign w:val="bottom"/>
          </w:tcPr>
          <w:p>
            <w:pPr>
              <w:jc w:val="right"/>
              <w:spacing w:after="0"/>
              <w:rPr>
                <w:sz w:val="20"/>
                <w:szCs w:val="20"/>
                <w:color w:val="auto"/>
              </w:rPr>
            </w:pPr>
            <w:r>
              <w:rPr>
                <w:rFonts w:ascii="Arial" w:cs="Arial" w:eastAsia="Arial" w:hAnsi="Arial"/>
                <w:sz w:val="18"/>
                <w:szCs w:val="18"/>
                <w:color w:val="auto"/>
              </w:rPr>
              <w:t>1,510</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7/9/2021</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6"/>
              </w:rPr>
              <w:t>32.95-$33.20</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$33.06</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1,732</w:t>
            </w: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7/12/2021</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w w:val="96"/>
              </w:rPr>
              <w:t>33.05-$34.04</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$33.58</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24,408</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838</w:t>
            </w:r>
          </w:p>
        </w:tc>
        <w:tc>
          <w:tcPr>
            <w:tcW w:w="980" w:type="dxa"/>
            <w:vAlign w:val="bottom"/>
          </w:tcPr>
          <w:p>
            <w:pPr>
              <w:jc w:val="right"/>
              <w:spacing w:after="0"/>
              <w:rPr>
                <w:sz w:val="20"/>
                <w:szCs w:val="20"/>
                <w:color w:val="auto"/>
              </w:rPr>
            </w:pPr>
            <w:r>
              <w:rPr>
                <w:rFonts w:ascii="Arial" w:cs="Arial" w:eastAsia="Arial" w:hAnsi="Arial"/>
                <w:sz w:val="18"/>
                <w:szCs w:val="18"/>
                <w:color w:val="auto"/>
              </w:rPr>
              <w:t>32,055</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7/12/2021</w:t>
            </w:r>
          </w:p>
        </w:tc>
        <w:tc>
          <w:tcPr>
            <w:tcW w:w="37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$34.055-$34.135</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$34.10</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303</w:t>
            </w: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30"/>
        </w:trPr>
        <w:tc>
          <w:tcPr>
            <w:tcW w:w="29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327,351</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11,268</w:t>
            </w:r>
          </w:p>
        </w:tc>
        <w:tc>
          <w:tcPr>
            <w:tcW w:w="980" w:type="dxa"/>
            <w:vAlign w:val="bottom"/>
          </w:tcPr>
          <w:p>
            <w:pPr>
              <w:jc w:val="right"/>
              <w:spacing w:after="0"/>
              <w:rPr>
                <w:sz w:val="20"/>
                <w:szCs w:val="20"/>
                <w:color w:val="auto"/>
              </w:rPr>
            </w:pPr>
            <w:r>
              <w:rPr>
                <w:rFonts w:ascii="Arial" w:cs="Arial" w:eastAsia="Arial" w:hAnsi="Arial"/>
                <w:sz w:val="18"/>
                <w:szCs w:val="18"/>
                <w:color w:val="auto"/>
              </w:rPr>
              <w:t>429,900</w:t>
            </w: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information provided and incorporated by reference in Item 3 and Item 6 is hereby incorporated by reference in this Item 5.</w:t>
      </w:r>
    </w:p>
    <w:p>
      <w:pPr>
        <w:spacing w:after="0" w:line="225" w:lineRule="exact"/>
        <w:rPr>
          <w:sz w:val="20"/>
          <w:szCs w:val="20"/>
          <w:color w:val="auto"/>
        </w:rPr>
      </w:pPr>
    </w:p>
    <w:p>
      <w:pPr>
        <w:ind w:left="840" w:hanging="383"/>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Inapplicable.</w:t>
      </w:r>
    </w:p>
    <w:p>
      <w:pPr>
        <w:spacing w:after="0" w:line="225" w:lineRule="exact"/>
        <w:rPr>
          <w:rFonts w:ascii="Arial" w:cs="Arial" w:eastAsia="Arial" w:hAnsi="Arial"/>
          <w:sz w:val="18"/>
          <w:szCs w:val="18"/>
          <w:color w:val="auto"/>
        </w:rPr>
      </w:pPr>
    </w:p>
    <w:p>
      <w:pPr>
        <w:ind w:left="840" w:hanging="383"/>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121"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Agreement regarding filing of joint Schedule 13D.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240"/>
          </w:cols>
          <w:pgMar w:left="320" w:top="288" w:right="339" w:bottom="1440" w:gutter="0" w:footer="0" w:header="0"/>
        </w:sectPr>
      </w:pPr>
    </w:p>
    <w:bookmarkStart w:id="16" w:name="page17"/>
    <w:bookmarkEnd w:id="16"/>
    <w:p>
      <w:pPr>
        <w:jc w:val="center"/>
        <w:ind w:right="-3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20,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B</w:t>
      </w:r>
      <w:r>
        <w:rPr>
          <w:rFonts w:ascii="Arial" w:cs="Arial" w:eastAsia="Arial" w:hAnsi="Arial"/>
          <w:sz w:val="14"/>
          <w:szCs w:val="14"/>
          <w:b w:val="1"/>
          <w:bCs w:val="1"/>
          <w:color w:val="auto"/>
        </w:rPr>
        <w:t>IO</w:t>
      </w:r>
      <w:r>
        <w:rPr>
          <w:rFonts w:ascii="Arial" w:cs="Arial" w:eastAsia="Arial" w:hAnsi="Arial"/>
          <w:sz w:val="18"/>
          <w:szCs w:val="18"/>
          <w:b w:val="1"/>
          <w:bCs w:val="1"/>
          <w:color w:val="auto"/>
        </w:rPr>
        <w:t>V</w:t>
      </w:r>
      <w:r>
        <w:rPr>
          <w:rFonts w:ascii="Arial" w:cs="Arial" w:eastAsia="Arial" w:hAnsi="Arial"/>
          <w:sz w:val="14"/>
          <w:szCs w:val="14"/>
          <w:b w:val="1"/>
          <w:bCs w:val="1"/>
          <w:color w:val="auto"/>
        </w:rPr>
        <w:t>ENTURES</w:t>
      </w:r>
      <w:r>
        <w:rPr>
          <w:rFonts w:ascii="Arial" w:cs="Arial" w:eastAsia="Arial" w:hAnsi="Arial"/>
          <w:sz w:val="18"/>
          <w:szCs w:val="18"/>
          <w:b w:val="1"/>
          <w:bCs w:val="1"/>
          <w:color w:val="auto"/>
        </w:rPr>
        <w:t xml:space="preserve"> 2014,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2014 GP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2014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Ansbert Gadicke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Ansbert Gadicke</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B</w:t>
      </w:r>
      <w:r>
        <w:rPr>
          <w:rFonts w:ascii="Arial" w:cs="Arial" w:eastAsia="Arial" w:hAnsi="Arial"/>
          <w:sz w:val="14"/>
          <w:szCs w:val="14"/>
          <w:b w:val="1"/>
          <w:bCs w:val="1"/>
          <w:color w:val="auto"/>
        </w:rPr>
        <w:t>IO</w:t>
      </w:r>
      <w:r>
        <w:rPr>
          <w:rFonts w:ascii="Arial" w:cs="Arial" w:eastAsia="Arial" w:hAnsi="Arial"/>
          <w:sz w:val="18"/>
          <w:szCs w:val="18"/>
          <w:b w:val="1"/>
          <w:bCs w:val="1"/>
          <w:color w:val="auto"/>
        </w:rPr>
        <w:t>V</w:t>
      </w:r>
      <w:r>
        <w:rPr>
          <w:rFonts w:ascii="Arial" w:cs="Arial" w:eastAsia="Arial" w:hAnsi="Arial"/>
          <w:sz w:val="14"/>
          <w:szCs w:val="14"/>
          <w:b w:val="1"/>
          <w:bCs w:val="1"/>
          <w:color w:val="auto"/>
        </w:rPr>
        <w:t>ENTURES</w:t>
      </w:r>
      <w:r>
        <w:rPr>
          <w:rFonts w:ascii="Arial" w:cs="Arial" w:eastAsia="Arial" w:hAnsi="Arial"/>
          <w:sz w:val="18"/>
          <w:szCs w:val="18"/>
          <w:b w:val="1"/>
          <w:bCs w:val="1"/>
          <w:color w:val="auto"/>
        </w:rPr>
        <w:t xml:space="preserve"> 2014 (B),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2014 GP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2014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Ansbert Gadicke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Ansbert Gadicke</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A</w:t>
      </w:r>
      <w:r>
        <w:rPr>
          <w:rFonts w:ascii="Arial" w:cs="Arial" w:eastAsia="Arial" w:hAnsi="Arial"/>
          <w:sz w:val="14"/>
          <w:szCs w:val="14"/>
          <w:b w:val="1"/>
          <w:bCs w:val="1"/>
          <w:color w:val="auto"/>
        </w:rPr>
        <w:t>SSET</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xml:space="preserve"> BV2014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2014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Ansbert Gadicke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Ansbert Gadicke</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0920"/>
          </w:cols>
          <w:pgMar w:left="320" w:top="274" w:right="6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MPM B</w:t>
      </w:r>
      <w:r>
        <w:rPr>
          <w:rFonts w:ascii="Arial" w:cs="Arial" w:eastAsia="Arial" w:hAnsi="Arial"/>
          <w:sz w:val="14"/>
          <w:szCs w:val="14"/>
          <w:b w:val="1"/>
          <w:bCs w:val="1"/>
          <w:color w:val="auto"/>
        </w:rPr>
        <w:t>IO</w:t>
      </w:r>
      <w:r>
        <w:rPr>
          <w:rFonts w:ascii="Arial" w:cs="Arial" w:eastAsia="Arial" w:hAnsi="Arial"/>
          <w:sz w:val="18"/>
          <w:szCs w:val="18"/>
          <w:b w:val="1"/>
          <w:bCs w:val="1"/>
          <w:color w:val="auto"/>
        </w:rPr>
        <w:t>V</w:t>
      </w:r>
      <w:r>
        <w:rPr>
          <w:rFonts w:ascii="Arial" w:cs="Arial" w:eastAsia="Arial" w:hAnsi="Arial"/>
          <w:sz w:val="14"/>
          <w:szCs w:val="14"/>
          <w:b w:val="1"/>
          <w:bCs w:val="1"/>
          <w:color w:val="auto"/>
        </w:rPr>
        <w:t>ENTURES</w:t>
      </w:r>
      <w:r>
        <w:rPr>
          <w:rFonts w:ascii="Arial" w:cs="Arial" w:eastAsia="Arial" w:hAnsi="Arial"/>
          <w:sz w:val="18"/>
          <w:szCs w:val="18"/>
          <w:b w:val="1"/>
          <w:bCs w:val="1"/>
          <w:color w:val="auto"/>
        </w:rPr>
        <w:t xml:space="preserve"> 2014 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2014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Ansbert Gadicke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Ansbert Gadicke</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B</w:t>
      </w:r>
      <w:r>
        <w:rPr>
          <w:rFonts w:ascii="Arial" w:cs="Arial" w:eastAsia="Arial" w:hAnsi="Arial"/>
          <w:sz w:val="14"/>
          <w:szCs w:val="14"/>
          <w:b w:val="1"/>
          <w:bCs w:val="1"/>
          <w:color w:val="auto"/>
        </w:rPr>
        <w:t>IO</w:t>
      </w:r>
      <w:r>
        <w:rPr>
          <w:rFonts w:ascii="Arial" w:cs="Arial" w:eastAsia="Arial" w:hAnsi="Arial"/>
          <w:sz w:val="18"/>
          <w:szCs w:val="18"/>
          <w:b w:val="1"/>
          <w:bCs w:val="1"/>
          <w:color w:val="auto"/>
        </w:rPr>
        <w:t>V</w:t>
      </w:r>
      <w:r>
        <w:rPr>
          <w:rFonts w:ascii="Arial" w:cs="Arial" w:eastAsia="Arial" w:hAnsi="Arial"/>
          <w:sz w:val="14"/>
          <w:szCs w:val="14"/>
          <w:b w:val="1"/>
          <w:bCs w:val="1"/>
          <w:color w:val="auto"/>
        </w:rPr>
        <w:t>ENTURES</w:t>
      </w:r>
      <w:r>
        <w:rPr>
          <w:rFonts w:ascii="Arial" w:cs="Arial" w:eastAsia="Arial" w:hAnsi="Arial"/>
          <w:sz w:val="18"/>
          <w:szCs w:val="18"/>
          <w:b w:val="1"/>
          <w:bCs w:val="1"/>
          <w:color w:val="auto"/>
        </w:rPr>
        <w:t xml:space="preserve"> 2014 LLC</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Ansbert Gadicke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Ansbert Gadicke</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UBS O</w:t>
      </w:r>
      <w:r>
        <w:rPr>
          <w:rFonts w:ascii="Arial" w:cs="Arial" w:eastAsia="Arial" w:hAnsi="Arial"/>
          <w:sz w:val="14"/>
          <w:szCs w:val="14"/>
          <w:b w:val="1"/>
          <w:bCs w:val="1"/>
          <w:color w:val="auto"/>
        </w:rPr>
        <w:t>NCOLOGY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MPACT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Oncology Impact Fund (Cayman) Management 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MPM Oncology Impact Management LP,</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MPM Oncology Impact Management GP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Ansbert Gadicke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Ansbert Gadicke</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NCOLOGY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MPACT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AYMAN</w:t>
      </w:r>
      <w:r>
        <w:rPr>
          <w:rFonts w:ascii="Arial" w:cs="Arial" w:eastAsia="Arial" w:hAnsi="Arial"/>
          <w:sz w:val="18"/>
          <w:szCs w:val="18"/>
          <w:b w:val="1"/>
          <w:bCs w:val="1"/>
          <w:color w:val="auto"/>
        </w:rPr>
        <w:t>)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MPM Oncology Impact Management 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MPM Oncology Impact Management GP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Ansbert Gadicke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Ansbert Gadicke</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O</w:t>
      </w:r>
      <w:r>
        <w:rPr>
          <w:rFonts w:ascii="Arial" w:cs="Arial" w:eastAsia="Arial" w:hAnsi="Arial"/>
          <w:sz w:val="14"/>
          <w:szCs w:val="14"/>
          <w:b w:val="1"/>
          <w:bCs w:val="1"/>
          <w:color w:val="auto"/>
        </w:rPr>
        <w:t>NCOLOGY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MPACT</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MPM Oncology Impact Management GP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Ansbert Gadicke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Ansbert Gadicke</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Managing Member</w:t>
      </w:r>
    </w:p>
    <w:p>
      <w:pPr>
        <w:spacing w:after="0" w:line="386" w:lineRule="exact"/>
        <w:rPr>
          <w:sz w:val="20"/>
          <w:szCs w:val="20"/>
          <w:color w:val="auto"/>
        </w:rPr>
      </w:pPr>
    </w:p>
    <w:p>
      <w:pPr>
        <w:jc w:val="right"/>
        <w:ind w:right="421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0139"/>
          </w:cols>
          <w:pgMar w:left="320" w:top="270"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MPM O</w:t>
      </w:r>
      <w:r>
        <w:rPr>
          <w:rFonts w:ascii="Arial" w:cs="Arial" w:eastAsia="Arial" w:hAnsi="Arial"/>
          <w:sz w:val="14"/>
          <w:szCs w:val="14"/>
          <w:b w:val="1"/>
          <w:bCs w:val="1"/>
          <w:color w:val="auto"/>
        </w:rPr>
        <w:t>NCOLOGY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MPACT</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GP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Ansbert Gadicke</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Ansbert Gadicke</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Foley</w:t>
            </w:r>
          </w:p>
        </w:tc>
      </w:tr>
      <w:tr>
        <w:trPr>
          <w:trHeight w:val="224"/>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Todd Foley</w:t>
            </w:r>
          </w:p>
        </w:tc>
      </w:tr>
      <w:tr>
        <w:trPr>
          <w:trHeight w:val="431"/>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Luke Evnin</w:t>
            </w:r>
          </w:p>
        </w:tc>
      </w:tr>
      <w:tr>
        <w:trPr>
          <w:trHeight w:val="224"/>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Luke Evnin</w:t>
            </w:r>
          </w:p>
        </w:tc>
      </w:tr>
      <w:tr>
        <w:trPr>
          <w:trHeight w:val="431"/>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Ansbert Gadicke</w:t>
            </w:r>
          </w:p>
        </w:tc>
      </w:tr>
      <w:tr>
        <w:trPr>
          <w:trHeight w:val="224"/>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Ansbert Gadicke</w:t>
            </w:r>
          </w:p>
        </w:tc>
      </w:tr>
    </w:tbl>
    <w:p>
      <w:pPr>
        <w:spacing w:after="0" w:line="133" w:lineRule="exact"/>
        <w:rPr>
          <w:sz w:val="20"/>
          <w:szCs w:val="20"/>
          <w:color w:val="auto"/>
        </w:rPr>
      </w:pPr>
    </w:p>
    <w:p>
      <w:pPr>
        <w:jc w:val="right"/>
        <w:ind w:right="421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0139"/>
          </w:cols>
          <w:pgMar w:left="320" w:top="270" w:right="1440" w:bottom="1440" w:gutter="0" w:footer="0" w:header="0"/>
        </w:sectPr>
      </w:pPr>
    </w:p>
    <w:bookmarkStart w:id="19" w:name="page20"/>
    <w:bookmarkEnd w:id="19"/>
    <w:p>
      <w:pPr>
        <w:jc w:val="center"/>
        <w:ind w:right="-9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General Partners/Members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Ansbert Gadicke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MPM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Kendall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Occupation: Managing director of MPM BioVentures 2014 LLC and managing member of MPM Oncology Impact Management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Citizenship: 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Luke Evnin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MPM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Kendall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Occupation: Managing director of MPM BioVentures 2014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Citizenship: USA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Todd Foley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MPM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Kendall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Occupation: Managing director of MPM BioVentures 2014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Citizenship: USA</w:t>
      </w:r>
    </w:p>
    <w:p>
      <w:pPr>
        <w:spacing w:after="0" w:line="14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0260"/>
          </w:cols>
          <w:pgMar w:left="320" w:top="270" w:right="1319" w:bottom="1440" w:gutter="0" w:footer="0" w:header="0"/>
        </w:sectPr>
      </w:pPr>
    </w:p>
    <w:bookmarkStart w:id="20" w:name="page21"/>
    <w:bookmarkEnd w:id="20"/>
    <w:p>
      <w:pPr>
        <w:spacing w:after="0" w:line="200" w:lineRule="exact"/>
        <w:rPr>
          <w:sz w:val="20"/>
          <w:szCs w:val="20"/>
          <w:color w:val="auto"/>
        </w:rPr>
      </w:pPr>
    </w:p>
    <w:p>
      <w:pPr>
        <w:spacing w:after="0" w:line="263" w:lineRule="exact"/>
        <w:rPr>
          <w:sz w:val="20"/>
          <w:szCs w:val="20"/>
          <w:color w:val="auto"/>
        </w:rPr>
      </w:pPr>
    </w:p>
    <w:p>
      <w:pPr>
        <w:ind w:left="452" w:hanging="452"/>
        <w:spacing w:after="0"/>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Agreement regarding filing of joint 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-206375</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Page 21</w:t>
      </w:r>
    </w:p>
    <w:p>
      <w:pPr>
        <w:sectPr>
          <w:pgSz w:w="11900" w:h="16838" w:orient="portrait"/>
          <w:cols w:equalWidth="0" w:num="2">
            <w:col w:w="4372" w:space="720"/>
            <w:col w:w="5039"/>
          </w:cols>
          <w:pgMar w:left="328" w:top="270" w:right="1440" w:bottom="1440" w:gutter="0" w:footer="0" w:header="0"/>
        </w:sectPr>
      </w:pPr>
    </w:p>
    <w:bookmarkStart w:id="21" w:name="page22"/>
    <w:bookmarkEnd w:id="21"/>
    <w:p>
      <w:pPr>
        <w:jc w:val="center"/>
        <w:ind w:right="-15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Joint Filing Statement</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 the undersigned, hereby express my agreement that the attached Schedule 13D (and any amendments thereto) relating to the beneficial ownership by the undersigned of the equity securities of Repare Therapeutics Inc. is filed on behalf of each of the undersigned.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July 20,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B</w:t>
      </w:r>
      <w:r>
        <w:rPr>
          <w:rFonts w:ascii="Arial" w:cs="Arial" w:eastAsia="Arial" w:hAnsi="Arial"/>
          <w:sz w:val="14"/>
          <w:szCs w:val="14"/>
          <w:b w:val="1"/>
          <w:bCs w:val="1"/>
          <w:color w:val="auto"/>
        </w:rPr>
        <w:t>IO</w:t>
      </w:r>
      <w:r>
        <w:rPr>
          <w:rFonts w:ascii="Arial" w:cs="Arial" w:eastAsia="Arial" w:hAnsi="Arial"/>
          <w:sz w:val="18"/>
          <w:szCs w:val="18"/>
          <w:b w:val="1"/>
          <w:bCs w:val="1"/>
          <w:color w:val="auto"/>
        </w:rPr>
        <w:t>V</w:t>
      </w:r>
      <w:r>
        <w:rPr>
          <w:rFonts w:ascii="Arial" w:cs="Arial" w:eastAsia="Arial" w:hAnsi="Arial"/>
          <w:sz w:val="14"/>
          <w:szCs w:val="14"/>
          <w:b w:val="1"/>
          <w:bCs w:val="1"/>
          <w:color w:val="auto"/>
        </w:rPr>
        <w:t>ENTURES</w:t>
      </w:r>
      <w:r>
        <w:rPr>
          <w:rFonts w:ascii="Arial" w:cs="Arial" w:eastAsia="Arial" w:hAnsi="Arial"/>
          <w:sz w:val="18"/>
          <w:szCs w:val="18"/>
          <w:b w:val="1"/>
          <w:bCs w:val="1"/>
          <w:color w:val="auto"/>
        </w:rPr>
        <w:t xml:space="preserve"> 2014,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2014 GP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2014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Ansbert Gadicke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Ansbert Gadicke</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B</w:t>
      </w:r>
      <w:r>
        <w:rPr>
          <w:rFonts w:ascii="Arial" w:cs="Arial" w:eastAsia="Arial" w:hAnsi="Arial"/>
          <w:sz w:val="14"/>
          <w:szCs w:val="14"/>
          <w:b w:val="1"/>
          <w:bCs w:val="1"/>
          <w:color w:val="auto"/>
        </w:rPr>
        <w:t>IO</w:t>
      </w:r>
      <w:r>
        <w:rPr>
          <w:rFonts w:ascii="Arial" w:cs="Arial" w:eastAsia="Arial" w:hAnsi="Arial"/>
          <w:sz w:val="18"/>
          <w:szCs w:val="18"/>
          <w:b w:val="1"/>
          <w:bCs w:val="1"/>
          <w:color w:val="auto"/>
        </w:rPr>
        <w:t>V</w:t>
      </w:r>
      <w:r>
        <w:rPr>
          <w:rFonts w:ascii="Arial" w:cs="Arial" w:eastAsia="Arial" w:hAnsi="Arial"/>
          <w:sz w:val="14"/>
          <w:szCs w:val="14"/>
          <w:b w:val="1"/>
          <w:bCs w:val="1"/>
          <w:color w:val="auto"/>
        </w:rPr>
        <w:t>ENTURES</w:t>
      </w:r>
      <w:r>
        <w:rPr>
          <w:rFonts w:ascii="Arial" w:cs="Arial" w:eastAsia="Arial" w:hAnsi="Arial"/>
          <w:sz w:val="18"/>
          <w:szCs w:val="18"/>
          <w:b w:val="1"/>
          <w:bCs w:val="1"/>
          <w:color w:val="auto"/>
        </w:rPr>
        <w:t xml:space="preserve"> 2014 (B),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2014 GP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2014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Ansbert Gadicke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Ansbert Gadicke</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A</w:t>
      </w:r>
      <w:r>
        <w:rPr>
          <w:rFonts w:ascii="Arial" w:cs="Arial" w:eastAsia="Arial" w:hAnsi="Arial"/>
          <w:sz w:val="14"/>
          <w:szCs w:val="14"/>
          <w:b w:val="1"/>
          <w:bCs w:val="1"/>
          <w:color w:val="auto"/>
        </w:rPr>
        <w:t>SSET</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xml:space="preserve"> BV2014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2014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Ansbert Gadicke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Ansbert Gadicke</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080"/>
          </w:cols>
          <w:pgMar w:left="320" w:top="121" w:right="4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MPM B</w:t>
      </w:r>
      <w:r>
        <w:rPr>
          <w:rFonts w:ascii="Arial" w:cs="Arial" w:eastAsia="Arial" w:hAnsi="Arial"/>
          <w:sz w:val="14"/>
          <w:szCs w:val="14"/>
          <w:b w:val="1"/>
          <w:bCs w:val="1"/>
          <w:color w:val="auto"/>
        </w:rPr>
        <w:t>IO</w:t>
      </w:r>
      <w:r>
        <w:rPr>
          <w:rFonts w:ascii="Arial" w:cs="Arial" w:eastAsia="Arial" w:hAnsi="Arial"/>
          <w:sz w:val="18"/>
          <w:szCs w:val="18"/>
          <w:b w:val="1"/>
          <w:bCs w:val="1"/>
          <w:color w:val="auto"/>
        </w:rPr>
        <w:t>V</w:t>
      </w:r>
      <w:r>
        <w:rPr>
          <w:rFonts w:ascii="Arial" w:cs="Arial" w:eastAsia="Arial" w:hAnsi="Arial"/>
          <w:sz w:val="14"/>
          <w:szCs w:val="14"/>
          <w:b w:val="1"/>
          <w:bCs w:val="1"/>
          <w:color w:val="auto"/>
        </w:rPr>
        <w:t>ENTURES</w:t>
      </w:r>
      <w:r>
        <w:rPr>
          <w:rFonts w:ascii="Arial" w:cs="Arial" w:eastAsia="Arial" w:hAnsi="Arial"/>
          <w:sz w:val="18"/>
          <w:szCs w:val="18"/>
          <w:b w:val="1"/>
          <w:bCs w:val="1"/>
          <w:color w:val="auto"/>
        </w:rPr>
        <w:t xml:space="preserve"> 2014 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2014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Ansbert Gadicke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Ansbert Gadicke</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B</w:t>
      </w:r>
      <w:r>
        <w:rPr>
          <w:rFonts w:ascii="Arial" w:cs="Arial" w:eastAsia="Arial" w:hAnsi="Arial"/>
          <w:sz w:val="14"/>
          <w:szCs w:val="14"/>
          <w:b w:val="1"/>
          <w:bCs w:val="1"/>
          <w:color w:val="auto"/>
        </w:rPr>
        <w:t>IO</w:t>
      </w:r>
      <w:r>
        <w:rPr>
          <w:rFonts w:ascii="Arial" w:cs="Arial" w:eastAsia="Arial" w:hAnsi="Arial"/>
          <w:sz w:val="18"/>
          <w:szCs w:val="18"/>
          <w:b w:val="1"/>
          <w:bCs w:val="1"/>
          <w:color w:val="auto"/>
        </w:rPr>
        <w:t>V</w:t>
      </w:r>
      <w:r>
        <w:rPr>
          <w:rFonts w:ascii="Arial" w:cs="Arial" w:eastAsia="Arial" w:hAnsi="Arial"/>
          <w:sz w:val="14"/>
          <w:szCs w:val="14"/>
          <w:b w:val="1"/>
          <w:bCs w:val="1"/>
          <w:color w:val="auto"/>
        </w:rPr>
        <w:t>ENTURES</w:t>
      </w:r>
      <w:r>
        <w:rPr>
          <w:rFonts w:ascii="Arial" w:cs="Arial" w:eastAsia="Arial" w:hAnsi="Arial"/>
          <w:sz w:val="18"/>
          <w:szCs w:val="18"/>
          <w:b w:val="1"/>
          <w:bCs w:val="1"/>
          <w:color w:val="auto"/>
        </w:rPr>
        <w:t xml:space="preserve"> 2014 LLC</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Ansbert Gadicke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Ansbert Gadicke</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UBS O</w:t>
      </w:r>
      <w:r>
        <w:rPr>
          <w:rFonts w:ascii="Arial" w:cs="Arial" w:eastAsia="Arial" w:hAnsi="Arial"/>
          <w:sz w:val="14"/>
          <w:szCs w:val="14"/>
          <w:b w:val="1"/>
          <w:bCs w:val="1"/>
          <w:color w:val="auto"/>
        </w:rPr>
        <w:t>NCOLOGY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MPACT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Oncology Impact Fund (Cayman) Management 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MPM Oncology Impact Management LP,</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MPM Oncology Impact Management GP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Ansbert Gadicke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Ansbert Gadicke</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NCOLOGY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MPACT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AYMAN</w:t>
      </w:r>
      <w:r>
        <w:rPr>
          <w:rFonts w:ascii="Arial" w:cs="Arial" w:eastAsia="Arial" w:hAnsi="Arial"/>
          <w:sz w:val="18"/>
          <w:szCs w:val="18"/>
          <w:b w:val="1"/>
          <w:bCs w:val="1"/>
          <w:color w:val="auto"/>
        </w:rPr>
        <w:t>)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MPM Oncology Impact Management 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MPM Oncology Impact Management GP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Ansbert Gadicke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Ansbert Gadicke</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O</w:t>
      </w:r>
      <w:r>
        <w:rPr>
          <w:rFonts w:ascii="Arial" w:cs="Arial" w:eastAsia="Arial" w:hAnsi="Arial"/>
          <w:sz w:val="14"/>
          <w:szCs w:val="14"/>
          <w:b w:val="1"/>
          <w:bCs w:val="1"/>
          <w:color w:val="auto"/>
        </w:rPr>
        <w:t>NCOLOGY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MPACT</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MPM Oncology Impact Management GP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Ansbert Gadicke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Ansbert Gadicke</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Managing Member</w:t>
      </w:r>
    </w:p>
    <w:p>
      <w:pPr>
        <w:spacing w:after="0" w:line="143" w:lineRule="exact"/>
        <w:rPr>
          <w:sz w:val="20"/>
          <w:szCs w:val="20"/>
          <w:color w:val="auto"/>
        </w:rPr>
      </w:pPr>
    </w:p>
    <w:p>
      <w:pPr>
        <w:jc w:val="right"/>
        <w:ind w:right="4219"/>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0139"/>
          </w:cols>
          <w:pgMar w:left="320" w:top="270" w:right="1440"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MPM O</w:t>
      </w:r>
      <w:r>
        <w:rPr>
          <w:rFonts w:ascii="Arial" w:cs="Arial" w:eastAsia="Arial" w:hAnsi="Arial"/>
          <w:sz w:val="14"/>
          <w:szCs w:val="14"/>
          <w:b w:val="1"/>
          <w:bCs w:val="1"/>
          <w:color w:val="auto"/>
        </w:rPr>
        <w:t>NCOLOGY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MPACT</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GP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Ansbert Gadicke</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Ansbert Gadicke</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Foley</w:t>
            </w:r>
          </w:p>
        </w:tc>
      </w:tr>
      <w:tr>
        <w:trPr>
          <w:trHeight w:val="224"/>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Todd Foley</w:t>
            </w:r>
          </w:p>
        </w:tc>
      </w:tr>
      <w:tr>
        <w:trPr>
          <w:trHeight w:val="431"/>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Luke Evnin</w:t>
            </w:r>
          </w:p>
        </w:tc>
      </w:tr>
      <w:tr>
        <w:trPr>
          <w:trHeight w:val="224"/>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Luke Evnin</w:t>
            </w:r>
          </w:p>
        </w:tc>
      </w:tr>
      <w:tr>
        <w:trPr>
          <w:trHeight w:val="431"/>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Ansbert Gadicke</w:t>
            </w:r>
          </w:p>
        </w:tc>
      </w:tr>
      <w:tr>
        <w:trPr>
          <w:trHeight w:val="224"/>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Ansbert Gadicke</w:t>
            </w:r>
          </w:p>
        </w:tc>
      </w:tr>
    </w:tbl>
    <w:p>
      <w:pPr>
        <w:spacing w:after="0" w:line="133" w:lineRule="exact"/>
        <w:rPr>
          <w:sz w:val="20"/>
          <w:szCs w:val="20"/>
          <w:color w:val="auto"/>
        </w:rPr>
      </w:pPr>
    </w:p>
    <w:p>
      <w:pPr>
        <w:jc w:val="right"/>
        <w:ind w:right="4219"/>
        <w:spacing w:after="0"/>
        <w:rPr>
          <w:sz w:val="20"/>
          <w:szCs w:val="20"/>
          <w:color w:val="auto"/>
        </w:rPr>
      </w:pPr>
      <w:r>
        <w:rPr>
          <w:rFonts w:ascii="Arial" w:cs="Arial" w:eastAsia="Arial" w:hAnsi="Arial"/>
          <w:sz w:val="18"/>
          <w:szCs w:val="18"/>
          <w:color w:val="auto"/>
        </w:rPr>
        <w:t>Page 24</w:t>
      </w:r>
    </w:p>
    <w:sectPr>
      <w:pgSz w:w="11900" w:h="16838" w:orient="portrait"/>
      <w:cols w:equalWidth="0" w:num="1">
        <w:col w:w="10139"/>
      </w:cols>
      <w:pgMar w:left="32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4"/>
    </w:lvl>
  </w:abstractNum>
  <w:abstractNum w:abstractNumId="15">
    <w:nsid w:val="25E45D32"/>
    <w:multiLevelType w:val="hybridMultilevel"/>
    <w:lvl w:ilvl="0">
      <w:lvlJc w:val="left"/>
      <w:lvlText w:val="(%1)"/>
      <w:numFmt w:val="lowerLetter"/>
      <w:start w:val="4"/>
    </w:lvl>
  </w:abstractNum>
  <w:abstractNum w:abstractNumId="16">
    <w:nsid w:val="519B500D"/>
    <w:multiLevelType w:val="hybridMultilevel"/>
    <w:lvl w:ilvl="0">
      <w:lvlJc w:val="left"/>
      <w:lvlText w:val="%1."/>
      <w:numFmt w:val="upperLetter"/>
      <w:start w:val="3"/>
    </w:lvl>
  </w:abstractNum>
  <w:abstractNum w:abstractNumId="17">
    <w:nsid w:val="431BD7B7"/>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2021-07-21T05:16:33Z</dcterms:created>
  <dcterms:modified xsi:type="dcterms:W3CDTF">2021-07-21T05:16:33Z</dcterms:modified>
</cp:coreProperties>
</file>