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09" w:lineRule="exact"/>
        <w:rPr>
          <w:sz w:val="24"/>
          <w:szCs w:val="24"/>
          <w:color w:val="auto"/>
        </w:rPr>
      </w:pPr>
    </w:p>
    <w:p>
      <w:pPr>
        <w:sectPr>
          <w:pgSz w:w="11900" w:h="1696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BVF PARTNERS L P/IL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840"/>
        <w:spacing w:after="0" w:line="357" w:lineRule="auto"/>
        <w:rPr>
          <w:sz w:val="20"/>
          <w:szCs w:val="20"/>
          <w:color w:val="auto"/>
        </w:rPr>
      </w:pPr>
      <w:r>
        <w:rPr>
          <w:rFonts w:ascii="Arial" w:cs="Arial" w:eastAsia="Arial" w:hAnsi="Arial"/>
          <w:sz w:val="17"/>
          <w:szCs w:val="17"/>
          <w:color w:val="0000FF"/>
        </w:rPr>
        <w:t>44 MONTGOMERY STREET 40TH FLOOR</w:t>
      </w:r>
    </w:p>
    <w:p>
      <w:pPr>
        <w:spacing w:after="0" w:line="17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7" w:lineRule="exact"/>
        <w:rPr>
          <w:sz w:val="24"/>
          <w:szCs w:val="24"/>
          <w:color w:val="auto"/>
        </w:rPr>
      </w:pPr>
    </w:p>
    <w:p>
      <w:pPr>
        <w:ind w:left="120" w:right="12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94104 FRANCISCO</w:t>
      </w:r>
    </w:p>
    <w:p>
      <w:pPr>
        <w:spacing w:after="0" w:line="3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Repare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RPTX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0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200" w:type="dxa"/>
            <w:vAlign w:val="bottom"/>
            <w:gridSpan w:val="3"/>
          </w:tcPr>
          <w:p>
            <w:pPr>
              <w:ind w:left="80"/>
              <w:spacing w:after="0"/>
              <w:rPr>
                <w:sz w:val="20"/>
                <w:szCs w:val="20"/>
                <w:color w:val="auto"/>
              </w:rPr>
            </w:pPr>
            <w:r>
              <w:rPr>
                <w:rFonts w:ascii="Arial" w:cs="Arial" w:eastAsia="Arial" w:hAnsi="Arial"/>
                <w:sz w:val="17"/>
                <w:szCs w:val="17"/>
                <w:color w:val="0000FF"/>
              </w:rPr>
              <w:t>11/02/2023</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4"/>
          <w:szCs w:val="24"/>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963" w:orient="portrait"/>
          <w:cols w:equalWidth="0" w:num="2">
            <w:col w:w="3120" w:space="72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50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500" w:type="dxa"/>
            <w:vAlign w:val="bottom"/>
          </w:tcPr>
          <w:p>
            <w:pPr>
              <w:jc w:val="center"/>
              <w:ind w:left="3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 no par value</w:t>
            </w:r>
            <w:r>
              <w:rPr>
                <w:rFonts w:ascii="Arial" w:cs="Arial" w:eastAsia="Arial" w:hAnsi="Arial"/>
                <w:sz w:val="22"/>
                <w:szCs w:val="22"/>
                <w:color w:val="008000"/>
                <w:vertAlign w:val="superscript"/>
              </w:rPr>
              <w:t>(1)</w:t>
            </w:r>
          </w:p>
        </w:tc>
        <w:tc>
          <w:tcPr>
            <w:tcW w:w="1500" w:type="dxa"/>
            <w:vAlign w:val="bottom"/>
            <w:tcBorders>
              <w:bottom w:val="single" w:sz="8" w:color="2C2C2C"/>
            </w:tcBorders>
          </w:tcPr>
          <w:p>
            <w:pPr>
              <w:jc w:val="center"/>
              <w:ind w:left="327"/>
              <w:spacing w:after="0"/>
              <w:rPr>
                <w:sz w:val="20"/>
                <w:szCs w:val="20"/>
                <w:color w:val="auto"/>
              </w:rPr>
            </w:pPr>
            <w:r>
              <w:rPr>
                <w:rFonts w:ascii="Arial" w:cs="Arial" w:eastAsia="Arial" w:hAnsi="Arial"/>
                <w:sz w:val="17"/>
                <w:szCs w:val="17"/>
                <w:color w:val="0000FF"/>
                <w:w w:val="91"/>
              </w:rPr>
              <w:t>11/02/2023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218,979</w:t>
            </w:r>
          </w:p>
        </w:tc>
        <w:tc>
          <w:tcPr>
            <w:tcW w:w="5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4,662,402</w:t>
            </w:r>
          </w:p>
        </w:tc>
        <w:tc>
          <w:tcPr>
            <w:tcW w:w="940" w:type="dxa"/>
            <w:vAlign w:val="bottom"/>
            <w:tcBorders>
              <w:bottom w:val="single" w:sz="8" w:color="2C2C2C"/>
            </w:tcBorders>
          </w:tcPr>
          <w:p>
            <w:pPr>
              <w:ind w:left="3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 no par value</w:t>
            </w:r>
            <w:r>
              <w:rPr>
                <w:rFonts w:ascii="Arial" w:cs="Arial" w:eastAsia="Arial" w:hAnsi="Arial"/>
                <w:sz w:val="22"/>
                <w:szCs w:val="22"/>
                <w:color w:val="008000"/>
                <w:vertAlign w:val="superscript"/>
              </w:rPr>
              <w:t>(1)</w:t>
            </w:r>
          </w:p>
        </w:tc>
        <w:tc>
          <w:tcPr>
            <w:tcW w:w="1500" w:type="dxa"/>
            <w:vAlign w:val="bottom"/>
            <w:tcBorders>
              <w:bottom w:val="single" w:sz="8" w:color="2C2C2C"/>
            </w:tcBorders>
          </w:tcPr>
          <w:p>
            <w:pPr>
              <w:jc w:val="center"/>
              <w:ind w:left="327"/>
              <w:spacing w:after="0"/>
              <w:rPr>
                <w:sz w:val="20"/>
                <w:szCs w:val="20"/>
                <w:color w:val="auto"/>
              </w:rPr>
            </w:pPr>
            <w:r>
              <w:rPr>
                <w:rFonts w:ascii="Arial" w:cs="Arial" w:eastAsia="Arial" w:hAnsi="Arial"/>
                <w:sz w:val="17"/>
                <w:szCs w:val="17"/>
                <w:color w:val="0000FF"/>
                <w:w w:val="91"/>
              </w:rPr>
              <w:t>11/02/2023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492,251</w:t>
            </w:r>
          </w:p>
        </w:tc>
        <w:tc>
          <w:tcPr>
            <w:tcW w:w="5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3,792,157</w:t>
            </w:r>
          </w:p>
        </w:tc>
        <w:tc>
          <w:tcPr>
            <w:tcW w:w="940" w:type="dxa"/>
            <w:vAlign w:val="bottom"/>
            <w:tcBorders>
              <w:bottom w:val="single" w:sz="8" w:color="2C2C2C"/>
            </w:tcBorders>
          </w:tcPr>
          <w:p>
            <w:pPr>
              <w:ind w:left="3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(3)</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 no par value</w:t>
            </w:r>
            <w:r>
              <w:rPr>
                <w:rFonts w:ascii="Arial" w:cs="Arial" w:eastAsia="Arial" w:hAnsi="Arial"/>
                <w:sz w:val="22"/>
                <w:szCs w:val="22"/>
                <w:color w:val="008000"/>
                <w:vertAlign w:val="superscript"/>
              </w:rPr>
              <w:t>(1)</w:t>
            </w:r>
          </w:p>
        </w:tc>
        <w:tc>
          <w:tcPr>
            <w:tcW w:w="1500" w:type="dxa"/>
            <w:vAlign w:val="bottom"/>
            <w:tcBorders>
              <w:bottom w:val="single" w:sz="8" w:color="2C2C2C"/>
            </w:tcBorders>
          </w:tcPr>
          <w:p>
            <w:pPr>
              <w:jc w:val="center"/>
              <w:ind w:left="327"/>
              <w:spacing w:after="0"/>
              <w:rPr>
                <w:sz w:val="20"/>
                <w:szCs w:val="20"/>
                <w:color w:val="auto"/>
              </w:rPr>
            </w:pPr>
            <w:r>
              <w:rPr>
                <w:rFonts w:ascii="Arial" w:cs="Arial" w:eastAsia="Arial" w:hAnsi="Arial"/>
                <w:sz w:val="17"/>
                <w:szCs w:val="17"/>
                <w:color w:val="0000FF"/>
                <w:w w:val="91"/>
              </w:rPr>
              <w:t>11/02/2023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72,479</w:t>
            </w:r>
          </w:p>
        </w:tc>
        <w:tc>
          <w:tcPr>
            <w:tcW w:w="5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485,083</w:t>
            </w:r>
          </w:p>
        </w:tc>
        <w:tc>
          <w:tcPr>
            <w:tcW w:w="940" w:type="dxa"/>
            <w:vAlign w:val="bottom"/>
            <w:tcBorders>
              <w:bottom w:val="single" w:sz="8" w:color="2C2C2C"/>
            </w:tcBorders>
          </w:tcPr>
          <w:p>
            <w:pPr>
              <w:ind w:left="3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(4)</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BVF PARTNERS L P/IL</w:t>
              </w:r>
            </w:hyperlink>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44 MONTGOMERY STREET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40TH FLOOR</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BIOTECHNOLOGY VALUE FUND L 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44 MONTGOMERY STREET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40TH FLOOR</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33655" cy="2070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3655" cy="20701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25" w:right="35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BVF I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-138430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180"/>
              <w:spacing w:after="0"/>
              <w:rPr>
                <w:sz w:val="20"/>
                <w:szCs w:val="20"/>
                <w:color w:val="auto"/>
              </w:rPr>
            </w:pPr>
            <w:r>
              <w:rPr>
                <w:rFonts w:ascii="Arial" w:cs="Arial" w:eastAsia="Arial" w:hAnsi="Arial"/>
                <w:sz w:val="13"/>
                <w:szCs w:val="13"/>
                <w:color w:val="auto"/>
              </w:rPr>
              <w:t>(First)</w:t>
            </w:r>
          </w:p>
        </w:tc>
        <w:tc>
          <w:tcPr>
            <w:tcW w:w="168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Arial" w:cs="Arial" w:eastAsia="Arial" w:hAnsi="Arial"/>
                <w:sz w:val="17"/>
                <w:szCs w:val="17"/>
                <w:color w:val="0000FF"/>
              </w:rPr>
              <w:t>44 MONTGOMERY STREET</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40TH FLOOR</w:t>
            </w:r>
          </w:p>
        </w:tc>
        <w:tc>
          <w:tcPr>
            <w:tcW w:w="12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SAN</w:t>
            </w:r>
          </w:p>
        </w:tc>
        <w:tc>
          <w:tcPr>
            <w:tcW w:w="1260" w:type="dxa"/>
            <w:vAlign w:val="bottom"/>
            <w:vMerge w:val="restart"/>
          </w:tcPr>
          <w:p>
            <w:pPr>
              <w:ind w:left="18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320"/>
              <w:spacing w:after="0"/>
              <w:rPr>
                <w:sz w:val="20"/>
                <w:szCs w:val="20"/>
                <w:color w:val="auto"/>
              </w:rPr>
            </w:pPr>
            <w:r>
              <w:rPr>
                <w:rFonts w:ascii="Arial" w:cs="Arial" w:eastAsia="Arial" w:hAnsi="Arial"/>
                <w:sz w:val="17"/>
                <w:szCs w:val="17"/>
                <w:color w:val="0000FF"/>
              </w:rPr>
              <w:t>94104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22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2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BIOTECHNOLOGY VALUE FUND II LP</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44 MONTGOMERY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40TH FLOOR</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SAN</w:t>
            </w:r>
          </w:p>
        </w:tc>
        <w:tc>
          <w:tcPr>
            <w:tcW w:w="1260" w:type="dxa"/>
            <w:vAlign w:val="bottom"/>
            <w:vMerge w:val="restart"/>
          </w:tcPr>
          <w:p>
            <w:pPr>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4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26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1" w:lineRule="exact"/>
              <w:rPr>
                <w:rFonts w:ascii="Arial" w:cs="Arial" w:eastAsia="Arial" w:hAnsi="Arial"/>
                <w:sz w:val="21"/>
                <w:szCs w:val="21"/>
                <w:color w:val="0000EE"/>
                <w:w w:val="99"/>
              </w:rPr>
            </w:pPr>
            <w:hyperlink r:id="rId19">
              <w:r>
                <w:rPr>
                  <w:rFonts w:ascii="Arial" w:cs="Arial" w:eastAsia="Arial" w:hAnsi="Arial"/>
                  <w:sz w:val="21"/>
                  <w:szCs w:val="21"/>
                  <w:color w:val="0000EE"/>
                  <w:w w:val="99"/>
                </w:rPr>
                <w:t>BVF II GP LLC</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44 MONTGOMERY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40TH FLOOR</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SAN</w:t>
            </w:r>
          </w:p>
        </w:tc>
        <w:tc>
          <w:tcPr>
            <w:tcW w:w="1260" w:type="dxa"/>
            <w:vAlign w:val="bottom"/>
            <w:vMerge w:val="restart"/>
          </w:tcPr>
          <w:p>
            <w:pPr>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4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26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Biotechnology Value Trading Fund OS LP</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3"/>
          </w:tcPr>
          <w:p>
            <w:pPr>
              <w:ind w:left="3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P.O. BOX 309 UGLAND HOUSE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1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GRAND</w:t>
            </w:r>
          </w:p>
        </w:tc>
        <w:tc>
          <w:tcPr>
            <w:tcW w:w="1580" w:type="dxa"/>
            <w:vAlign w:val="bottom"/>
            <w:gridSpan w:val="3"/>
            <w:vMerge w:val="restart"/>
          </w:tcPr>
          <w:p>
            <w:pPr>
              <w:ind w:left="320"/>
              <w:spacing w:after="0"/>
              <w:rPr>
                <w:sz w:val="20"/>
                <w:szCs w:val="20"/>
                <w:color w:val="auto"/>
              </w:rPr>
            </w:pPr>
            <w:r>
              <w:rPr>
                <w:rFonts w:ascii="Arial" w:cs="Arial" w:eastAsia="Arial" w:hAnsi="Arial"/>
                <w:sz w:val="17"/>
                <w:szCs w:val="17"/>
                <w:color w:val="0000FF"/>
              </w:rPr>
              <w:t>E9</w:t>
            </w:r>
          </w:p>
        </w:tc>
        <w:tc>
          <w:tcPr>
            <w:tcW w:w="16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KY1-1104</w:t>
            </w: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080" w:type="dxa"/>
            <w:vAlign w:val="bottom"/>
            <w:vMerge w:val="restart"/>
          </w:tcPr>
          <w:p>
            <w:pPr>
              <w:spacing w:after="0"/>
              <w:rPr>
                <w:sz w:val="20"/>
                <w:szCs w:val="20"/>
                <w:color w:val="auto"/>
              </w:rPr>
            </w:pPr>
            <w:r>
              <w:rPr>
                <w:rFonts w:ascii="Arial" w:cs="Arial" w:eastAsia="Arial" w:hAnsi="Arial"/>
                <w:sz w:val="17"/>
                <w:szCs w:val="17"/>
                <w:color w:val="0000FF"/>
              </w:rPr>
              <w:t>CAYMAN</w:t>
            </w:r>
          </w:p>
        </w:tc>
        <w:tc>
          <w:tcPr>
            <w:tcW w:w="1580" w:type="dxa"/>
            <w:vAlign w:val="bottom"/>
            <w:gridSpan w:val="3"/>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3"/>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BVF Partners OS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3"/>
          </w:tcPr>
          <w:p>
            <w:pPr>
              <w:ind w:left="3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P.O. BOX 309 UGLAND HOUSE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1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GRAND</w:t>
            </w:r>
          </w:p>
        </w:tc>
        <w:tc>
          <w:tcPr>
            <w:tcW w:w="1580" w:type="dxa"/>
            <w:vAlign w:val="bottom"/>
            <w:gridSpan w:val="3"/>
            <w:vMerge w:val="restart"/>
          </w:tcPr>
          <w:p>
            <w:pPr>
              <w:ind w:left="320"/>
              <w:spacing w:after="0"/>
              <w:rPr>
                <w:sz w:val="20"/>
                <w:szCs w:val="20"/>
                <w:color w:val="auto"/>
              </w:rPr>
            </w:pPr>
            <w:r>
              <w:rPr>
                <w:rFonts w:ascii="Arial" w:cs="Arial" w:eastAsia="Arial" w:hAnsi="Arial"/>
                <w:sz w:val="17"/>
                <w:szCs w:val="17"/>
                <w:color w:val="0000FF"/>
              </w:rPr>
              <w:t>E9</w:t>
            </w:r>
          </w:p>
        </w:tc>
        <w:tc>
          <w:tcPr>
            <w:tcW w:w="16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KY1-1104</w:t>
            </w: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080" w:type="dxa"/>
            <w:vAlign w:val="bottom"/>
            <w:vMerge w:val="restart"/>
          </w:tcPr>
          <w:p>
            <w:pPr>
              <w:spacing w:after="0"/>
              <w:rPr>
                <w:sz w:val="20"/>
                <w:szCs w:val="20"/>
                <w:color w:val="auto"/>
              </w:rPr>
            </w:pPr>
            <w:r>
              <w:rPr>
                <w:rFonts w:ascii="Arial" w:cs="Arial" w:eastAsia="Arial" w:hAnsi="Arial"/>
                <w:sz w:val="17"/>
                <w:szCs w:val="17"/>
                <w:color w:val="0000FF"/>
              </w:rPr>
              <w:t>CAYMAN</w:t>
            </w:r>
          </w:p>
        </w:tc>
        <w:tc>
          <w:tcPr>
            <w:tcW w:w="1580" w:type="dxa"/>
            <w:vAlign w:val="bottom"/>
            <w:gridSpan w:val="3"/>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3"/>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BVF GP HOLDINGS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3"/>
          </w:tcPr>
          <w:p>
            <w:pPr>
              <w:ind w:left="3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44 MONTGOMERY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40TH FLOOR</w:t>
      </w:r>
    </w:p>
    <w:p>
      <w:pPr>
        <w:sectPr>
          <w:pgSz w:w="11900" w:h="16838" w:orient="portrait"/>
          <w:cols w:equalWidth="0" w:num="1">
            <w:col w:w="9979"/>
          </w:cols>
          <w:pgMar w:left="480" w:top="118" w:right="1440" w:bottom="0" w:gutter="0" w:footer="0" w:header="0"/>
        </w:sectPr>
      </w:pPr>
    </w:p>
    <w:p>
      <w:pPr>
        <w:spacing w:after="0" w:line="297"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18"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3"/>
        </w:trPr>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FRANCISCO</w:t>
            </w: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260" w:type="dxa"/>
            <w:vAlign w:val="bottom"/>
            <w:gridSpan w:val="2"/>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BVF INC/IL</w:t>
              </w:r>
            </w:hyperlink>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44 MONTGOMERY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40TH FLOOR</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LAMPERT MARK N</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44 MONTGOMERY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40TH FLOOR</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-4416425</wp:posOffset>
            </wp:positionV>
            <wp:extent cx="2809240" cy="4497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809240" cy="4497070"/>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jointly by Biotechnology Value Fund, L.P. ("BVF"), Biotechnology Value Fund II, L.P. ("BVF2"), Biotechnology Value Trading Fund OS LP ("Trading Fund OS"), BVF Partners OS Ltd. ("Partners OS"), BVF I GP LLC ("BVF GP"), BVF II GP LLC ("BVF2 GP"), BVF GP Holdings LLC ("BVF GPH"), BVF Partners L.P. ("Partners"), BVF Inc. and Mark N. Lampert (collectively, the "Reporting Persons"). Each of the Reporting Persons is a member of a Section 13(d) group that collectively beneficially owns over 10% of the Issuer's outstanding Common Shares. Each of the Reporting Persons disclaims beneficial ownership of the securities reported herein except to the extent of his or its pecuniary interest therein.</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owned directly by BVF. As the general partner of BVF, BVF GP may be deemed to beneficially own the securities owned directly by BVF. As the sole member of BVF GP, BVF GPH may be deemed to beneficially the own securities owned directly by BVF. As the investment manager of BVF, Partners may be deemed to beneficially own the securities owned directly by BVF. As the investment adviser and general partner of Partners, BVF Inc. may be deemed to beneficially own the securities owned directly by BVF. As a director and officer of BVF Inc., Mr. Lampert may be deemed to beneficially own the securities owned directly by BVF.</w:t>
      </w:r>
    </w:p>
    <w:p>
      <w:pPr>
        <w:spacing w:after="0" w:line="29" w:lineRule="exact"/>
        <w:rPr>
          <w:rFonts w:ascii="Arial" w:cs="Arial" w:eastAsia="Arial" w:hAnsi="Arial"/>
          <w:sz w:val="13"/>
          <w:szCs w:val="13"/>
          <w:color w:val="008000"/>
        </w:rPr>
      </w:pPr>
    </w:p>
    <w:p>
      <w:pPr>
        <w:ind w:left="20" w:right="4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owned directly by BVF2. As the general partner of BVF2, BVF2 GP may be deemed to beneficially own the securities owned directly by BVF2. As the sole member of BVF2 GP, BVF GPH may be deemed to beneficially own the securities owned directly by BVF2. As the investment manager of BVF2, Partners may be deemed to beneficially own the securities owned directly by BVF2. As the investment adviser and general partner of Partners, BVF Inc. may be deemed to beneficially own the securities owned directly by BVF2. As a director and officer of BVF Inc., Mr. Lampert may be deemed to beneficially own the securities owned directly by BVF2.</w:t>
      </w:r>
    </w:p>
    <w:p>
      <w:pPr>
        <w:spacing w:after="0" w:line="29" w:lineRule="exact"/>
        <w:rPr>
          <w:rFonts w:ascii="Arial" w:cs="Arial" w:eastAsia="Arial" w:hAnsi="Arial"/>
          <w:sz w:val="13"/>
          <w:szCs w:val="13"/>
          <w:color w:val="008000"/>
        </w:rPr>
      </w:pPr>
    </w:p>
    <w:p>
      <w:pPr>
        <w:jc w:val="both"/>
        <w:ind w:left="20" w:right="1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owned directly by Trading Fund OS. As the general partner of Trading Fund OS, Partners OS may be deemed to beneficially own the securities owned directly by Trading Fund OS. As the investment manager of Trading Fund OS and the sole member of Partners OS, Partners may be deemed to beneficially own the securities owned directly by Trading Fund OS. As the investment adviser and general partner of Partners, BVF Inc. may be deemed to beneficially own the securities owned directly by Trading Fund OS. As a director and officer of BVF Inc., Mr. Lampert may be deemed to beneficially own the securities owned directly by Trading Fund OS.</w:t>
      </w:r>
    </w:p>
    <w:p>
      <w:pPr>
        <w:sectPr>
          <w:pgSz w:w="11900" w:h="16838" w:orient="portrait"/>
          <w:cols w:equalWidth="0" w:num="1">
            <w:col w:w="10900"/>
          </w:cols>
          <w:pgMar w:left="480" w:top="131" w:right="51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BVF Partners L.P., By: BVF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56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Inc.,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8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Mark N. 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6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Biotechnology Value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071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BVF I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general partner,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693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 Lampert,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38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55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BVF I GP LLC,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92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 Lampert,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38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55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Biotechnology Value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07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BVF II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6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general partner,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693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 Lampert,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38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55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BVF II GP LLC,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290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 Lampert,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38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5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Biotechnology Value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2973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Fund OS LP, By: BVF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31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Partners L.P., its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manager, BVF Inc.,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487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28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369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BVF Partners OS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1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BVF Partners L.P.,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3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member, By: BVF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0000FF"/>
        </w:rPr>
        <w:t>11/03/2023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11/03/2023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2">
            <w:col w:w="8700" w:space="60"/>
            <w:col w:w="2140"/>
          </w:cols>
          <w:pgMar w:left="480" w:top="131"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5"/>
          <w:szCs w:val="15"/>
          <w:color w:val="0000FF"/>
        </w:rPr>
        <w:t>general partner,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2693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 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BVF GP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23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Mark N. Lampert,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BVF Inc.,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50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42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904240"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0000FF"/>
        </w:rPr>
        <w:t>11/03/2023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11/03/2023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0000FF"/>
        </w:rPr>
        <w:t>11/03/2023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12" Type="http://schemas.openxmlformats.org/officeDocument/2006/relationships/hyperlink" Target="http://www.sec.gov/cgi-bin/browse-edgar?action=getcompany&amp;CIK=0001055947" TargetMode="External"/><Relationship Id="rId13" Type="http://schemas.openxmlformats.org/officeDocument/2006/relationships/hyperlink" Target="http://www.sec.gov/cgi-bin/browse-edgar?action=getcompany&amp;CIK=0001808158" TargetMode="External"/><Relationship Id="rId14" Type="http://schemas.openxmlformats.org/officeDocument/2006/relationships/hyperlink" Target="http://www.sec.gov/cgi-bin/browse-edgar?action=getcompany&amp;CIK=0000918923" TargetMode="External"/><Relationship Id="rId16" Type="http://schemas.openxmlformats.org/officeDocument/2006/relationships/hyperlink" Target="http://www.sec.gov/cgi-bin/browse-edgar?action=getcompany&amp;CIK=0001803805" TargetMode="External"/><Relationship Id="rId18" Type="http://schemas.openxmlformats.org/officeDocument/2006/relationships/hyperlink" Target="http://www.sec.gov/cgi-bin/browse-edgar?action=getcompany&amp;CIK=0001102444" TargetMode="External"/><Relationship Id="rId19" Type="http://schemas.openxmlformats.org/officeDocument/2006/relationships/hyperlink" Target="http://www.sec.gov/cgi-bin/browse-edgar?action=getcompany&amp;CIK=0001803806" TargetMode="External"/><Relationship Id="rId20" Type="http://schemas.openxmlformats.org/officeDocument/2006/relationships/hyperlink" Target="http://www.sec.gov/cgi-bin/browse-edgar?action=getcompany&amp;CIK=0001660683" TargetMode="External"/><Relationship Id="rId21" Type="http://schemas.openxmlformats.org/officeDocument/2006/relationships/hyperlink" Target="http://www.sec.gov/cgi-bin/browse-edgar?action=getcompany&amp;CIK=0001660684" TargetMode="External"/><Relationship Id="rId22" Type="http://schemas.openxmlformats.org/officeDocument/2006/relationships/hyperlink" Target="http://www.sec.gov/cgi-bin/browse-edgar?action=getcompany&amp;CIK=0001803809" TargetMode="External"/><Relationship Id="rId23" Type="http://schemas.openxmlformats.org/officeDocument/2006/relationships/hyperlink" Target="http://www.sec.gov/cgi-bin/browse-edgar?action=getcompany&amp;CIK=0001056807" TargetMode="External"/><Relationship Id="rId24" Type="http://schemas.openxmlformats.org/officeDocument/2006/relationships/hyperlink" Target="http://www.sec.gov/cgi-bin/browse-edgar?action=getcompany&amp;CIK=0001233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2023-11-03T16:44:50Z</dcterms:created>
  <dcterms:modified xsi:type="dcterms:W3CDTF">2023-11-03T16:44:50Z</dcterms:modified>
</cp:coreProperties>
</file>