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6"/>
        </w:rPr>
      </w:pPr>
      <w:bookmarkStart w:id="0" w:name="d192824dposam.htm"/>
      <w:bookmarkStart w:id="1" w:name="ksd192824dposam"/>
      <w:bookmarkEnd w:id="0"/>
      <w:bookmarkEnd w:id="1"/>
      <w:r>
        <w:rPr>
          <w:rFonts w:ascii="Times New Roman" w:hAnsi="Times New Roman"/>
          <w:b/>
          <w:sz w:val="16"/>
        </w:rPr>
        <w:t xml:space="preserve">As filed with the Securities and Exchange Commission on January 28,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333-281298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POST-EFFECTIVE AMENDMENT NO. 1 TO </w:t>
      </w:r>
    </w:p>
    <w:p>
      <w:pPr>
        <w:pStyle w:val="TextBody"/>
        <w:bidi w:val="0"/>
        <w:spacing w:before="0" w:after="0"/>
        <w:jc w:val="center"/>
        <w:rPr>
          <w:rFonts w:ascii="Times New Roman" w:hAnsi="Times New Roman"/>
          <w:b/>
          <w:sz w:val="36"/>
        </w:rPr>
      </w:pPr>
      <w:r>
        <w:rPr>
          <w:rFonts w:ascii="Times New Roman" w:hAnsi="Times New Roman"/>
          <w:b/>
          <w:sz w:val="36"/>
        </w:rPr>
        <w:t>FORM S-3</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REPARE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Québec</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Not applicable</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7171 Frederick-Banting, Building 2, Suite 270 </w:t>
      </w:r>
    </w:p>
    <w:p>
      <w:pPr>
        <w:pStyle w:val="TextBody"/>
        <w:bidi w:val="0"/>
        <w:spacing w:before="0" w:after="0"/>
        <w:jc w:val="center"/>
        <w:rPr>
          <w:rFonts w:ascii="Times New Roman" w:hAnsi="Times New Roman"/>
          <w:b/>
          <w:sz w:val="20"/>
        </w:rPr>
      </w:pPr>
      <w:r>
        <w:rPr>
          <w:rFonts w:ascii="Times New Roman" w:hAnsi="Times New Roman"/>
          <w:b/>
          <w:sz w:val="20"/>
        </w:rPr>
        <w:t xml:space="preserve">St-Laurent, Québec, Canada H4S 1Z9 </w:t>
      </w:r>
    </w:p>
    <w:p>
      <w:pPr>
        <w:pStyle w:val="TextBody"/>
        <w:bidi w:val="0"/>
        <w:spacing w:before="0" w:after="0"/>
        <w:jc w:val="center"/>
        <w:rPr>
          <w:rFonts w:ascii="Times New Roman" w:hAnsi="Times New Roman"/>
          <w:b/>
          <w:sz w:val="20"/>
        </w:rPr>
      </w:pPr>
      <w:r>
        <w:rPr>
          <w:rFonts w:ascii="Times New Roman" w:hAnsi="Times New Roman"/>
          <w:b/>
          <w:sz w:val="20"/>
        </w:rPr>
        <w:t>(857) 412-7018</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Steve Forte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w:t>
      </w:r>
    </w:p>
    <w:p>
      <w:pPr>
        <w:pStyle w:val="TextBody"/>
        <w:bidi w:val="0"/>
        <w:spacing w:before="0" w:after="0"/>
        <w:jc w:val="center"/>
        <w:rPr>
          <w:rFonts w:ascii="Times New Roman" w:hAnsi="Times New Roman"/>
          <w:b/>
          <w:sz w:val="20"/>
        </w:rPr>
      </w:pPr>
      <w:r>
        <w:rPr>
          <w:rFonts w:ascii="Times New Roman" w:hAnsi="Times New Roman"/>
          <w:b/>
          <w:sz w:val="20"/>
        </w:rPr>
        <w:t xml:space="preserve">Repare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1 Broadway, 15th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02142 </w:t>
      </w:r>
    </w:p>
    <w:p>
      <w:pPr>
        <w:pStyle w:val="TextBody"/>
        <w:bidi w:val="0"/>
        <w:spacing w:before="0" w:after="0"/>
        <w:jc w:val="center"/>
        <w:rPr>
          <w:rFonts w:ascii="Times New Roman" w:hAnsi="Times New Roman"/>
          <w:b/>
          <w:sz w:val="20"/>
        </w:rPr>
      </w:pPr>
      <w:r>
        <w:rPr>
          <w:rFonts w:ascii="Times New Roman" w:hAnsi="Times New Roman"/>
          <w:b/>
          <w:sz w:val="20"/>
        </w:rPr>
        <w:t>(857) 412-7018</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Divakar Gupta</w:t>
            </w:r>
          </w:p>
          <w:p>
            <w:pPr>
              <w:pStyle w:val="TableContents"/>
              <w:bidi w:val="0"/>
              <w:spacing w:before="0" w:after="0"/>
              <w:jc w:val="center"/>
              <w:rPr>
                <w:rFonts w:ascii="Times New Roman" w:hAnsi="Times New Roman"/>
                <w:b/>
                <w:sz w:val="20"/>
              </w:rPr>
            </w:pPr>
            <w:r>
              <w:rPr>
                <w:rFonts w:ascii="Times New Roman" w:hAnsi="Times New Roman"/>
                <w:b/>
                <w:sz w:val="20"/>
              </w:rPr>
              <w:t>Courtney T. Thorne</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500 Boylston Street, 14th Floor</w:t>
            </w:r>
          </w:p>
          <w:p>
            <w:pPr>
              <w:pStyle w:val="TableContents"/>
              <w:bidi w:val="0"/>
              <w:spacing w:before="0" w:after="0"/>
              <w:jc w:val="center"/>
              <w:rPr>
                <w:rFonts w:ascii="Times New Roman" w:hAnsi="Times New Roman"/>
                <w:b/>
                <w:sz w:val="20"/>
              </w:rPr>
            </w:pPr>
            <w:r>
              <w:rPr>
                <w:rFonts w:ascii="Times New Roman" w:hAnsi="Times New Roman"/>
                <w:b/>
                <w:sz w:val="20"/>
              </w:rPr>
              <w:t>Boston, MA 02116</w:t>
            </w:r>
          </w:p>
          <w:p>
            <w:pPr>
              <w:pStyle w:val="TableContents"/>
              <w:bidi w:val="0"/>
              <w:spacing w:before="0" w:after="20"/>
              <w:jc w:val="center"/>
              <w:rPr>
                <w:rFonts w:ascii="Times New Roman" w:hAnsi="Times New Roman"/>
                <w:b/>
                <w:sz w:val="20"/>
              </w:rPr>
            </w:pPr>
            <w:r>
              <w:rPr>
                <w:rFonts w:ascii="Times New Roman" w:hAnsi="Times New Roman"/>
                <w:b/>
                <w:sz w:val="20"/>
              </w:rPr>
              <w:t>(617) 937-2300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Robert Carelli</w:t>
            </w:r>
          </w:p>
          <w:p>
            <w:pPr>
              <w:pStyle w:val="TableContents"/>
              <w:bidi w:val="0"/>
              <w:spacing w:before="0" w:after="0"/>
              <w:jc w:val="center"/>
              <w:rPr>
                <w:rFonts w:ascii="Times New Roman" w:hAnsi="Times New Roman"/>
                <w:b/>
                <w:sz w:val="20"/>
              </w:rPr>
            </w:pPr>
            <w:r>
              <w:rPr>
                <w:rFonts w:ascii="Times New Roman" w:hAnsi="Times New Roman"/>
                <w:b/>
                <w:sz w:val="20"/>
              </w:rPr>
              <w:t>Jeremy Sculnick</w:t>
            </w:r>
          </w:p>
          <w:p>
            <w:pPr>
              <w:pStyle w:val="TableContents"/>
              <w:bidi w:val="0"/>
              <w:spacing w:before="0" w:after="0"/>
              <w:jc w:val="center"/>
              <w:rPr>
                <w:rFonts w:ascii="Times New Roman" w:hAnsi="Times New Roman"/>
                <w:b/>
                <w:sz w:val="20"/>
              </w:rPr>
            </w:pPr>
            <w:r>
              <w:rPr>
                <w:rFonts w:ascii="Times New Roman" w:hAnsi="Times New Roman"/>
                <w:b/>
                <w:sz w:val="20"/>
              </w:rPr>
              <w:t>Stikeman Elliott LLP</w:t>
            </w:r>
          </w:p>
          <w:p>
            <w:pPr>
              <w:pStyle w:val="TableContents"/>
              <w:bidi w:val="0"/>
              <w:spacing w:before="0" w:after="0"/>
              <w:jc w:val="center"/>
              <w:rPr>
                <w:rFonts w:ascii="Times New Roman" w:hAnsi="Times New Roman"/>
                <w:b/>
                <w:sz w:val="20"/>
              </w:rPr>
            </w:pPr>
            <w:r>
              <w:rPr>
                <w:rFonts w:ascii="Times New Roman" w:hAnsi="Times New Roman"/>
                <w:b/>
                <w:sz w:val="20"/>
              </w:rPr>
              <w:t>1155 René-Lévesque Blvd. West</w:t>
            </w:r>
          </w:p>
          <w:p>
            <w:pPr>
              <w:pStyle w:val="TableContents"/>
              <w:bidi w:val="0"/>
              <w:spacing w:before="0" w:after="0"/>
              <w:jc w:val="center"/>
              <w:rPr>
                <w:rFonts w:ascii="Times New Roman" w:hAnsi="Times New Roman"/>
                <w:b/>
                <w:sz w:val="20"/>
              </w:rPr>
            </w:pPr>
            <w:r>
              <w:rPr>
                <w:rFonts w:ascii="Times New Roman" w:hAnsi="Times New Roman"/>
                <w:b/>
                <w:sz w:val="20"/>
              </w:rPr>
              <w:t>41st Floor</w:t>
            </w:r>
          </w:p>
          <w:p>
            <w:pPr>
              <w:pStyle w:val="TableContents"/>
              <w:bidi w:val="0"/>
              <w:spacing w:before="0" w:after="0"/>
              <w:jc w:val="center"/>
              <w:rPr>
                <w:rFonts w:ascii="Times New Roman" w:hAnsi="Times New Roman"/>
                <w:b/>
                <w:sz w:val="20"/>
              </w:rPr>
            </w:pPr>
            <w:r>
              <w:rPr>
                <w:rFonts w:ascii="Times New Roman" w:hAnsi="Times New Roman"/>
                <w:b/>
                <w:sz w:val="20"/>
              </w:rPr>
              <w:t>Montréal, Québec, Canada H3B 3V2</w:t>
            </w:r>
          </w:p>
          <w:p>
            <w:pPr>
              <w:pStyle w:val="TableContents"/>
              <w:bidi w:val="0"/>
              <w:spacing w:before="0" w:after="20"/>
              <w:jc w:val="center"/>
              <w:rPr>
                <w:rFonts w:ascii="Times New Roman" w:hAnsi="Times New Roman"/>
                <w:b/>
                <w:sz w:val="20"/>
              </w:rPr>
            </w:pPr>
            <w:r>
              <w:rPr>
                <w:rFonts w:ascii="Times New Roman" w:hAnsi="Times New Roman"/>
                <w:b/>
                <w:sz w:val="20"/>
              </w:rPr>
              <w:t>(514) 397-3222</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Approximate date of commencement of proposed sale to the public: Not applicable.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DEREGISTRATION OF SECURITIES </w:t>
      </w:r>
    </w:p>
    <w:p>
      <w:pPr>
        <w:pStyle w:val="TextBody"/>
        <w:bidi w:val="0"/>
        <w:spacing w:before="240" w:after="0"/>
        <w:jc w:val="left"/>
        <w:rPr/>
      </w:pPr>
      <w:r>
        <w:rPr>
          <w:rFonts w:ascii="Times New Roman" w:hAnsi="Times New Roman"/>
          <w:sz w:val="20"/>
        </w:rPr>
        <w:t>This Post-Effective Amendment (this “Post-Effective Amendment”) filed by Repare Therapeutics Inc., a corporation governed by the </w:t>
      </w:r>
      <w:r>
        <w:rPr>
          <w:rFonts w:ascii="Times New Roman" w:hAnsi="Times New Roman"/>
          <w:i/>
          <w:sz w:val="20"/>
        </w:rPr>
        <w:t>Business Corporations Act</w:t>
      </w:r>
      <w:r>
        <w:rPr>
          <w:rFonts w:ascii="Times New Roman" w:hAnsi="Times New Roman"/>
          <w:sz w:val="20"/>
        </w:rPr>
        <w:t xml:space="preserve">  (Québec) (the “Registrant”), relates to </w:t>
      </w:r>
      <w:hyperlink r:id="rId2">
        <w:r>
          <w:rPr>
            <w:rStyle w:val="InternetLink"/>
            <w:rFonts w:ascii="Times New Roman" w:hAnsi="Times New Roman"/>
            <w:sz w:val="20"/>
          </w:rPr>
          <w:t>Registration Statement No.333-281298</w:t>
        </w:r>
      </w:hyperlink>
      <w:r>
        <w:rPr>
          <w:rFonts w:ascii="Times New Roman" w:hAnsi="Times New Roman"/>
          <w:sz w:val="20"/>
        </w:rPr>
        <w:t xml:space="preserve"> (the “Registration Statement”) filed by the Registrant on August 6, 2024 with the Securities and Exchange Commission (the “SEC”), to register the offer and sale of up to $350,000,000 of (i) common shares, no par value, of the Registrant (the “Common Shares”), (ii) preferred shares, no par value, of the Registrant (the “Preferred Shares”), (iii) senior or subordinated debt or senior or subordinated convertible debt (“Debt Securities”) and (iv) warrants to purchase Common Shares, Preferred Shares or Debt Securities, or any combination thereof. The Registration Statement was declared effective by the SEC staff on August 19, 2024.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2025, the Registrant entered into an Arrangement Agreement (the “Agreement”) with XenoTherapeutics, Inc., a Massachusetts non-profit corporation (“Xeno”), Xeno Acquisition Corp., a Delaware corporation and wholly-owned subsidiary of Xeno (“Purchaser”), and solely for purposes of Section 9.15 thereof, XOMA Royalty Corporation, a Nevada corporation. Pursuant to the Agreement, on January 28, 2026, Purchaser acquired all of the issued and outstanding Common Shares in exchange for a cash payment per Common Share of approximately US$2.20, which was calculated in accordance with the Agreement (the “Transaction”). In addition, each holder of Common Shares also received one non-transferable contingent value right (each, a “CVR”) for each Common Share, which CVR represents the right to receive a pro rata portion of potential cash payments. </w:t>
      </w:r>
    </w:p>
    <w:p>
      <w:pPr>
        <w:pStyle w:val="TextBody"/>
        <w:bidi w:val="0"/>
        <w:spacing w:before="240" w:after="0"/>
        <w:jc w:val="left"/>
        <w:rPr/>
      </w:pPr>
      <w:r>
        <w:rPr>
          <w:rFonts w:ascii="Times New Roman" w:hAnsi="Times New Roman"/>
          <w:sz w:val="20"/>
        </w:rPr>
        <w:t xml:space="preserve">The foregoing description of the Transaction, the Agreement and the transactions contemplated thereby does not purport to be complete and is subject to, and qualified in its entirety by, the Agreement, which is attached as </w:t>
      </w:r>
      <w:hyperlink r:id="rId3">
        <w:r>
          <w:rPr>
            <w:rStyle w:val="InternetLink"/>
            <w:rFonts w:ascii="Times New Roman" w:hAnsi="Times New Roman"/>
            <w:sz w:val="20"/>
          </w:rPr>
          <w:t>Exhibit 2.1</w:t>
        </w:r>
      </w:hyperlink>
      <w:r>
        <w:rPr>
          <w:rFonts w:ascii="Times New Roman" w:hAnsi="Times New Roman"/>
          <w:sz w:val="20"/>
        </w:rPr>
        <w:t xml:space="preserve"> to the Registrant’s Current Report on Form 8-K filed with the SEC on November 17, 2025.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Transaction, by filing this Post-Effective Amendment the Registrant has terminated all offerings of its securities pursuant to the Registration Statement. In accordance with an undertaking made by the Registrant in the Registration Statement to remove from registration, by means of a post-effective amendment, any of the securities which remain unsold at the termination of the offering, the Registrant hereby removes from registration all such securities registered for offer and sale under the Registration Statement that remain unsold as of the date hereof and terminates the effectiveness of the Registration Statement.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and Rule 478 thereunder, the Registrant certifies that it has reasonable grounds to believe that it meets all of the requirements for filing this Post-Effective Amendment to the Registration Statement and has duly caused this Post-Effective Amendment to the Registration Statement to be signed on its behalf by the undersigned, thereunto duly authorized, in the City of Montréal, Province of Québec, Canada, on January 28, 2026. No other person is required to sign this Post-Effective Amendment to the Registration Statement in reliance on Rule 478 of the Securities Act of 1933, as amended.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REPARE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Forte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Steve Forte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President, Chief Executive Officer and 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08158/000119312524194944/d879175ds3.htm" TargetMode="External"/><Relationship Id="rId3" Type="http://schemas.openxmlformats.org/officeDocument/2006/relationships/hyperlink" Target="http://www.sec.gov/Archives/edgar/data/1808158/000119312525284035/d920795dex2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1040</Words>
  <Characters>5943</Characters>
  <CharactersWithSpaces>6990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POS AM</dc:title>
</cp:coreProperties>
</file>