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500"/>
          </w:cols>
          <w:pgMar w:left="460" w:top="219" w:right="47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8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Jerel Davis</w:t>
              </w:r>
            </w:hyperlink>
          </w:p>
        </w:tc>
        <w:tc>
          <w:tcPr>
            <w:tcW w:w="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Repare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RPTX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70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Borders>
              <w:bottom w:val="single" w:sz="8" w:color="2C2C2C"/>
            </w:tcBorders>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7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1700" w:type="dxa"/>
            <w:vAlign w:val="bottom"/>
          </w:tcPr>
          <w:p>
            <w:pPr>
              <w:ind w:left="6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REPARE THERAPEUTICS INC.</w:t>
            </w: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01/14/2021</w:t>
            </w:r>
          </w:p>
        </w:tc>
        <w:tc>
          <w:tcPr>
            <w:tcW w:w="1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7210 FREDERICK-BANTING, SUITE 100</w:t>
            </w:r>
          </w:p>
        </w:tc>
        <w:tc>
          <w:tcPr>
            <w:tcW w:w="80" w:type="dxa"/>
            <w:vAlign w:val="bottom"/>
          </w:tcPr>
          <w:p>
            <w:pPr>
              <w:spacing w:after="0"/>
              <w:rPr>
                <w:sz w:val="12"/>
                <w:szCs w:val="12"/>
                <w:color w:val="auto"/>
              </w:rPr>
            </w:pPr>
          </w:p>
        </w:tc>
        <w:tc>
          <w:tcPr>
            <w:tcW w:w="382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37" w:gutter="0" w:footer="0" w:header="0"/>
          <w:type w:val="continuous"/>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ST-LAURENT</w:t>
        <w:tab/>
        <w:t>A8</w:t>
      </w:r>
    </w:p>
    <w:p>
      <w:pPr>
        <w:spacing w:after="0" w:line="33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38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244475</wp:posOffset>
            </wp:positionV>
            <wp:extent cx="696404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7547610"/>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7213" w:space="720"/>
            <w:col w:w="3027"/>
          </w:cols>
          <w:pgMar w:left="460" w:top="219" w:right="479" w:bottom="37"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68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jc w:val="center"/>
              <w:ind w:left="4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153,579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2,378,225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33,173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33,173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4,620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71,538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998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34,171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24"/>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5,113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79,188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1,105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35,276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35,276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tcBorders>
              <w:bottom w:val="single" w:sz="8" w:color="2C2C2C"/>
            </w:tcBorders>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(12)</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1,062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1,062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11,688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180,995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1,388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1,388</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1,388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tcBorders>
              <w:bottom w:val="single" w:sz="8" w:color="2C2C2C"/>
            </w:tcBorders>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(18)</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975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2,037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(19)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3,144,451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(20)</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(21)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5,500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(22)</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(23)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(22)</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tcBorders>
              <w:bottom w:val="single" w:sz="8" w:color="2C2C2C"/>
            </w:tcBorders>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(24)</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2,793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(25)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4,744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4,744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(26)</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(27)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4,744</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(26)</w:t>
            </w:r>
          </w:p>
        </w:tc>
        <w:tc>
          <w:tcPr>
            <w:tcW w:w="0" w:type="dxa"/>
            <w:vAlign w:val="bottom"/>
          </w:tcPr>
          <w:p>
            <w:pPr>
              <w:spacing w:after="0"/>
              <w:rPr>
                <w:sz w:val="1"/>
                <w:szCs w:val="1"/>
                <w:color w:val="auto"/>
              </w:rPr>
            </w:pPr>
          </w:p>
        </w:tc>
      </w:tr>
      <w:tr>
        <w:trPr>
          <w:trHeight w:val="164"/>
        </w:trPr>
        <w:tc>
          <w:tcPr>
            <w:tcW w:w="240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80" w:type="dxa"/>
            <w:vAlign w:val="bottom"/>
            <w:vMerge w:val="restart"/>
          </w:tcPr>
          <w:p>
            <w:pPr>
              <w:jc w:val="center"/>
              <w:ind w:left="497"/>
              <w:spacing w:after="0"/>
              <w:rPr>
                <w:sz w:val="20"/>
                <w:szCs w:val="20"/>
                <w:color w:val="auto"/>
              </w:rPr>
            </w:pPr>
            <w:r>
              <w:rPr>
                <w:rFonts w:ascii="Times New Roman" w:cs="Times New Roman" w:eastAsia="Times New Roman" w:hAnsi="Times New Roman"/>
                <w:sz w:val="17"/>
                <w:szCs w:val="17"/>
                <w:color w:val="0000FF"/>
              </w:rPr>
              <w:t>01/14/2021</w:t>
            </w:r>
          </w:p>
        </w:tc>
        <w:tc>
          <w:tcPr>
            <w:tcW w:w="1140" w:type="dxa"/>
            <w:vAlign w:val="bottom"/>
          </w:tcPr>
          <w:p>
            <w:pPr>
              <w:spacing w:after="0"/>
              <w:rPr>
                <w:sz w:val="21"/>
                <w:szCs w:val="21"/>
                <w:color w:val="auto"/>
              </w:rPr>
            </w:pPr>
          </w:p>
        </w:tc>
        <w:tc>
          <w:tcPr>
            <w:tcW w:w="800" w:type="dxa"/>
            <w:vAlign w:val="bottom"/>
            <w:vMerge w:val="restart"/>
          </w:tcPr>
          <w:p>
            <w:pPr>
              <w:jc w:val="center"/>
              <w:ind w:right="304"/>
              <w:spacing w:after="0"/>
              <w:rPr>
                <w:sz w:val="20"/>
                <w:szCs w:val="20"/>
                <w:color w:val="auto"/>
              </w:rPr>
            </w:pPr>
            <w:r>
              <w:rPr>
                <w:rFonts w:ascii="Times New Roman" w:cs="Times New Roman" w:eastAsia="Times New Roman" w:hAnsi="Times New Roman"/>
                <w:sz w:val="26"/>
                <w:szCs w:val="26"/>
                <w:color w:val="0000FF"/>
                <w:w w:val="95"/>
                <w:vertAlign w:val="subscript"/>
              </w:rPr>
              <w:t>J</w:t>
            </w:r>
            <w:r>
              <w:rPr>
                <w:rFonts w:ascii="Times New Roman" w:cs="Times New Roman" w:eastAsia="Times New Roman" w:hAnsi="Times New Roman"/>
                <w:sz w:val="11"/>
                <w:szCs w:val="11"/>
                <w:color w:val="008000"/>
                <w:w w:val="95"/>
              </w:rPr>
              <w:t>(28)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558,282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40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(29)</w:t>
            </w:r>
          </w:p>
        </w:tc>
        <w:tc>
          <w:tcPr>
            <w:tcW w:w="0" w:type="dxa"/>
            <w:vAlign w:val="bottom"/>
          </w:tcPr>
          <w:p>
            <w:pPr>
              <w:spacing w:after="0"/>
              <w:rPr>
                <w:sz w:val="1"/>
                <w:szCs w:val="1"/>
                <w:color w:val="auto"/>
              </w:rPr>
            </w:pPr>
          </w:p>
        </w:tc>
      </w:tr>
      <w:tr>
        <w:trPr>
          <w:trHeight w:val="157"/>
        </w:trPr>
        <w:tc>
          <w:tcPr>
            <w:tcW w:w="2400" w:type="dxa"/>
            <w:vAlign w:val="bottom"/>
            <w:tcBorders>
              <w:bottom w:val="single" w:sz="8" w:color="808080"/>
            </w:tcBorders>
          </w:tcPr>
          <w:p>
            <w:pPr>
              <w:spacing w:after="0"/>
              <w:rPr>
                <w:sz w:val="13"/>
                <w:szCs w:val="13"/>
                <w:color w:val="auto"/>
              </w:rPr>
            </w:pPr>
          </w:p>
        </w:tc>
        <w:tc>
          <w:tcPr>
            <w:tcW w:w="168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37"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2538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2538730"/>
                    </a:xfrm>
                    <a:prstGeom prst="rect">
                      <a:avLst/>
                    </a:prstGeom>
                    <a:noFill/>
                  </pic:spPr>
                </pic:pic>
              </a:graphicData>
            </a:graphic>
          </wp:anchor>
        </w:drawing>
        <w:t>Table I - Non-Derivative Securities Acquired, Disposed of, or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6946900"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67691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01/14/2021</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751</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751</w:t>
            </w:r>
          </w:p>
        </w:tc>
        <w:tc>
          <w:tcPr>
            <w:tcW w:w="340" w:type="dxa"/>
            <w:vAlign w:val="bottom"/>
          </w:tcPr>
          <w:p>
            <w:pPr>
              <w:spacing w:after="0"/>
              <w:rPr>
                <w:sz w:val="21"/>
                <w:szCs w:val="21"/>
                <w:color w:val="auto"/>
              </w:rPr>
            </w:pPr>
          </w:p>
        </w:tc>
        <w:tc>
          <w:tcPr>
            <w:tcW w:w="540" w:type="dxa"/>
            <w:vAlign w:val="bottom"/>
            <w:vMerge w:val="restart"/>
          </w:tcPr>
          <w:p>
            <w:pPr>
              <w:jc w:val="center"/>
              <w:ind w:right="32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01/14/2021</w:t>
            </w:r>
          </w:p>
        </w:tc>
        <w:tc>
          <w:tcPr>
            <w:tcW w:w="4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(32)</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751</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jc w:val="center"/>
              <w:ind w:left="425"/>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top w:val="single" w:sz="8" w:color="2C2C2C"/>
              <w:bottom w:val="single" w:sz="8" w:color="2C2C2C"/>
            </w:tcBorders>
          </w:tcPr>
          <w:p>
            <w:pPr>
              <w:spacing w:after="0"/>
              <w:rPr>
                <w:sz w:val="24"/>
                <w:szCs w:val="24"/>
                <w:color w:val="auto"/>
              </w:rPr>
            </w:pPr>
          </w:p>
        </w:tc>
        <w:tc>
          <w:tcPr>
            <w:tcW w:w="1500" w:type="dxa"/>
            <w:vAlign w:val="bottom"/>
            <w:tcBorders>
              <w:top w:val="single" w:sz="8" w:color="2C2C2C"/>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01/14/2021</w:t>
            </w:r>
          </w:p>
        </w:tc>
        <w:tc>
          <w:tcPr>
            <w:tcW w:w="4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(33)</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w:t>
            </w:r>
          </w:p>
        </w:tc>
        <w:tc>
          <w:tcPr>
            <w:tcW w:w="42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2,799</w:t>
            </w:r>
          </w:p>
        </w:tc>
        <w:tc>
          <w:tcPr>
            <w:tcW w:w="3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01/14/2021</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745</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745</w:t>
            </w:r>
          </w:p>
        </w:tc>
        <w:tc>
          <w:tcPr>
            <w:tcW w:w="340" w:type="dxa"/>
            <w:vAlign w:val="bottom"/>
          </w:tcPr>
          <w:p>
            <w:pPr>
              <w:spacing w:after="0"/>
              <w:rPr>
                <w:sz w:val="21"/>
                <w:szCs w:val="21"/>
                <w:color w:val="auto"/>
              </w:rPr>
            </w:pPr>
          </w:p>
        </w:tc>
        <w:tc>
          <w:tcPr>
            <w:tcW w:w="540" w:type="dxa"/>
            <w:vAlign w:val="bottom"/>
            <w:vMerge w:val="restart"/>
          </w:tcPr>
          <w:p>
            <w:pPr>
              <w:jc w:val="center"/>
              <w:ind w:right="32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01/14/2021</w:t>
            </w:r>
          </w:p>
        </w:tc>
        <w:tc>
          <w:tcPr>
            <w:tcW w:w="4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(36)</w:t>
            </w:r>
          </w:p>
        </w:tc>
        <w:tc>
          <w:tcPr>
            <w:tcW w:w="78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745</w:t>
            </w:r>
          </w:p>
        </w:tc>
        <w:tc>
          <w:tcPr>
            <w:tcW w:w="42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top w:val="single" w:sz="8" w:color="2C2C2C"/>
            </w:tcBorders>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gridSpan w:val="2"/>
            <w:vMerge w:val="restart"/>
          </w:tcPr>
          <w:p>
            <w:pPr>
              <w:jc w:val="center"/>
              <w:ind w:left="425"/>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jc w:val="center"/>
              <w:ind w:right="328"/>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-3403600</wp:posOffset>
            </wp:positionV>
            <wp:extent cx="7031355" cy="3443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31355" cy="344360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Versant Venture Capital V, L.P. ("VVC V"), to its partners, pursuant to a Rule 10b5-1 trading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VVC V. Versant Ventures V, LLC ("VV V") is the sole general partner of VVC V. The Reporting Person, a member of the Issuer's board of directors, is a managing member of VV V and may be deemed to share voting and dispositive power over the shares held by VVC V. Each of VV V and the Reporting Person disclaims beneficial ownership of the shares held by VVC V, except to the extent of their respective pecuniary interests therein. The Reporting Person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 by virtue of the receipt of shares in the pro-rata in-kind distribution of common shares of the Issuer for no consideration by VVC V.</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V. The Reporting Person, a member of the Issuer's board of directors, is a managing member of VV V and may be deemed to share voting and dispositive power over the shares held by VV V; however, he disclaims beneficial ownership of such securities, except to the extent of his pecuniary interest therein. The Reporting Person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Versant Affiliates Fund V, L.P. ("VAF V"), to its partners, pursuant to a Rule 10b5-1 trading plan.</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VAF V. VV V is the sole general partner of VAF V. The Reporting Person, a member of the Issuer's board of directors, is a managing member of VV V and may be deemed to share voting and dispositive power over the shares held by VAF V. Each of VV V and the Reporting Person disclaims beneficial ownership of the shares held by VAF V, except to the extent of their respective pecuniary interests therein. The Reporting Person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 by virtue of the receipt of shares in the pro-rata in-kind distribution of common shares of the Issuer for no consideration by VAF V.</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Versant Ophthalmic Affiliates Fund I, L.P. ("VOAF I"), to its partners, pursuant to a Rule 10b5-1 trading plan.</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VOAF I. VV V is the sole general partner of VOAF I. The Reporting Person, a member of the Issuer's board of directors, is a managing member of VV V and may be deemed to share voting and dispositive power over the shares held by VOAF I. Each of VV V and the Reporting Person disclaims beneficial ownership of the shares held by VOAF I, except to the extent of their respective pecuniary interests therein. The Reporting Person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 by virtue of the receipt of shares in the pro-rata in-kind distribution of common shares of the Issuer for no consideration by VOAF I.</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V, to its members.</w:t>
      </w:r>
    </w:p>
    <w:p>
      <w:pPr>
        <w:spacing w:after="0" w:line="50" w:lineRule="exact"/>
        <w:rPr>
          <w:rFonts w:ascii="Times New Roman" w:cs="Times New Roman" w:eastAsia="Times New Roman" w:hAnsi="Times New Roman"/>
          <w:sz w:val="13"/>
          <w:szCs w:val="13"/>
          <w:color w:val="008000"/>
        </w:rPr>
      </w:pPr>
    </w:p>
    <w:p>
      <w:pPr>
        <w:ind w:left="40" w:right="84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the Reporting Person by virtue of the receipt of shares as a result of the pro-rata in-kind distribution of common shares of the Issuer for no consideration by VV V.</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Versant Venture Capital V (Canada) LP ("VVC V (Canada)"), to its partners, pursuant to a Rule 10b5-1 trading plan.</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VVC V (Canada). Versant Ventures V (Canada) GP-GP, Inc. ("VV V (Canada) GP") is the sole general partner of Versant Ventures V (Canada), L.P. ("VV V (Canada)") and VV V (Canada) is the sole general partner of VVC V (Canada). The Reporting Person, a member of the Issuer's board of directors, is a director of VV V (Canada) GP and may be deemed to share voting and dispositive power over the shares held by VVC V (Canada). Each of VV V (Canada), VV V (Canada) GP and the Reporting Person disclaims beneficial ownership of the shares held by VVC V (Canada), except to the extent of their respective pecuniary interests therein. The Reporting Person is a director of the Issuer and, accordingly files separate Section 16 reports.</w:t>
      </w:r>
    </w:p>
    <w:p>
      <w:pPr>
        <w:spacing w:after="0" w:line="24"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 (Canada) by virtue of the receipt of shares in the pro-rata in-kind distribution of common shares of the Issuer for no consideration by VVC V (Canada).</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V (Canada). VV V (Canada) GP is the sole general partner of VV V (Canada). The Reporting Person, a member of the Issuer's board of directors, is a director of VV V (Canada) GP and may be deemed to share voting and dispositive power over the shares held by VV V (Canada). Each of VV V (Canada) GP and the Reporting Person disclaims beneficial ownership of the shares held by VV V (Canada), except to the extent of their respective pecuniary interests therein. The Reporting Person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V (Canada), to its partners.</w:t>
      </w:r>
    </w:p>
    <w:p>
      <w:pPr>
        <w:spacing w:after="0" w:line="50" w:lineRule="exact"/>
        <w:rPr>
          <w:rFonts w:ascii="Times New Roman" w:cs="Times New Roman" w:eastAsia="Times New Roman" w:hAnsi="Times New Roman"/>
          <w:sz w:val="13"/>
          <w:szCs w:val="13"/>
          <w:color w:val="008000"/>
        </w:rPr>
      </w:pPr>
    </w:p>
    <w:p>
      <w:pPr>
        <w:ind w:left="40" w:right="84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the Reporting Person by virtue of the receipt of shares as a result of the pro-rata in-kind distribution of common shares of the Issuer for no consideration by VV V (Canada).</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Versant Venture Capital VI, L.P. ("VVC VI"), to its partners, pursuant to a Rule 10b5-1 trading plan.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VVC VI. Versant Ventures VI GP-GP, LLC ("VV VI GP") is the sole general partner of Versant Ventures VI GP, L.P. ("VV VI") and VV VI is the sole general partner of VVC VI. The Reporting Person, a member of the Issuer's board of directors, is a managing member of VV VI GP and may be deemed to share voting and dispositive power over the shares held by VVC VI. Each of VV VI GP, VV VI and the Reporting Person disclaims beneficial ownership of the shares held by VVC VI, except to the extent of their respective pecuniary interests therein. The Reporting Person is a director of the Issuer and, accordingly files separate Section 16 reports.</w:t>
      </w:r>
    </w:p>
    <w:p>
      <w:pPr>
        <w:spacing w:after="0" w:line="24"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VI by virtue of the receipt of shares in the pro-rata in-kind distribution of common shares of the Issuer for no consideration by VVC VI.</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VI. VV VI GP is the sole general partner of VV VI. The Reporting Person, a member of the Issuer's board of directors, is a managing member of VV VI GP and may be deemed to share voting and dispositive power over the shares held by VV VI. Each of VV VI GP and the Reporting Person disclaims beneficial ownership of the shares held by VV VI, except to the extent of their respective pecuniary interests therein. The Reporting Person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VI, to its partners.</w:t>
      </w:r>
    </w:p>
    <w:p>
      <w:pPr>
        <w:spacing w:after="0" w:line="50" w:lineRule="exact"/>
        <w:rPr>
          <w:rFonts w:ascii="Times New Roman" w:cs="Times New Roman" w:eastAsia="Times New Roman" w:hAnsi="Times New Roman"/>
          <w:sz w:val="13"/>
          <w:szCs w:val="13"/>
          <w:color w:val="008000"/>
        </w:rPr>
      </w:pPr>
    </w:p>
    <w:p>
      <w:pPr>
        <w:ind w:left="40" w:right="84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the Reporting Person by virtue of the receipt of shares as a result of the pro-rata in-kind distribution of common shares of the Issuer for no consideration by VV VI.</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VI GP by virtue of the receipt of shares in the pro-rata in-kind distribution of common shares of the Issuer for no consideration by VV VI.</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VI GP. The Reporting Person, a member of the Issuer's board of directors, is a managing member of VV VI GP and may be deemed to share voting and dispositive power over the shares held by VV VI GP; however, he disclaims beneficial ownership of such securities, except to the extent of his pecuniary interest therein. The Reporting Person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VI GP, to its members.</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Versant Vantage I, L.P. ("VV I"), to its partners, pursuant to a Rule 10b5-1 trading plan.</w:t>
      </w:r>
    </w:p>
    <w:p>
      <w:pPr>
        <w:sectPr>
          <w:pgSz w:w="11900" w:h="16838" w:orient="portrait"/>
          <w:cols w:equalWidth="0" w:num="1">
            <w:col w:w="11080"/>
          </w:cols>
          <w:pgMar w:left="460" w:top="185" w:right="359" w:bottom="0" w:gutter="0" w:footer="0" w:header="0"/>
        </w:sectPr>
      </w:pPr>
    </w:p>
    <w:bookmarkStart w:id="2" w:name="page3"/>
    <w:bookmarkEnd w:id="2"/>
    <w:p>
      <w:pPr>
        <w:ind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I. Versant Vantage I GP-GP, LLC ("VV I GP-GP") is the sole general partner of Versant Vantage I GP, L.P. ("VV I GP") and VV I GP is the sole general partner of VV I. The Reporting Person, a member of the Issuer's board of directors, is a managing member of VV I GP-GP and may be deemed to share voting and dispositive power over the shares held by VV I. Each of VV I GP-GP, VV I GP and the Reporting Person disclaims beneficial ownership of the shares held by VV I, except to the extent of their respective pecuniary interests therein. The Reporting Person is a director of the Issuer and, accordingly files separate Section 16 reports.</w:t>
      </w:r>
    </w:p>
    <w:p>
      <w:pPr>
        <w:spacing w:after="0" w:line="24"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I GP by virtue of the receipt of shares in the pro-rata in-kind distribution of common shares of the Issuer for no consideration by VV I.</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I GP. VV I GP-GP is the sole general partner of VV I GP. The Reporting Person, a member of the Issuer's board of directors, is a managing member of VV I GP-GP and may be</w:t>
      </w:r>
    </w:p>
    <w:p>
      <w:pPr>
        <w:spacing w:after="0" w:line="11" w:lineRule="exact"/>
        <w:rPr>
          <w:rFonts w:ascii="Times New Roman" w:cs="Times New Roman" w:eastAsia="Times New Roman" w:hAnsi="Times New Roman"/>
          <w:sz w:val="13"/>
          <w:szCs w:val="13"/>
          <w:color w:val="008000"/>
        </w:rPr>
      </w:pPr>
    </w:p>
    <w:p>
      <w:pPr>
        <w:ind w:right="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dispositive power over the shares held by VV I GP. Each of VV I GP-GP and the Reporting Person disclaims beneficial ownership of the shares held by VV I GP, except to the extent of their respective pecuniary interests therein. The Reporting Person is a director of the Issuer and, accordingly files separate Section 16 reports.</w:t>
      </w:r>
    </w:p>
    <w:p>
      <w:pPr>
        <w:spacing w:after="0" w:line="21"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I GP, to its partners.</w:t>
      </w:r>
    </w:p>
    <w:p>
      <w:pPr>
        <w:spacing w:after="0" w:line="50" w:lineRule="exact"/>
        <w:rPr>
          <w:rFonts w:ascii="Times New Roman" w:cs="Times New Roman" w:eastAsia="Times New Roman" w:hAnsi="Times New Roman"/>
          <w:sz w:val="13"/>
          <w:szCs w:val="13"/>
          <w:color w:val="008000"/>
        </w:rPr>
      </w:pPr>
    </w:p>
    <w:p>
      <w:pPr>
        <w:ind w:right="70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the Reporting Person by virtue of the receipt of shares as a result of the pro-rata in-kind distribution of common shares of the Issuer for no consideration by VV I GP.</w:t>
      </w:r>
    </w:p>
    <w:p>
      <w:pPr>
        <w:spacing w:after="0" w:line="7"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change in the form of ownership of VV I GP-GP by virtue of the receipt of shares in the pro-rata in-kind distribution of common shares of the Issuer for no consideration by VV I GP.</w:t>
      </w:r>
    </w:p>
    <w:p>
      <w:pPr>
        <w:spacing w:after="0" w:line="50" w:lineRule="exact"/>
        <w:rPr>
          <w:rFonts w:ascii="Times New Roman" w:cs="Times New Roman" w:eastAsia="Times New Roman" w:hAnsi="Times New Roman"/>
          <w:sz w:val="13"/>
          <w:szCs w:val="13"/>
          <w:color w:val="008000"/>
        </w:rPr>
      </w:pPr>
    </w:p>
    <w:p>
      <w:pPr>
        <w:ind w:right="8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VV I GP-GP. The Reporting Person, a member of the Issuer's board of directors, is a managing member of VV I GP-GP and may be deemed to share voting and dispositive power over the shares held by VV I GP-GP; however, he disclaims beneficial ownership of such securities, except to the extent of his pecuniary interest therein. The Reporting Person is a director of the Issuer and, accordingly files separate Section 16 reports.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pro-rata distribution, and not a purchase or sale, without additional consideration by VV I GP-GP, to its members.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08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Jerel C.</w:t>
        <w:tab/>
        <w:t>01/19/2021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6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36"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45958" TargetMode="External"/><Relationship Id="rId14"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2021-01-19T18:42:34Z</dcterms:created>
  <dcterms:modified xsi:type="dcterms:W3CDTF">2021-01-19T18:42:34Z</dcterms:modified>
</cp:coreProperties>
</file>