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ptx-20230630.htm"/>
      <w:bookmarkStart w:id="1" w:name="ksrptx20230630"/>
      <w:bookmarkEnd w:id="0"/>
      <w:bookmarkEnd w:id="1"/>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0" w:after="0"/>
        <w:jc w:val="center"/>
        <w:rPr/>
      </w:pPr>
      <w:r>
        <w:rPr/>
        <w:t> </w:t>
      </w:r>
    </w:p>
    <w:p>
      <w:pPr>
        <w:pStyle w:val="TextBody"/>
        <w:bidi w:val="0"/>
        <w:spacing w:before="8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0" w:after="0"/>
        <w:jc w:val="center"/>
        <w:rPr/>
      </w:pPr>
      <w:r>
        <w:rPr/>
        <w:t> </w:t>
      </w:r>
    </w:p>
    <w:p>
      <w:pPr>
        <w:pStyle w:val="TextBody"/>
        <w:bidi w:val="0"/>
        <w:spacing w:before="80" w:after="0"/>
        <w:jc w:val="left"/>
        <w:rPr>
          <w:rFonts w:ascii="Times New Roman;serif" w:hAnsi="Times New Roman;serif"/>
          <w:b/>
          <w:sz w:val="16"/>
        </w:rPr>
      </w:pPr>
      <w:r>
        <w:rPr>
          <w:rFonts w:ascii="Times New Roman;serif" w:hAnsi="Times New Roman;serif"/>
          <w:b/>
          <w:sz w:val="16"/>
        </w:rPr>
        <w:t>(Mark One)</w:t>
      </w:r>
    </w:p>
    <w:p>
      <w:pPr>
        <w:pStyle w:val="TextBody"/>
        <w:bidi w:val="0"/>
        <w:spacing w:before="0" w:after="0"/>
        <w:jc w:val="left"/>
        <w:rPr/>
      </w:pPr>
      <w:r>
        <w:rPr/>
        <w:t xml:space="preserve">☒ </w:t>
      </w:r>
      <w:r>
        <w:rPr>
          <w:rFonts w:ascii="Times New Roman;serif" w:hAnsi="Times New Roman;serif"/>
          <w:b/>
          <w:sz w:val="20"/>
        </w:rPr>
        <w:t>QUARTERLY REPORT PURSUANT TO SECTION 13 OR 15(d) OF THE SECURITIES EXCHANGE ACT OF 1934</w:t>
      </w:r>
    </w:p>
    <w:p>
      <w:pPr>
        <w:pStyle w:val="TextBody"/>
        <w:bidi w:val="0"/>
        <w:spacing w:before="80" w:after="0"/>
        <w:jc w:val="center"/>
        <w:rPr>
          <w:rFonts w:ascii="Times New Roman" w:hAnsi="Times New Roman"/>
          <w:sz w:val="20"/>
        </w:rPr>
      </w:pPr>
      <w:r>
        <w:rPr>
          <w:rFonts w:ascii="Times New Roman;serif" w:hAnsi="Times New Roman;serif"/>
          <w:b/>
          <w:sz w:val="20"/>
        </w:rPr>
        <w:t>For the quarterly period ended June 30, 2023</w:t>
      </w:r>
      <w:r>
        <w:rPr>
          <w:rFonts w:ascii="Times New Roman" w:hAnsi="Times New Roman"/>
          <w:sz w:val="20"/>
        </w:rPr>
        <w:t xml:space="preserve"> </w:t>
      </w:r>
    </w:p>
    <w:p>
      <w:pPr>
        <w:pStyle w:val="TextBody"/>
        <w:bidi w:val="0"/>
        <w:spacing w:before="80" w:after="0"/>
        <w:jc w:val="center"/>
        <w:rPr>
          <w:rFonts w:ascii="Times New Roman;serif" w:hAnsi="Times New Roman;serif"/>
          <w:b/>
          <w:sz w:val="20"/>
        </w:rPr>
      </w:pPr>
      <w:r>
        <w:rPr>
          <w:rFonts w:ascii="Times New Roman;serif" w:hAnsi="Times New Roman;serif"/>
          <w:b/>
          <w:sz w:val="20"/>
        </w:rPr>
        <w:t>OR</w:t>
      </w:r>
    </w:p>
    <w:p>
      <w:pPr>
        <w:pStyle w:val="TextBody"/>
        <w:bidi w:val="0"/>
        <w:spacing w:before="80" w:after="0"/>
        <w:jc w:val="left"/>
        <w:rPr/>
      </w:pPr>
      <w:r>
        <w:rPr/>
        <w:t xml:space="preserve">☐ </w:t>
      </w:r>
      <w:r>
        <w:rPr>
          <w:rFonts w:ascii="Times New Roman;serif" w:hAnsi="Times New Roman;serif"/>
          <w:b/>
          <w:sz w:val="20"/>
        </w:rPr>
        <w:t>TRANSITION REPORT PURSUANT TO SECTION 13 OR 15(d) OF THE SECURITIES EXCHANGE ACT OF 1934</w:t>
      </w:r>
    </w:p>
    <w:p>
      <w:pPr>
        <w:pStyle w:val="TextBody"/>
        <w:bidi w:val="0"/>
        <w:spacing w:before="80" w:after="0"/>
        <w:jc w:val="center"/>
        <w:rPr>
          <w:rFonts w:ascii="Times New Roman;serif" w:hAnsi="Times New Roman;serif"/>
          <w:b/>
          <w:sz w:val="20"/>
        </w:rPr>
      </w:pPr>
      <w:r>
        <w:rPr>
          <w:rFonts w:ascii="Times New Roman;serif" w:hAnsi="Times New Roman;serif"/>
          <w:b/>
          <w:sz w:val="20"/>
        </w:rPr>
        <w:t>For the transition period from _________________ to ___________________</w:t>
      </w:r>
    </w:p>
    <w:p>
      <w:pPr>
        <w:pStyle w:val="TextBody"/>
        <w:bidi w:val="0"/>
        <w:spacing w:before="80" w:after="0"/>
        <w:jc w:val="center"/>
        <w:rPr>
          <w:rFonts w:ascii="Times New Roman;serif" w:hAnsi="Times New Roman;serif"/>
          <w:b/>
          <w:sz w:val="20"/>
        </w:rPr>
      </w:pPr>
      <w:r>
        <w:rPr>
          <w:rFonts w:ascii="Times New Roman;serif" w:hAnsi="Times New Roman;serif"/>
          <w:b/>
          <w:sz w:val="20"/>
        </w:rPr>
        <w:t>Commission File Number: 001-39335</w:t>
      </w:r>
    </w:p>
    <w:p>
      <w:pPr>
        <w:pStyle w:val="TextBody"/>
        <w:pBdr>
          <w:bottom w:val="single" w:sz="4" w:space="1" w:color="000000"/>
        </w:pBdr>
        <w:bidi w:val="0"/>
        <w:spacing w:before="0" w:after="0"/>
        <w:jc w:val="center"/>
        <w:rPr/>
      </w:pPr>
      <w:r>
        <w:rPr/>
        <w:t> </w:t>
      </w:r>
    </w:p>
    <w:p>
      <w:pPr>
        <w:pStyle w:val="TextBody"/>
        <w:bidi w:val="0"/>
        <w:spacing w:before="80" w:after="0"/>
        <w:jc w:val="center"/>
        <w:rPr>
          <w:rFonts w:ascii="Times New Roman" w:hAnsi="Times New Roman"/>
          <w:sz w:val="20"/>
        </w:rPr>
      </w:pPr>
      <w:r>
        <w:rPr>
          <w:rFonts w:ascii="Times New Roman;serif" w:hAnsi="Times New Roman;serif"/>
          <w:b/>
          <w:sz w:val="48"/>
        </w:rPr>
        <w:t>Repare Therapeutics Inc.</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tbl>
      <w:tblPr>
        <w:tblW w:w="5492" w:type="dxa"/>
        <w:jc w:val="left"/>
        <w:tblInd w:w="0" w:type="dxa"/>
        <w:tblLayout w:type="fixed"/>
        <w:tblCellMar>
          <w:top w:w="28" w:type="dxa"/>
          <w:left w:w="28" w:type="dxa"/>
          <w:bottom w:w="28" w:type="dxa"/>
          <w:right w:w="28" w:type="dxa"/>
        </w:tblCellMar>
      </w:tblPr>
      <w:tblGrid>
        <w:gridCol w:w="4006"/>
        <w:gridCol w:w="1486"/>
      </w:tblGrid>
      <w:tr>
        <w:trPr/>
        <w:tc>
          <w:tcPr>
            <w:tcW w:w="400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400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Québec</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Not applicable</w:t>
            </w:r>
          </w:p>
        </w:tc>
      </w:tr>
      <w:tr>
        <w:trPr/>
        <w:tc>
          <w:tcPr>
            <w:tcW w:w="4006" w:type="dxa"/>
            <w:tcBorders/>
            <w:vAlign w:val="center"/>
          </w:tcPr>
          <w:p>
            <w:pPr>
              <w:pStyle w:val="TableContents"/>
              <w:bidi w:val="0"/>
              <w:spacing w:before="0" w:after="2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2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vAlign w:val="center"/>
          </w:tcPr>
          <w:p>
            <w:pPr>
              <w:pStyle w:val="TableContents"/>
              <w:bidi w:val="0"/>
              <w:spacing w:before="0" w:after="20"/>
              <w:ind w:left="0" w:right="0" w:hanging="0"/>
              <w:jc w:val="center"/>
              <w:rPr>
                <w:rFonts w:ascii="Times New Roman;serif" w:hAnsi="Times New Roman;serif"/>
                <w:b/>
                <w:sz w:val="16"/>
              </w:rPr>
            </w:pPr>
            <w:r>
              <w:rPr>
                <w:rFonts w:ascii="Times New Roman;serif" w:hAnsi="Times New Roman;serif"/>
                <w:b/>
                <w:sz w:val="16"/>
              </w:rPr>
              <w:t>(I.R.S. Employer</w:t>
              <w:br/>
              <w:t>Identification No.)</w:t>
            </w:r>
          </w:p>
        </w:tc>
      </w:tr>
      <w:tr>
        <w:trPr/>
        <w:tc>
          <w:tcPr>
            <w:tcW w:w="4006" w:type="dxa"/>
            <w:tcBorders/>
            <w:vAlign w:val="center"/>
          </w:tcPr>
          <w:p>
            <w:pPr>
              <w:pStyle w:val="TableContents"/>
              <w:bidi w:val="0"/>
              <w:spacing w:before="80" w:after="0"/>
              <w:ind w:left="0" w:right="0" w:hanging="0"/>
              <w:jc w:val="center"/>
              <w:rPr>
                <w:rFonts w:ascii="Times New Roman;serif" w:hAnsi="Times New Roman;serif"/>
                <w:b/>
                <w:sz w:val="20"/>
              </w:rPr>
            </w:pPr>
            <w:r>
              <w:rPr>
                <w:rFonts w:ascii="Times New Roman;serif" w:hAnsi="Times New Roman;serif"/>
                <w:b/>
                <w:sz w:val="20"/>
              </w:rPr>
              <w:t>7171 Frederick-Banting, Building 2, Suite 270</w:t>
            </w:r>
          </w:p>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St-Laurent, Québec, Canada</w:t>
            </w:r>
            <w:r>
              <w:rPr>
                <w:rFonts w:ascii="Times New Roman" w:hAnsi="Times New Roman"/>
                <w:sz w:val="20"/>
              </w:rPr>
              <w:t xml:space="preserve"> </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H4S 1Z9</w:t>
            </w:r>
          </w:p>
        </w:tc>
      </w:tr>
      <w:tr>
        <w:trPr/>
        <w:tc>
          <w:tcPr>
            <w:tcW w:w="400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Registrant’s telephone number, including area code: (857) 412-7018</w:t>
      </w:r>
    </w:p>
    <w:p>
      <w:pPr>
        <w:pStyle w:val="TextBody"/>
        <w:pBdr>
          <w:bottom w:val="single" w:sz="4" w:space="1" w:color="000000"/>
        </w:pBdr>
        <w:bidi w:val="0"/>
        <w:spacing w:before="0" w:after="0"/>
        <w:jc w:val="center"/>
        <w:rPr/>
      </w:pPr>
      <w:r>
        <w:rPr/>
        <w:t> </w:t>
      </w:r>
    </w:p>
    <w:p>
      <w:pPr>
        <w:pStyle w:val="TextBody"/>
        <w:bidi w:val="0"/>
        <w:spacing w:before="8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7570" w:type="dxa"/>
        <w:jc w:val="left"/>
        <w:tblInd w:w="0" w:type="dxa"/>
        <w:tblLayout w:type="fixed"/>
        <w:tblCellMar>
          <w:top w:w="28" w:type="dxa"/>
          <w:left w:w="28" w:type="dxa"/>
          <w:bottom w:w="28" w:type="dxa"/>
          <w:right w:w="28" w:type="dxa"/>
        </w:tblCellMar>
      </w:tblPr>
      <w:tblGrid>
        <w:gridCol w:w="2506"/>
        <w:gridCol w:w="146"/>
        <w:gridCol w:w="1456"/>
        <w:gridCol w:w="146"/>
        <w:gridCol w:w="3316"/>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5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250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shares, no par value</w:t>
            </w:r>
          </w:p>
        </w:tc>
        <w:tc>
          <w:tcPr>
            <w:tcW w:w="146" w:type="dxa"/>
            <w:tcBorders/>
            <w:vAlign w:val="center"/>
          </w:tcPr>
          <w:p>
            <w:pPr>
              <w:pStyle w:val="TableContents"/>
              <w:bidi w:val="0"/>
              <w:spacing w:before="0" w:after="0"/>
              <w:ind w:left="0" w:right="0" w:hanging="0"/>
              <w:jc w:val="center"/>
              <w:rPr/>
            </w:pPr>
            <w:r>
              <w:rPr/>
              <w:t> </w:t>
            </w:r>
          </w:p>
        </w:tc>
        <w:tc>
          <w:tcPr>
            <w:tcW w:w="14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RPTX</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The Nasdaq Stock Market LLC</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sz w:val="20"/>
        </w:rPr>
        <w:t xml:space="preserve">☒ </w:t>
      </w:r>
      <w:r>
        <w:rPr>
          <w:rFonts w:ascii="Times New Roman;serif" w:hAnsi="Times New Roman;serif"/>
          <w:b w:val="false"/>
          <w:sz w:val="18"/>
        </w:rPr>
        <w:t>No ☐</w:t>
      </w:r>
    </w:p>
    <w:p>
      <w:pPr>
        <w:pStyle w:val="TextBody"/>
        <w:bidi w:val="0"/>
        <w:spacing w:before="8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8"/>
        </w:rPr>
        <w:t>As of August 1, 2023, there were 42,094,446</w:t>
      </w:r>
      <w:r>
        <w:rPr>
          <w:rFonts w:ascii="Times New Roman" w:hAnsi="Times New Roman"/>
          <w:sz w:val="20"/>
        </w:rPr>
        <w:t xml:space="preserve"> </w:t>
      </w:r>
      <w:r>
        <w:rPr>
          <w:rFonts w:ascii="Times New Roman;serif" w:hAnsi="Times New Roman;serif"/>
          <w:b w:val="false"/>
          <w:sz w:val="18"/>
        </w:rPr>
        <w:t>of the registrant’s common shares, no par value per share, outstanding.</w:t>
      </w:r>
    </w:p>
    <w:p>
      <w:pPr>
        <w:pStyle w:val="TextBody"/>
        <w:pBdr>
          <w:bottom w:val="double" w:sz="6" w:space="1" w:color="000000"/>
        </w:pBdr>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25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special_note_regarding_forward_looking_s">
              <w:r>
                <w:rPr>
                  <w:rStyle w:val="InternetLink"/>
                  <w:rFonts w:ascii="Times New Roman;serif" w:hAnsi="Times New Roman;serif"/>
                  <w:b/>
                  <w:sz w:val="20"/>
                  <w:u w:val="single"/>
                </w:rPr>
                <w:t>SPECIAL NOTE REGARDING FORWARD LOOKING STATEMENTS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financial_information">
              <w:r>
                <w:rPr>
                  <w:rStyle w:val="InternetLink"/>
                  <w:rFonts w:ascii="Times New Roman;serif" w:hAnsi="Times New Roman;serif"/>
                  <w:b w:val="false"/>
                  <w:sz w:val="20"/>
                  <w:u w:val="single"/>
                </w:rPr>
                <w:t>FINANCIAL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operat">
              <w:r>
                <w:rPr>
                  <w:rStyle w:val="InternetLink"/>
                  <w:rFonts w:ascii="Times New Roman;serif" w:hAnsi="Times New Roman;serif"/>
                  <w:b w:val="false"/>
                  <w:sz w:val="20"/>
                  <w:u w:val="single"/>
                </w:rPr>
                <w:t>Condensed Consolidated Statements of Operations and Comprehensive Loss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conver">
              <w:r>
                <w:rPr>
                  <w:rStyle w:val="InternetLink"/>
                  <w:rFonts w:ascii="Times New Roman;serif" w:hAnsi="Times New Roman;serif"/>
                  <w:b w:val="false"/>
                  <w:sz w:val="20"/>
                  <w:u w:val="single"/>
                </w:rPr>
                <w:t>Condensed Consolidated Statements of Shareholders’ Equity</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cash_f">
              <w:r>
                <w:rPr>
                  <w:rStyle w:val="InternetLink"/>
                  <w:rFonts w:ascii="Times New Roman;serif" w:hAnsi="Times New Roman;serif"/>
                  <w:b w:val="false"/>
                  <w:sz w:val="20"/>
                  <w:u w:val="single"/>
                </w:rPr>
                <w:t>Condensed Consolidated Statements of Cash Flows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
              <w:r>
                <w:rPr>
                  <w:rStyle w:val="InternetLink"/>
                  <w:rFonts w:ascii="Times New Roman;serif" w:hAnsi="Times New Roman;serif"/>
                  <w:b w:val="false"/>
                  <w:sz w:val="20"/>
                  <w:u w:val="single"/>
                </w:rPr>
                <w:t>Notes to Unaudited Condensed Consolidated Financial Statements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or_information">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r>
      <w:tr>
        <w:trPr/>
        <w:tc>
          <w:tcPr>
            <w:tcW w:w="825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special_note_regarding_forward_looking_s"/>
      <w:bookmarkEnd w:id="2"/>
      <w:r>
        <w:rPr>
          <w:rFonts w:ascii="Times New Roman;serif" w:hAnsi="Times New Roman;serif"/>
          <w:b/>
          <w:sz w:val="20"/>
        </w:rPr>
        <w:t>SPECIAL NOTE REGARDING FORWARD LOOKING STATEMENTS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research and development costs, plans and objectives of management, are forward-looking statements.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Although we believe that we have a reasonable basis for each forward-looking statement contained in this Quarterly Report on Form 10-Q, we caution you that these statements are based on a combination of facts and factors currently known by us and our expectations of the future, about which we cannot be certain.</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forward-looking statements in this Quarterly Report on Form 10-Q include, among other things, statements about:</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initiation, timing, progress and results of our current and future preclinical studies and clinical trials and related preparatory work and the period during which the results of the trials will become available, as well as our research and development programs;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estimates regarding expenses, future revenue, capital requirements and needs for additional financing;</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obtain regulatory approval of lunresertib (also known as RP-6306) and any of our other current and future product candidates that we develop;</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identify and develop additional product candidates using our SNIPRx platform;</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business disruptions affecting the initiation, patient enrollment, development and operation of our clinical trials, including a public health emergency or pandemic, such as the coronavirus disease, or COVID-19 pandemic;</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evolving impact of macroeconomic events, including the COVID-19 pandemic, changes in inflation, the U.S. Federal Reserve raising interest rates, disruptions in access to bank deposits or lending commitments due to bank failures and the Russia-Ukraine war, on our operations, supply chains, general economic conditions, our ability to raise additional capital, and the continuity of our business, including our preclinical studies and clinical trials;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enroll patients in clinical trials, to timely and successfully complete those trials and to receive necessary regulatory approvals;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timing of completion of enrollment and availability of data from our current preclinical studies and clinical trials, including our Phase 1 clinical trials of lunresertib;</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expected timing of filings with regulatory authorities for any product candidates that we develop;</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expectations regarding the potential market size and the rate and degree of market acceptance for any current or future product candidates that we develop;</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receive any milestone or royalty payments under our collaboration and license agreements;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effects of competition with respect to lunresertib, camonsertib, or any of our other current or future product candidates, as well as innovations by current and future competitors in our industry;</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fund our working capital requirements;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intellectual property position, including the scope of protection we are able to establish, maintain and enforce for intellectual property rights covering our product candidates;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financial performance and our ability to effectively manage our anticipated growth;</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obtain additional funding for our operations;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other risks and uncertainties, including those listed under the section titled “Risk Factors” in this Quarterly Report and elsewhere in our Annual Report on Form 10-K for the fiscal year ended December 31, 2022, filed with the Securities and Exchange Commission (the “SEC”) on February 28, 2023.</w:t>
      </w:r>
    </w:p>
    <w:p>
      <w:pPr>
        <w:pStyle w:val="TextBody"/>
        <w:bidi w:val="0"/>
        <w:spacing w:before="0" w:after="0"/>
        <w:jc w:val="both"/>
        <w:rPr/>
      </w:pPr>
      <w:r>
        <w:rPr/>
        <w:t> </w:t>
      </w:r>
    </w:p>
    <w:p>
      <w:pPr>
        <w:pStyle w:val="TextBody"/>
        <w:bidi w:val="0"/>
        <w:spacing w:before="40" w:after="0"/>
        <w:jc w:val="both"/>
        <w:rPr>
          <w:rFonts w:ascii="Times New Roman" w:hAnsi="Times New Roman"/>
          <w:sz w:val="20"/>
        </w:rPr>
      </w:pPr>
      <w:r>
        <w:rPr>
          <w:rFonts w:ascii="Times New Roman;serif" w:hAnsi="Times New Roman;serif"/>
          <w:b w:val="false"/>
          <w:sz w:val="20"/>
        </w:rPr>
        <w:t>Although we believe that the expectations reflected in these forward-looking statements are reasonable, these statements relate to our strategy, future operations, future financial position, future revenue, projected costs, prospects, plans, objectives of management and expected market growth, and involve known and unknown risks, uncertainties and other factors including, without limitation, risks, uncertainties and assumptions regarding the impact of the macroeconomic events, including the COVID-19 pandemic, on our business, operations, strategy, goals and anticipated timelines, our ongoing and planned preclinical activities, our ability to initiate, enroll, conduct or complete ongoing and planned clinical trials, our timelines for regulatory submissions and our financial position that may cause our actual results, levels of activity, performance or achievements to be materially different from any future results, levels of activity,</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performance or achievements expressed or implied by these forward-looking statements. You are urged to carefully review the disclosures we make concerning these risks and other factors that may affect our business and operating results in this Quarterly Report on Form 10-Q. You are cautioned not to place undue reliance on these forward-looking statements, which speak only as of the date of this document. Except as required by law, we do not intend, and undertake no obligation, to update any forward-looking information to reflect events or circumstances.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3" w:name="part_ifinancial_information"/>
      <w:bookmarkEnd w:id="3"/>
      <w:r>
        <w:rPr>
          <w:rFonts w:ascii="Times New Roman;serif" w:hAnsi="Times New Roman;serif"/>
          <w:b/>
          <w:sz w:val="20"/>
        </w:rPr>
        <w:t>PART I—FINANCIAL INFORMATION</w:t>
      </w:r>
    </w:p>
    <w:p>
      <w:pPr>
        <w:pStyle w:val="TextBody"/>
        <w:bidi w:val="0"/>
        <w:spacing w:before="240" w:after="0"/>
        <w:jc w:val="left"/>
        <w:rPr>
          <w:rFonts w:ascii="Times New Roman;serif" w:hAnsi="Times New Roman;serif"/>
          <w:b/>
          <w:sz w:val="20"/>
        </w:rPr>
      </w:pPr>
      <w:bookmarkStart w:id="4" w:name="item_1_financial_statements"/>
      <w:bookmarkEnd w:id="4"/>
      <w:r>
        <w:rPr>
          <w:rFonts w:ascii="Times New Roman;serif" w:hAnsi="Times New Roman;serif"/>
          <w:b/>
          <w:sz w:val="20"/>
        </w:rPr>
        <w:t>Item 1. Financial Statements.</w:t>
      </w:r>
    </w:p>
    <w:p>
      <w:pPr>
        <w:pStyle w:val="TextBody"/>
        <w:bidi w:val="0"/>
        <w:spacing w:before="0" w:after="0"/>
        <w:jc w:val="center"/>
        <w:rPr>
          <w:rFonts w:ascii="Times New Roman;serif" w:hAnsi="Times New Roman;serif"/>
          <w:b/>
          <w:sz w:val="20"/>
        </w:rPr>
      </w:pPr>
      <w:r>
        <w:rPr>
          <w:rFonts w:ascii="Times New Roman;serif" w:hAnsi="Times New Roman;serif"/>
          <w:b/>
          <w:sz w:val="20"/>
        </w:rPr>
        <w:t>Repare Therapeutics Inc.</w:t>
      </w:r>
    </w:p>
    <w:p>
      <w:pPr>
        <w:pStyle w:val="TextBody"/>
        <w:bidi w:val="0"/>
        <w:spacing w:before="0" w:after="0"/>
        <w:jc w:val="center"/>
        <w:rPr>
          <w:rFonts w:ascii="Times New Roman" w:hAnsi="Times New Roman"/>
          <w:sz w:val="20"/>
        </w:rPr>
      </w:pPr>
      <w:bookmarkStart w:id="5" w:name="condensed_consolidated_balance_sheets"/>
      <w:bookmarkEnd w:id="5"/>
      <w:r>
        <w:rPr>
          <w:rFonts w:ascii="Times New Roman;serif" w:hAnsi="Times New Roman;serif"/>
          <w:b/>
          <w:sz w:val="20"/>
        </w:rPr>
        <w:t>Condensed Consolidated Balance Sheets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 of U.S. dollars, except share data)</w:t>
      </w:r>
      <w:r>
        <w:rPr>
          <w:rFonts w:ascii="Times New Roman" w:hAnsi="Times New Roman"/>
          <w:sz w:val="20"/>
        </w:rPr>
        <w:t xml:space="preserve"> </w:t>
      </w:r>
    </w:p>
    <w:p>
      <w:pPr>
        <w:pStyle w:val="TextBody"/>
        <w:bidi w:val="0"/>
        <w:spacing w:before="0" w:after="0"/>
        <w:jc w:val="both"/>
        <w:rPr/>
      </w:pPr>
      <w:r>
        <w:rPr/>
        <w:t> </w:t>
      </w:r>
    </w:p>
    <w:tbl>
      <w:tblPr>
        <w:tblW w:w="8742" w:type="dxa"/>
        <w:jc w:val="left"/>
        <w:tblInd w:w="0" w:type="dxa"/>
        <w:tblLayout w:type="fixed"/>
        <w:tblCellMar>
          <w:top w:w="28" w:type="dxa"/>
          <w:left w:w="28" w:type="dxa"/>
          <w:bottom w:w="28" w:type="dxa"/>
          <w:right w:w="28" w:type="dxa"/>
        </w:tblCellMar>
      </w:tblPr>
      <w:tblGrid>
        <w:gridCol w:w="5986"/>
        <w:gridCol w:w="146"/>
        <w:gridCol w:w="196"/>
        <w:gridCol w:w="751"/>
        <w:gridCol w:w="166"/>
        <w:gridCol w:w="146"/>
        <w:gridCol w:w="198"/>
        <w:gridCol w:w="762"/>
        <w:gridCol w:w="391"/>
      </w:tblGrid>
      <w:tr>
        <w:trPr/>
        <w:tc>
          <w:tcPr>
            <w:tcW w:w="5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xml:space="preserve">As of </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xml:space="preserve">As of </w:t>
              <w:br/>
              <w:t>December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8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ASSETS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59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CURRENT ASSETS: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98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Cash and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115,544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159,521</w:t>
            </w:r>
          </w:p>
        </w:tc>
        <w:tc>
          <w:tcPr>
            <w:tcW w:w="391" w:type="dxa"/>
            <w:tcBorders/>
            <w:vAlign w:val="center"/>
          </w:tcPr>
          <w:p>
            <w:pPr>
              <w:pStyle w:val="TableContents"/>
              <w:bidi w:val="0"/>
              <w:spacing w:before="0" w:after="0"/>
              <w:ind w:left="0" w:right="0" w:firstLine="200"/>
              <w:jc w:val="left"/>
              <w:rPr/>
            </w:pPr>
            <w:r>
              <w:rPr/>
              <w:t> </w:t>
            </w:r>
          </w:p>
        </w:tc>
      </w:tr>
      <w:tr>
        <w:trPr/>
        <w:tc>
          <w:tcPr>
            <w:tcW w:w="598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Marketable securities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165,148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184,420</w:t>
            </w:r>
          </w:p>
        </w:tc>
        <w:tc>
          <w:tcPr>
            <w:tcW w:w="391" w:type="dxa"/>
            <w:tcBorders/>
            <w:vAlign w:val="center"/>
          </w:tcPr>
          <w:p>
            <w:pPr>
              <w:pStyle w:val="TableContents"/>
              <w:bidi w:val="0"/>
              <w:spacing w:before="0" w:after="0"/>
              <w:ind w:left="0" w:right="0" w:firstLine="200"/>
              <w:jc w:val="left"/>
              <w:rPr/>
            </w:pPr>
            <w:r>
              <w:rPr/>
              <w:t> </w:t>
            </w:r>
          </w:p>
        </w:tc>
      </w:tr>
      <w:tr>
        <w:trPr/>
        <w:tc>
          <w:tcPr>
            <w:tcW w:w="598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Income tax receivable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598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current receivables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4,323</w:t>
            </w:r>
          </w:p>
        </w:tc>
        <w:tc>
          <w:tcPr>
            <w:tcW w:w="391" w:type="dxa"/>
            <w:tcBorders/>
            <w:vAlign w:val="center"/>
          </w:tcPr>
          <w:p>
            <w:pPr>
              <w:pStyle w:val="TableContents"/>
              <w:bidi w:val="0"/>
              <w:spacing w:before="0" w:after="0"/>
              <w:ind w:left="0" w:right="0" w:firstLine="200"/>
              <w:jc w:val="left"/>
              <w:rPr/>
            </w:pPr>
            <w:r>
              <w:rPr/>
              <w:t> </w:t>
            </w:r>
          </w:p>
        </w:tc>
      </w:tr>
      <w:tr>
        <w:trPr/>
        <w:tc>
          <w:tcPr>
            <w:tcW w:w="598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Prepaid expenses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5,715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current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291,925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353,979</w:t>
            </w:r>
          </w:p>
        </w:tc>
        <w:tc>
          <w:tcPr>
            <w:tcW w:w="391" w:type="dxa"/>
            <w:tcBorders/>
            <w:vAlign w:val="center"/>
          </w:tcPr>
          <w:p>
            <w:pPr>
              <w:pStyle w:val="TableContents"/>
              <w:bidi w:val="0"/>
              <w:spacing w:before="0" w:after="0"/>
              <w:ind w:left="0" w:right="0" w:hanging="0"/>
              <w:jc w:val="left"/>
              <w:rPr/>
            </w:pPr>
            <w:r>
              <w:rPr/>
              <w:t> </w:t>
            </w:r>
          </w:p>
        </w:tc>
      </w:tr>
      <w:tr>
        <w:trPr/>
        <w:tc>
          <w:tcPr>
            <w:tcW w:w="59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Property and equipment,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4,228</w:t>
            </w:r>
          </w:p>
        </w:tc>
        <w:tc>
          <w:tcPr>
            <w:tcW w:w="391" w:type="dxa"/>
            <w:tcBorders/>
            <w:vAlign w:val="center"/>
          </w:tcPr>
          <w:p>
            <w:pPr>
              <w:pStyle w:val="TableContents"/>
              <w:bidi w:val="0"/>
              <w:spacing w:before="0" w:after="0"/>
              <w:ind w:left="0" w:right="0" w:hanging="0"/>
              <w:jc w:val="left"/>
              <w:rPr/>
            </w:pPr>
            <w:r>
              <w:rPr/>
              <w:t> </w:t>
            </w:r>
          </w:p>
        </w:tc>
      </w:tr>
      <w:tr>
        <w:trPr/>
        <w:tc>
          <w:tcPr>
            <w:tcW w:w="59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5,371</w:t>
            </w:r>
          </w:p>
        </w:tc>
        <w:tc>
          <w:tcPr>
            <w:tcW w:w="391" w:type="dxa"/>
            <w:tcBorders/>
            <w:vAlign w:val="center"/>
          </w:tcPr>
          <w:p>
            <w:pPr>
              <w:pStyle w:val="TableContents"/>
              <w:bidi w:val="0"/>
              <w:spacing w:before="0" w:after="0"/>
              <w:ind w:left="0" w:right="0" w:hanging="0"/>
              <w:jc w:val="left"/>
              <w:rPr/>
            </w:pPr>
            <w:r>
              <w:rPr/>
              <w:t> </w:t>
            </w:r>
          </w:p>
        </w:tc>
      </w:tr>
      <w:tr>
        <w:trPr/>
        <w:tc>
          <w:tcPr>
            <w:tcW w:w="59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497</w:t>
            </w:r>
          </w:p>
        </w:tc>
        <w:tc>
          <w:tcPr>
            <w:tcW w:w="391" w:type="dxa"/>
            <w:tcBorders/>
            <w:vAlign w:val="center"/>
          </w:tcPr>
          <w:p>
            <w:pPr>
              <w:pStyle w:val="TableContents"/>
              <w:bidi w:val="0"/>
              <w:spacing w:before="0" w:after="0"/>
              <w:ind w:left="0" w:right="0" w:hanging="0"/>
              <w:jc w:val="left"/>
              <w:rPr/>
            </w:pPr>
            <w:r>
              <w:rPr/>
              <w:t> </w:t>
            </w:r>
          </w:p>
        </w:tc>
      </w:tr>
      <w:tr>
        <w:trPr/>
        <w:tc>
          <w:tcPr>
            <w:tcW w:w="598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TOTAL ASSETS</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301,588</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98"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364,075</w:t>
            </w:r>
          </w:p>
        </w:tc>
        <w:tc>
          <w:tcPr>
            <w:tcW w:w="3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598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LIABILITIES AND SHAREHOLDERS’ EQUITY</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59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CURRENT LIABILITIES: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98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461</w:t>
            </w:r>
          </w:p>
        </w:tc>
        <w:tc>
          <w:tcPr>
            <w:tcW w:w="391" w:type="dxa"/>
            <w:tcBorders/>
            <w:vAlign w:val="center"/>
          </w:tcPr>
          <w:p>
            <w:pPr>
              <w:pStyle w:val="TableContents"/>
              <w:bidi w:val="0"/>
              <w:spacing w:before="0" w:after="0"/>
              <w:ind w:left="0" w:right="0" w:firstLine="200"/>
              <w:jc w:val="left"/>
              <w:rPr/>
            </w:pPr>
            <w:r>
              <w:rPr/>
              <w:t> </w:t>
            </w:r>
          </w:p>
        </w:tc>
      </w:tr>
      <w:tr>
        <w:trPr/>
        <w:tc>
          <w:tcPr>
            <w:tcW w:w="598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21,628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21,645</w:t>
            </w:r>
          </w:p>
        </w:tc>
        <w:tc>
          <w:tcPr>
            <w:tcW w:w="391" w:type="dxa"/>
            <w:tcBorders/>
            <w:vAlign w:val="center"/>
          </w:tcPr>
          <w:p>
            <w:pPr>
              <w:pStyle w:val="TableContents"/>
              <w:bidi w:val="0"/>
              <w:spacing w:before="0" w:after="0"/>
              <w:ind w:left="0" w:right="0" w:firstLine="200"/>
              <w:jc w:val="left"/>
              <w:rPr/>
            </w:pPr>
            <w:r>
              <w:rPr/>
              <w:t> </w:t>
            </w:r>
          </w:p>
        </w:tc>
      </w:tr>
      <w:tr>
        <w:trPr/>
        <w:tc>
          <w:tcPr>
            <w:tcW w:w="598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 lease liability, current portion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2,171</w:t>
            </w:r>
          </w:p>
        </w:tc>
        <w:tc>
          <w:tcPr>
            <w:tcW w:w="391" w:type="dxa"/>
            <w:tcBorders/>
            <w:vAlign w:val="center"/>
          </w:tcPr>
          <w:p>
            <w:pPr>
              <w:pStyle w:val="TableContents"/>
              <w:bidi w:val="0"/>
              <w:spacing w:before="0" w:after="0"/>
              <w:ind w:left="0" w:right="0" w:firstLine="200"/>
              <w:jc w:val="left"/>
              <w:rPr/>
            </w:pPr>
            <w:r>
              <w:rPr/>
              <w:t> </w:t>
            </w:r>
          </w:p>
        </w:tc>
      </w:tr>
      <w:tr>
        <w:trPr/>
        <w:tc>
          <w:tcPr>
            <w:tcW w:w="598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Deferred revenue, current portion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24,412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53,102</w:t>
            </w:r>
          </w:p>
        </w:tc>
        <w:tc>
          <w:tcPr>
            <w:tcW w:w="391" w:type="dxa"/>
            <w:tcBorders/>
            <w:vAlign w:val="center"/>
          </w:tcPr>
          <w:p>
            <w:pPr>
              <w:pStyle w:val="TableContents"/>
              <w:bidi w:val="0"/>
              <w:spacing w:before="0" w:after="0"/>
              <w:ind w:left="0" w:right="0" w:firstLine="200"/>
              <w:jc w:val="left"/>
              <w:rPr/>
            </w:pPr>
            <w:r>
              <w:rPr/>
              <w:t> </w:t>
            </w:r>
          </w:p>
        </w:tc>
      </w:tr>
      <w:tr>
        <w:trPr/>
        <w:tc>
          <w:tcPr>
            <w:tcW w:w="598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Income tax payable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1,240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current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53,253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78,619</w:t>
            </w:r>
          </w:p>
        </w:tc>
        <w:tc>
          <w:tcPr>
            <w:tcW w:w="391" w:type="dxa"/>
            <w:tcBorders/>
            <w:vAlign w:val="center"/>
          </w:tcPr>
          <w:p>
            <w:pPr>
              <w:pStyle w:val="TableContents"/>
              <w:bidi w:val="0"/>
              <w:spacing w:before="0" w:after="0"/>
              <w:ind w:left="0" w:right="0" w:hanging="0"/>
              <w:jc w:val="left"/>
              <w:rPr/>
            </w:pPr>
            <w:r>
              <w:rPr/>
              <w:t> </w:t>
            </w:r>
          </w:p>
        </w:tc>
      </w:tr>
      <w:tr>
        <w:trPr/>
        <w:tc>
          <w:tcPr>
            <w:tcW w:w="59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lease liability, net of current portion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3,257</w:t>
            </w:r>
          </w:p>
        </w:tc>
        <w:tc>
          <w:tcPr>
            <w:tcW w:w="391" w:type="dxa"/>
            <w:tcBorders/>
            <w:vAlign w:val="center"/>
          </w:tcPr>
          <w:p>
            <w:pPr>
              <w:pStyle w:val="TableContents"/>
              <w:bidi w:val="0"/>
              <w:spacing w:before="0" w:after="0"/>
              <w:ind w:left="0" w:right="0" w:hanging="0"/>
              <w:jc w:val="left"/>
              <w:rPr/>
            </w:pPr>
            <w:r>
              <w:rPr/>
              <w:t> </w:t>
            </w:r>
          </w:p>
        </w:tc>
      </w:tr>
      <w:tr>
        <w:trPr/>
        <w:tc>
          <w:tcPr>
            <w:tcW w:w="59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Deferred revenue, net of current portion</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2,682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8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TOTAL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56,174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84,558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8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SHAREHOLDERS’ EQUITY</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98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8"/>
              </w:rPr>
              <w:t>Preferred shares, no</w:t>
            </w:r>
            <w:r>
              <w:rPr>
                <w:rFonts w:ascii="Times New Roman" w:hAnsi="Times New Roman"/>
                <w:sz w:val="20"/>
              </w:rPr>
              <w:t> </w:t>
            </w:r>
            <w:r>
              <w:rPr>
                <w:rFonts w:ascii="Times New Roman;serif" w:hAnsi="Times New Roman;serif"/>
                <w:b w:val="false"/>
                <w:sz w:val="18"/>
              </w:rPr>
              <w:t>par value per share; unlimited</w:t>
            </w:r>
            <w:r>
              <w:rPr>
                <w:rFonts w:ascii="Times New Roman" w:hAnsi="Times New Roman"/>
                <w:sz w:val="20"/>
              </w:rPr>
              <w:t> </w:t>
            </w:r>
            <w:r>
              <w:rPr>
                <w:rFonts w:ascii="Times New Roman;serif" w:hAnsi="Times New Roman;serif"/>
                <w:b w:val="false"/>
                <w:sz w:val="18"/>
              </w:rPr>
              <w:t>shares authorized</w:t>
              <w:br/>
              <w:t>   as of June 30, 2023 and December 31, 2022, respectively; 0</w:t>
            </w:r>
            <w:r>
              <w:rPr>
                <w:rFonts w:ascii="Times New Roman" w:hAnsi="Times New Roman"/>
                <w:sz w:val="20"/>
              </w:rPr>
              <w:t> </w:t>
            </w:r>
            <w:r>
              <w:rPr>
                <w:rFonts w:ascii="Times New Roman;serif" w:hAnsi="Times New Roman;serif"/>
                <w:b w:val="false"/>
                <w:sz w:val="18"/>
              </w:rPr>
              <w:t>shares issued</w:t>
              <w:br/>
              <w:t>   and outstanding as of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598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8"/>
              </w:rPr>
              <w:t>Common shares, no</w:t>
            </w:r>
            <w:r>
              <w:rPr>
                <w:rFonts w:ascii="Times New Roman" w:hAnsi="Times New Roman"/>
                <w:sz w:val="20"/>
              </w:rPr>
              <w:t> </w:t>
            </w:r>
            <w:r>
              <w:rPr>
                <w:rFonts w:ascii="Times New Roman;serif" w:hAnsi="Times New Roman;serif"/>
                <w:b w:val="false"/>
                <w:sz w:val="18"/>
              </w:rPr>
              <w:t>par value per share; unlimited</w:t>
            </w:r>
            <w:r>
              <w:rPr>
                <w:rFonts w:ascii="Times New Roman" w:hAnsi="Times New Roman"/>
                <w:sz w:val="20"/>
              </w:rPr>
              <w:t> </w:t>
            </w:r>
            <w:r>
              <w:rPr>
                <w:rFonts w:ascii="Times New Roman;serif" w:hAnsi="Times New Roman;serif"/>
                <w:b w:val="false"/>
                <w:sz w:val="18"/>
              </w:rPr>
              <w:t xml:space="preserve">shares authorized as of </w:t>
              <w:br/>
              <w:t>   June 30, 2023 and December 31, 2022; 42,093,946</w:t>
            </w:r>
            <w:r>
              <w:rPr>
                <w:rFonts w:ascii="Times New Roman" w:hAnsi="Times New Roman"/>
                <w:sz w:val="20"/>
              </w:rPr>
              <w:t> </w:t>
            </w:r>
            <w:r>
              <w:rPr>
                <w:rFonts w:ascii="Times New Roman;serif" w:hAnsi="Times New Roman;serif"/>
                <w:b w:val="false"/>
                <w:sz w:val="18"/>
              </w:rPr>
              <w:t>and 42,036,193</w:t>
            </w:r>
            <w:r>
              <w:rPr>
                <w:rFonts w:ascii="Times New Roman" w:hAnsi="Times New Roman"/>
                <w:sz w:val="20"/>
              </w:rPr>
              <w:t> </w:t>
            </w:r>
            <w:r>
              <w:rPr>
                <w:rFonts w:ascii="Times New Roman;serif" w:hAnsi="Times New Roman;serif"/>
                <w:b w:val="false"/>
                <w:sz w:val="18"/>
              </w:rPr>
              <w:t>shares</w:t>
              <w:br/>
              <w:t>   issued and outstanding as of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482,739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482,032</w:t>
            </w:r>
          </w:p>
        </w:tc>
        <w:tc>
          <w:tcPr>
            <w:tcW w:w="391" w:type="dxa"/>
            <w:tcBorders/>
            <w:vAlign w:val="center"/>
          </w:tcPr>
          <w:p>
            <w:pPr>
              <w:pStyle w:val="TableContents"/>
              <w:bidi w:val="0"/>
              <w:spacing w:before="0" w:after="0"/>
              <w:ind w:left="0" w:right="0" w:hanging="0"/>
              <w:jc w:val="left"/>
              <w:rPr/>
            </w:pPr>
            <w:r>
              <w:rPr/>
              <w:t> </w:t>
            </w:r>
          </w:p>
        </w:tc>
      </w:tr>
      <w:tr>
        <w:trPr/>
        <w:tc>
          <w:tcPr>
            <w:tcW w:w="59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Additional paid-in capital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49,299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37,226</w:t>
            </w:r>
          </w:p>
        </w:tc>
        <w:tc>
          <w:tcPr>
            <w:tcW w:w="391" w:type="dxa"/>
            <w:tcBorders/>
            <w:vAlign w:val="center"/>
          </w:tcPr>
          <w:p>
            <w:pPr>
              <w:pStyle w:val="TableContents"/>
              <w:bidi w:val="0"/>
              <w:spacing w:before="0" w:after="0"/>
              <w:ind w:left="0" w:right="0" w:hanging="0"/>
              <w:jc w:val="left"/>
              <w:rPr/>
            </w:pPr>
            <w:r>
              <w:rPr/>
              <w:t> </w:t>
            </w:r>
          </w:p>
        </w:tc>
      </w:tr>
      <w:tr>
        <w:trPr/>
        <w:tc>
          <w:tcPr>
            <w:tcW w:w="59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(428</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9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Accumulated deficit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(286,200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(239,313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9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shareholders’ equity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245,414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279,517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8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TOTAL LIABILITIES AND SHAREHOLDERS’ EQUITY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301,588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364,075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Repare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6" w:name="condensed_consolidated_statements_operat"/>
      <w:bookmarkEnd w:id="6"/>
      <w:r>
        <w:rPr>
          <w:rFonts w:ascii="Times New Roman;serif" w:hAnsi="Times New Roman;serif"/>
          <w:b/>
          <w:sz w:val="20"/>
        </w:rPr>
        <w:t>Condensed Consolidated Statements of</w:t>
      </w:r>
      <w:r>
        <w:rPr>
          <w:rFonts w:ascii="Times New Roman" w:hAnsi="Times New Roman"/>
          <w:sz w:val="20"/>
        </w:rPr>
        <w:t xml:space="preserve"> </w:t>
      </w:r>
      <w:r>
        <w:rPr>
          <w:rFonts w:ascii="Times New Roman;serif" w:hAnsi="Times New Roman;serif"/>
          <w:b/>
          <w:sz w:val="20"/>
        </w:rPr>
        <w:t>Operations and Comprehensive Loss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 of U.S. dollars, except share and per share data)</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Revenue:</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37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Collaboration agreements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1,087</w:t>
            </w:r>
          </w:p>
        </w:tc>
        <w:tc>
          <w:tcPr>
            <w:tcW w:w="411" w:type="dxa"/>
            <w:tcBorders/>
            <w:vAlign w:val="center"/>
          </w:tcPr>
          <w:p>
            <w:pPr>
              <w:pStyle w:val="TableContents"/>
              <w:bidi w:val="0"/>
              <w:spacing w:before="0" w:after="0"/>
              <w:ind w:left="0" w:right="0" w:hanging="0"/>
              <w:jc w:val="left"/>
              <w:rPr/>
            </w:pPr>
            <w:r>
              <w:rPr/>
              <w:t> </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37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 net of tax credits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57,933</w:t>
            </w:r>
          </w:p>
        </w:tc>
        <w:tc>
          <w:tcPr>
            <w:tcW w:w="411" w:type="dxa"/>
            <w:tcBorders/>
            <w:vAlign w:val="center"/>
          </w:tcPr>
          <w:p>
            <w:pPr>
              <w:pStyle w:val="TableContents"/>
              <w:bidi w:val="0"/>
              <w:spacing w:before="0" w:after="0"/>
              <w:ind w:left="0" w:right="0" w:firstLine="200"/>
              <w:jc w:val="left"/>
              <w:rPr/>
            </w:pPr>
            <w:r>
              <w:rPr/>
              <w:t> </w:t>
            </w:r>
          </w:p>
        </w:tc>
      </w:tr>
      <w:tr>
        <w:trPr/>
        <w:tc>
          <w:tcPr>
            <w:tcW w:w="37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16,717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82,866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74,650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(73,563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37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Realized and unrealized (loss) gain on foreign exchange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411" w:type="dxa"/>
            <w:tcBorders/>
            <w:vAlign w:val="center"/>
          </w:tcPr>
          <w:p>
            <w:pPr>
              <w:pStyle w:val="TableContents"/>
              <w:bidi w:val="0"/>
              <w:spacing w:before="0" w:after="0"/>
              <w:ind w:left="0" w:right="0" w:firstLine="200"/>
              <w:jc w:val="left"/>
              <w:rPr/>
            </w:pPr>
            <w:r>
              <w:rPr/>
              <w:t> </w:t>
            </w:r>
          </w:p>
        </w:tc>
      </w:tr>
      <w:tr>
        <w:trPr/>
        <w:tc>
          <w:tcPr>
            <w:tcW w:w="37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673</w:t>
            </w:r>
          </w:p>
        </w:tc>
        <w:tc>
          <w:tcPr>
            <w:tcW w:w="411" w:type="dxa"/>
            <w:tcBorders/>
            <w:vAlign w:val="center"/>
          </w:tcPr>
          <w:p>
            <w:pPr>
              <w:pStyle w:val="TableContents"/>
              <w:bidi w:val="0"/>
              <w:spacing w:before="0" w:after="0"/>
              <w:ind w:left="0" w:right="0" w:firstLine="200"/>
              <w:jc w:val="left"/>
              <w:rPr/>
            </w:pPr>
            <w:r>
              <w:rPr/>
              <w:t> </w:t>
            </w:r>
          </w:p>
        </w:tc>
      </w:tr>
      <w:tr>
        <w:trPr/>
        <w:tc>
          <w:tcPr>
            <w:tcW w:w="37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(72,785</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7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(46,887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(72,850</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Other comprehensive (loss) gain:</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37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(loss) gain on available-for-sale marketable</w:t>
              <w:br/>
              <w: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comprehensive (loss) gain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(46,883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(72,850</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attributable to common shareholders - basic and</w:t>
              <w:br/>
              <w:t>   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outstanding -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42,089,530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41,899,509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42,065,237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41,880,666</w:t>
            </w:r>
          </w:p>
        </w:tc>
        <w:tc>
          <w:tcPr>
            <w:tcW w:w="411" w:type="dxa"/>
            <w:tcBorders/>
            <w:vAlign w:val="center"/>
          </w:tcPr>
          <w:p>
            <w:pPr>
              <w:pStyle w:val="TableContents"/>
              <w:bidi w:val="0"/>
              <w:spacing w:before="0" w:after="0"/>
              <w:ind w:left="0" w:right="0" w:firstLine="200"/>
              <w:jc w:val="left"/>
              <w:rPr/>
            </w:pPr>
            <w:r>
              <w:rPr/>
              <w:t> </w:t>
            </w:r>
          </w:p>
        </w:tc>
      </w:tr>
      <w:tr>
        <w:trPr/>
        <w:tc>
          <w:tcPr>
            <w:tcW w:w="3724"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i/>
          <w:sz w:val="20"/>
        </w:rPr>
        <w:t>The accompanying notes are an integral part of these unaudited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Repare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7" w:name="condensed_consolidated_statements_conver"/>
      <w:bookmarkEnd w:id="7"/>
      <w:r>
        <w:rPr>
          <w:rFonts w:ascii="Times New Roman;serif" w:hAnsi="Times New Roman;serif"/>
          <w:b/>
          <w:sz w:val="20"/>
        </w:rPr>
        <w:t>Condensed Consolidated Statements of Shareholders’ Equity</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 of U.S. dollars, except share data)</w:t>
      </w:r>
      <w:r>
        <w:rPr>
          <w:rFonts w:ascii="Times New Roman" w:hAnsi="Times New Roman"/>
          <w:sz w:val="20"/>
        </w:rPr>
        <w:t xml:space="preserve"> </w:t>
      </w:r>
    </w:p>
    <w:p>
      <w:pPr>
        <w:pStyle w:val="TextBody"/>
        <w:bidi w:val="0"/>
        <w:spacing w:before="0" w:after="0"/>
        <w:jc w:val="both"/>
        <w:rPr/>
      </w:pPr>
      <w:r>
        <w:rPr/>
        <w:t> </w:t>
      </w:r>
    </w:p>
    <w:tbl>
      <w:tblPr>
        <w:tblW w:w="9739" w:type="dxa"/>
        <w:jc w:val="left"/>
        <w:tblInd w:w="0" w:type="dxa"/>
        <w:tblLayout w:type="fixed"/>
        <w:tblCellMar>
          <w:top w:w="28" w:type="dxa"/>
          <w:left w:w="28" w:type="dxa"/>
          <w:bottom w:w="28" w:type="dxa"/>
          <w:right w:w="28" w:type="dxa"/>
        </w:tblCellMar>
      </w:tblPr>
      <w:tblGrid>
        <w:gridCol w:w="2281"/>
        <w:gridCol w:w="146"/>
        <w:gridCol w:w="146"/>
        <w:gridCol w:w="766"/>
        <w:gridCol w:w="146"/>
        <w:gridCol w:w="146"/>
        <w:gridCol w:w="181"/>
        <w:gridCol w:w="586"/>
        <w:gridCol w:w="146"/>
        <w:gridCol w:w="146"/>
        <w:gridCol w:w="196"/>
        <w:gridCol w:w="555"/>
        <w:gridCol w:w="151"/>
        <w:gridCol w:w="146"/>
        <w:gridCol w:w="452"/>
        <w:gridCol w:w="943"/>
        <w:gridCol w:w="151"/>
        <w:gridCol w:w="146"/>
        <w:gridCol w:w="194"/>
        <w:gridCol w:w="677"/>
        <w:gridCol w:w="151"/>
        <w:gridCol w:w="146"/>
        <w:gridCol w:w="222"/>
        <w:gridCol w:w="723"/>
        <w:gridCol w:w="19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Common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w:t>
              <w:br/>
              <w:t>Paid-in</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95"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br/>
              <w:t>Other Comprehensive</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br/>
              <w:t>Shareholders’</w:t>
            </w:r>
          </w:p>
        </w:tc>
        <w:tc>
          <w:tcPr>
            <w:tcW w:w="196" w:type="dxa"/>
            <w:tcBorders/>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Loss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41,850,162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480,699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17,988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94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(210,266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2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288,421</w:t>
            </w:r>
          </w:p>
        </w:tc>
        <w:tc>
          <w:tcPr>
            <w:tcW w:w="196"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452"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w:t>
            </w:r>
          </w:p>
        </w:tc>
        <w:tc>
          <w:tcPr>
            <w:tcW w:w="196"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Share-based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4,755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2"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4,755</w:t>
            </w:r>
          </w:p>
        </w:tc>
        <w:tc>
          <w:tcPr>
            <w:tcW w:w="196"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Issuance of common shares under the</w:t>
              <w:br/>
              <w:t>   2020 Employee Share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16,807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452"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213</w:t>
            </w:r>
          </w:p>
        </w:tc>
        <w:tc>
          <w:tcPr>
            <w:tcW w:w="196"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 loss and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(34,757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(34,757</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41,879,204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481,048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22,635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9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(245,023</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258,660</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44,268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(127</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452"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205</w:t>
            </w:r>
          </w:p>
        </w:tc>
        <w:tc>
          <w:tcPr>
            <w:tcW w:w="196"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Share-based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4,745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2"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4,745</w:t>
            </w:r>
          </w:p>
        </w:tc>
        <w:tc>
          <w:tcPr>
            <w:tcW w:w="196"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 loss and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(38,093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(38,093</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41,923,472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481,380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27,253</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9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(283,116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225,517</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95"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 </w:t>
            </w:r>
          </w:p>
        </w:tc>
      </w:tr>
      <w:tr>
        <w:trPr/>
        <w:tc>
          <w:tcPr>
            <w:tcW w:w="22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95"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42,036,193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482,032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37,226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94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(428</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(239,313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2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279,517</w:t>
            </w:r>
          </w:p>
        </w:tc>
        <w:tc>
          <w:tcPr>
            <w:tcW w:w="196"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452"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w:t>
            </w:r>
          </w:p>
        </w:tc>
        <w:tc>
          <w:tcPr>
            <w:tcW w:w="196"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Share-based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6,062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2"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6,062</w:t>
            </w:r>
          </w:p>
        </w:tc>
        <w:tc>
          <w:tcPr>
            <w:tcW w:w="196"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Issuance of common shares under the</w:t>
              <w:br/>
              <w:t>   2020 Employee Share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41,703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452"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409</w:t>
            </w:r>
          </w:p>
        </w:tc>
        <w:tc>
          <w:tcPr>
            <w:tcW w:w="196"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Other comprehensive gain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2"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193</w:t>
            </w:r>
          </w:p>
        </w:tc>
        <w:tc>
          <w:tcPr>
            <w:tcW w:w="196"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(34,941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(34,941</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42,079,896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482,677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43,056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9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(274,254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251,244</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452"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w:t>
            </w:r>
          </w:p>
        </w:tc>
        <w:tc>
          <w:tcPr>
            <w:tcW w:w="196"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Share-based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6,265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2"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6,265</w:t>
            </w:r>
          </w:p>
        </w:tc>
        <w:tc>
          <w:tcPr>
            <w:tcW w:w="196"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Other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2"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(189</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(11,946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(11,946</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42,093,946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482,739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49,299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9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(286,200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245,414</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serif" w:hAnsi="Times New Roman;serif"/>
          <w:b w:val="false"/>
          <w:i/>
          <w:sz w:val="20"/>
        </w:rPr>
        <w:t>The accompanying notes are an integral part of these unaudited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Repare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8" w:name="condensed_consolidated_statements_cash_f"/>
      <w:bookmarkEnd w:id="8"/>
      <w:r>
        <w:rPr>
          <w:rFonts w:ascii="Times New Roman;serif" w:hAnsi="Times New Roman;serif"/>
          <w:b/>
          <w:sz w:val="20"/>
        </w:rPr>
        <w:t>Condensed 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 of U.S. dollars)</w:t>
      </w:r>
      <w:r>
        <w:rPr>
          <w:rFonts w:ascii="Times New Roman" w:hAnsi="Times New Roman"/>
          <w:sz w:val="20"/>
        </w:rPr>
        <w:t xml:space="preserve"> </w:t>
      </w:r>
    </w:p>
    <w:p>
      <w:pPr>
        <w:pStyle w:val="TextBody"/>
        <w:bidi w:val="0"/>
        <w:spacing w:before="0" w:after="0"/>
        <w:jc w:val="center"/>
        <w:rPr/>
      </w:pPr>
      <w:r>
        <w:rPr/>
        <w:t> </w:t>
      </w:r>
    </w:p>
    <w:tbl>
      <w:tblPr>
        <w:tblW w:w="9339" w:type="dxa"/>
        <w:jc w:val="left"/>
        <w:tblInd w:w="0" w:type="dxa"/>
        <w:tblLayout w:type="fixed"/>
        <w:tblCellMar>
          <w:top w:w="28" w:type="dxa"/>
          <w:left w:w="28" w:type="dxa"/>
          <w:bottom w:w="28" w:type="dxa"/>
          <w:right w:w="28" w:type="dxa"/>
        </w:tblCellMar>
      </w:tblPr>
      <w:tblGrid>
        <w:gridCol w:w="6436"/>
        <w:gridCol w:w="146"/>
        <w:gridCol w:w="196"/>
        <w:gridCol w:w="751"/>
        <w:gridCol w:w="166"/>
        <w:gridCol w:w="146"/>
        <w:gridCol w:w="196"/>
        <w:gridCol w:w="691"/>
        <w:gridCol w:w="611"/>
      </w:tblGrid>
      <w:tr>
        <w:trPr/>
        <w:tc>
          <w:tcPr>
            <w:tcW w:w="6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Six Months Ended</w:t>
              <w:br/>
              <w:t>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 for the period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(46,887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(72,850</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Share-based compensation expense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12,327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9,500</w:t>
            </w:r>
          </w:p>
        </w:tc>
        <w:tc>
          <w:tcPr>
            <w:tcW w:w="611" w:type="dxa"/>
            <w:tcBorders/>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Depreciation expense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1,039</w:t>
            </w:r>
          </w:p>
        </w:tc>
        <w:tc>
          <w:tcPr>
            <w:tcW w:w="611" w:type="dxa"/>
            <w:tcBorders/>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Non-cash lease expense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1,091</w:t>
            </w:r>
          </w:p>
        </w:tc>
        <w:tc>
          <w:tcPr>
            <w:tcW w:w="611" w:type="dxa"/>
            <w:tcBorders/>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Foreign exchange loss (gain)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(136</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Net (accretion)/amortization of marketable securities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w:t>
            </w:r>
          </w:p>
        </w:tc>
        <w:tc>
          <w:tcPr>
            <w:tcW w:w="611" w:type="dxa"/>
            <w:tcBorders/>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Deferred tax</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(2,609</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Prepaid expenses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3,072</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Other current receivables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(988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(389</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Other non-current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Accounts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2,698</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3,334</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Operating lease liability, current portion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460</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Income taxes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(1,322</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Operating lease liability, net of current portion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(1,123</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Deferred revenue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(30,677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(66,132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(58,199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(2,056</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Proceeds from maturities of marketable securities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169,000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5,150</w:t>
            </w:r>
          </w:p>
        </w:tc>
        <w:tc>
          <w:tcPr>
            <w:tcW w:w="611" w:type="dxa"/>
            <w:tcBorders/>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Purchase of marketable securities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(145,796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(4,000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21,664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Proceeds from exercise of stock options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233</w:t>
            </w:r>
          </w:p>
        </w:tc>
        <w:tc>
          <w:tcPr>
            <w:tcW w:w="611" w:type="dxa"/>
            <w:tcBorders/>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Proceeds from issuance of common stock under the 2020 Employee Share Purchase Plan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213</w:t>
            </w:r>
          </w:p>
        </w:tc>
        <w:tc>
          <w:tcPr>
            <w:tcW w:w="611" w:type="dxa"/>
            <w:tcBorders/>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5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453</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446</w:t>
            </w:r>
          </w:p>
        </w:tc>
        <w:tc>
          <w:tcPr>
            <w:tcW w:w="6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Effect of exchange rate fluctuations on cash held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w:t>
            </w:r>
          </w:p>
        </w:tc>
        <w:tc>
          <w:tcPr>
            <w:tcW w:w="611" w:type="dxa"/>
            <w:tcBorders/>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Net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(43,977</w:t>
            </w:r>
          </w:p>
        </w:tc>
        <w:tc>
          <w:tcPr>
            <w:tcW w:w="16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(58,593</w:t>
            </w:r>
          </w:p>
        </w:tc>
        <w:tc>
          <w:tcPr>
            <w:tcW w:w="61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Cash and cash equivalents at beginning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159,521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334,427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Cash and cash equivalents at end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115,544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8"/>
              </w:rPr>
            </w:pPr>
            <w:r>
              <w:rPr>
                <w:rFonts w:ascii="Times New Roman;serif" w:hAnsi="Times New Roman;serif"/>
                <w:b/>
                <w:sz w:val="18"/>
              </w:rPr>
              <w:t>275,834</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Supplemental Disclosure Of Cash Flow Information:</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Property and equipment purchases incurred but not yet paid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222</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Right-of-use asset obtained in exchange for new operating lease liability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REPARE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9" w:name="notes"/>
      <w:bookmarkEnd w:id="9"/>
      <w:r>
        <w:rPr>
          <w:rFonts w:ascii="Times New Roman;serif" w:hAnsi="Times New Roman;serif"/>
          <w:b/>
          <w:sz w:val="20"/>
        </w:rPr>
        <w:t>NOTES TO UNAUDITED CONDENSED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(Amounts in U.S. dollars, unless otherwise specified)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sz w:val="20"/>
        </w:rPr>
        <w:t>1. Organization and Nature of Business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Repare Therapeutics Inc. (“Repare” or the “Company”) is a precision medicine oncology company focused on the development of synthetic lethality-based therapies for patients with cancer. The Company was incorporated under the </w:t>
      </w:r>
      <w:r>
        <w:rPr>
          <w:rFonts w:ascii="Times New Roman;serif" w:hAnsi="Times New Roman;serif"/>
          <w:b w:val="false"/>
          <w:i/>
          <w:sz w:val="20"/>
        </w:rPr>
        <w:t>Canada Business Corporations Act</w:t>
      </w:r>
      <w:r>
        <w:rPr>
          <w:rFonts w:ascii="Times New Roman" w:hAnsi="Times New Roman"/>
          <w:sz w:val="20"/>
        </w:rPr>
        <w:t xml:space="preserve"> </w:t>
      </w:r>
      <w:r>
        <w:rPr>
          <w:rFonts w:ascii="Times New Roman;serif" w:hAnsi="Times New Roman;serif"/>
          <w:b w:val="false"/>
          <w:sz w:val="20"/>
        </w:rPr>
        <w:t xml:space="preserve">on September 6, 2016. On June 23, 2020, immediately prior to the completion of its initial public offering (the “IPO”), the Company was continued as a corporation under the </w:t>
      </w:r>
      <w:r>
        <w:rPr>
          <w:rFonts w:ascii="Times New Roman;serif" w:hAnsi="Times New Roman;serif"/>
          <w:b w:val="false"/>
          <w:i/>
          <w:sz w:val="20"/>
        </w:rPr>
        <w:t>Business Corporations Act (Québec)</w:t>
      </w:r>
      <w:r>
        <w:rPr>
          <w:rFonts w:ascii="Times New Roman;serif" w:hAnsi="Times New Roman;serif"/>
          <w:b w:val="false"/>
          <w:sz w:val="20"/>
        </w:rPr>
        <w:t>. The Company’s common shares are listed on the Nasdaq Global Select Market under the ticker symbol “RPTX”.</w:t>
      </w:r>
    </w:p>
    <w:p>
      <w:pPr>
        <w:pStyle w:val="TextBody"/>
        <w:bidi w:val="0"/>
        <w:spacing w:before="240" w:after="0"/>
        <w:jc w:val="both"/>
        <w:rPr>
          <w:rFonts w:ascii="Times New Roman" w:hAnsi="Times New Roman"/>
          <w:sz w:val="20"/>
        </w:rPr>
      </w:pPr>
      <w:r>
        <w:rPr>
          <w:rFonts w:ascii="Times New Roman;serif" w:hAnsi="Times New Roman;serif"/>
          <w:b/>
          <w:sz w:val="20"/>
        </w:rPr>
        <w:t>2. Summary of Significant Accounting Policies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sz w:val="20"/>
        </w:rPr>
        <w:t>Basis of Presentation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accompanying unaudited condensed consolidated financial statements have been prepared in conformity with generally accepted accounting principles in the United States of America (“U.S. GAAP”). Any reference in these notes to applicable guidance is meant to refer to the authoritative U.S. GAAP as found in the Accounting Standards Codification (“ASC”) and as amended by Accounting Standards Updates (“ASU”) of the Financial Accounting Standards Board (“FASB”).</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unaudited condensed consolidated financial statements have been prepared on the same basis as the audited annual consolidated financial statements as of and for the year ended December 31, 2022, and, in the opinion of management, reflect all adjustments, consisting of normal recurring adjustments, necessary for the fair presentation of the Company’s consolidated financial position as of June 30, 2023, the consolidated results of its operations for the three and six months ended June 30, 2023 and 2022, its statements of shareholders’ equity for the three and six months ended June 30, 2023 and 2022 and its consolidated cash flows for the six months ended June 30, 2023 and 2022.</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These unaudited condensed consolidated financial statements should be read in conjunction with the Company’s audited consolidated financial statements and the accompanying notes for the year ended December 31, 2022 included in the Company’s Annual Report on Form 10-K, filed with the Securities and Exchange Commission (the “SEC”) on February 28, 2023 (the “Annual Report”). The condensed consolidated balance sheet data as of December 31, 2022 presented for comparative purposes was derived from the Company’s audited consolidated financial statements but does not include all disclosures required by U.S. GAAP. The results for the three and six months ended June 30, 2023 are not necessarily indicative of the operating results to be expected for the full year or for any other subsequent interim period.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Company’s significant accounting policies are disclosed in the audited consolidated financial statements for the year ended December 31, 2022 included in the Annual Report. There have been no changes to the Company's significant accounting policies since the date of the audited consolidated financial statements for the year ended December 31, 2022</w:t>
      </w:r>
      <w:r>
        <w:rPr>
          <w:rFonts w:ascii="Times New Roman" w:hAnsi="Times New Roman"/>
          <w:sz w:val="20"/>
        </w:rPr>
        <w:t xml:space="preserve"> </w:t>
      </w:r>
      <w:r>
        <w:rPr>
          <w:rFonts w:ascii="Times New Roman;serif" w:hAnsi="Times New Roman;serif"/>
          <w:b w:val="false"/>
          <w:sz w:val="20"/>
        </w:rPr>
        <w:t>included in the Annual Report.</w:t>
      </w:r>
    </w:p>
    <w:p>
      <w:pPr>
        <w:pStyle w:val="TextBody"/>
        <w:bidi w:val="0"/>
        <w:spacing w:before="240" w:after="0"/>
        <w:jc w:val="both"/>
        <w:rPr>
          <w:rFonts w:ascii="Times New Roman;serif" w:hAnsi="Times New Roman;serif"/>
          <w:b/>
          <w:sz w:val="20"/>
        </w:rPr>
      </w:pPr>
      <w:r>
        <w:rPr>
          <w:rFonts w:ascii="Times New Roman;serif" w:hAnsi="Times New Roman;serif"/>
          <w:b/>
          <w:sz w:val="20"/>
        </w:rPr>
        <w:t>Principles of Consolidation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These unaudited condensed consolidated financial statements of the Company include the accounts of the Company and its wholly-owned subsidiary, Repare Therapeutics USA Inc. (“Repare USA”), which was incorporated under the laws of Delaware on June 1, 2017. The financial statements of Repare USA are prepared for the same reporting period as the parent company, using consistent accounting policies. All intra-group transactions, balances, income, and expenses are eliminated in full upon consolidation.</w:t>
      </w:r>
    </w:p>
    <w:p>
      <w:pPr>
        <w:pStyle w:val="TextBody"/>
        <w:bidi w:val="0"/>
        <w:spacing w:before="240" w:after="0"/>
        <w:jc w:val="both"/>
        <w:rPr>
          <w:rFonts w:ascii="Times New Roman" w:hAnsi="Times New Roman"/>
          <w:sz w:val="20"/>
        </w:rPr>
      </w:pPr>
      <w:r>
        <w:rPr>
          <w:rFonts w:ascii="Times New Roman;serif" w:hAnsi="Times New Roman;serif"/>
          <w:b/>
          <w:sz w:val="20"/>
        </w:rPr>
        <w:t>Use of Estimates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preparation of consolidated financial statements in conformity with U.S. GAAP requires management to make estimates and assumptions that affect the amounts reported in consolidated financial statements and accompanying notes. Significant estimates and assumptions reflected in these unaudited condensed consolidated financial statements include, but are not limited to, estimates related to revenue recognition, accrued research and development expenses, share-based compensation, right-of-use assets and lease liabilities and income taxes. The Company bases its estimates on historical experience and other market specific or other relevant assumptions that it believes to be reasonable under the circumstances. Actual results could differ from those estimates. Changes in estimates are recorded in the period in which they become known.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sz w:val="20"/>
        </w:rPr>
      </w:pPr>
      <w:r>
        <w:rPr>
          <w:rFonts w:ascii="Times New Roman;serif" w:hAnsi="Times New Roman;serif"/>
          <w:b/>
          <w:sz w:val="20"/>
        </w:rPr>
        <w:t>3. Cash and Cash Equivalents and Marketable Securities</w:t>
      </w:r>
    </w:p>
    <w:p>
      <w:pPr>
        <w:pStyle w:val="TextBody"/>
        <w:bidi w:val="0"/>
        <w:spacing w:before="120" w:after="240"/>
        <w:jc w:val="both"/>
        <w:rPr>
          <w:rFonts w:ascii="Times New Roman;serif" w:hAnsi="Times New Roman;serif"/>
          <w:b w:val="false"/>
          <w:sz w:val="20"/>
        </w:rPr>
      </w:pPr>
      <w:r>
        <w:rPr>
          <w:rFonts w:ascii="Times New Roman;serif" w:hAnsi="Times New Roman;serif"/>
          <w:b w:val="false"/>
          <w:sz w:val="20"/>
        </w:rPr>
        <w:t>As of June 30, 2023 and December 31, 2022, cash and cash equivalents and marketable securities were comprised of the following:</w:t>
      </w:r>
    </w:p>
    <w:tbl>
      <w:tblPr>
        <w:tblW w:w="10205" w:type="dxa"/>
        <w:jc w:val="left"/>
        <w:tblInd w:w="0" w:type="dxa"/>
        <w:tblLayout w:type="fixed"/>
        <w:tblCellMar>
          <w:top w:w="28" w:type="dxa"/>
          <w:left w:w="28" w:type="dxa"/>
          <w:bottom w:w="28" w:type="dxa"/>
          <w:right w:w="28" w:type="dxa"/>
        </w:tblCellMar>
      </w:tblPr>
      <w:tblGrid>
        <w:gridCol w:w="4010"/>
        <w:gridCol w:w="146"/>
        <w:gridCol w:w="255"/>
        <w:gridCol w:w="946"/>
        <w:gridCol w:w="146"/>
        <w:gridCol w:w="146"/>
        <w:gridCol w:w="480"/>
        <w:gridCol w:w="790"/>
        <w:gridCol w:w="146"/>
        <w:gridCol w:w="146"/>
        <w:gridCol w:w="394"/>
        <w:gridCol w:w="901"/>
        <w:gridCol w:w="166"/>
        <w:gridCol w:w="146"/>
        <w:gridCol w:w="211"/>
        <w:gridCol w:w="781"/>
        <w:gridCol w:w="395"/>
      </w:tblGrid>
      <w:tr>
        <w:trPr/>
        <w:tc>
          <w:tcPr>
            <w:tcW w:w="4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0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65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5" w:type="dxa"/>
            <w:tcBorders/>
            <w:vAlign w:val="center"/>
          </w:tcPr>
          <w:p>
            <w:pPr>
              <w:pStyle w:val="TableContents"/>
              <w:bidi w:val="0"/>
              <w:spacing w:before="0" w:after="0"/>
              <w:ind w:left="0" w:right="0" w:hanging="0"/>
              <w:jc w:val="center"/>
              <w:rPr/>
            </w:pPr>
            <w:r>
              <w:rPr/>
              <w:t> </w:t>
            </w:r>
          </w:p>
        </w:tc>
      </w:tr>
      <w:tr>
        <w:trPr/>
        <w:tc>
          <w:tcPr>
            <w:tcW w:w="4010"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As of June 30, 2023</w:t>
            </w:r>
          </w:p>
        </w:tc>
        <w:tc>
          <w:tcPr>
            <w:tcW w:w="146" w:type="dxa"/>
            <w:tcBorders/>
            <w:vAlign w:val="center"/>
          </w:tcPr>
          <w:p>
            <w:pPr>
              <w:pStyle w:val="TableContents"/>
              <w:bidi w:val="0"/>
              <w:spacing w:before="0" w:after="0"/>
              <w:ind w:left="0" w:right="0" w:hanging="0"/>
              <w:jc w:val="center"/>
              <w:rPr/>
            </w:pPr>
            <w:r>
              <w:rPr/>
              <w:t> </w:t>
            </w:r>
          </w:p>
        </w:tc>
        <w:tc>
          <w:tcPr>
            <w:tcW w:w="120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95"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95" w:type="dxa"/>
            <w:tcBorders/>
            <w:vAlign w:val="center"/>
          </w:tcPr>
          <w:p>
            <w:pPr>
              <w:pStyle w:val="TableContents"/>
              <w:bidi w:val="0"/>
              <w:spacing w:before="0" w:after="0"/>
              <w:ind w:left="0" w:right="0" w:hanging="0"/>
              <w:jc w:val="center"/>
              <w:rPr/>
            </w:pPr>
            <w:r>
              <w:rPr/>
              <w:t> </w:t>
            </w:r>
          </w:p>
        </w:tc>
      </w:tr>
      <w:tr>
        <w:trPr/>
        <w:tc>
          <w:tcPr>
            <w:tcW w:w="4010"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center"/>
              <w:rPr/>
            </w:pPr>
            <w:r>
              <w:rPr/>
              <w:t> </w:t>
            </w:r>
          </w:p>
        </w:tc>
        <w:tc>
          <w:tcPr>
            <w:tcW w:w="120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95"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95" w:type="dxa"/>
            <w:tcBorders/>
            <w:vAlign w:val="center"/>
          </w:tcPr>
          <w:p>
            <w:pPr>
              <w:pStyle w:val="TableContents"/>
              <w:bidi w:val="0"/>
              <w:spacing w:before="0" w:after="0"/>
              <w:ind w:left="0" w:right="0" w:firstLine="200"/>
              <w:jc w:val="center"/>
              <w:rPr/>
            </w:pPr>
            <w:r>
              <w:rPr/>
              <w:t> </w:t>
            </w:r>
          </w:p>
        </w:tc>
      </w:tr>
      <w:tr>
        <w:trPr/>
        <w:tc>
          <w:tcPr>
            <w:tcW w:w="4010"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20"/>
              </w:rPr>
              <w:t>Cash</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48,254</w:t>
            </w:r>
          </w:p>
        </w:tc>
        <w:tc>
          <w:tcPr>
            <w:tcW w:w="395" w:type="dxa"/>
            <w:tcBorders/>
            <w:vAlign w:val="center"/>
          </w:tcPr>
          <w:p>
            <w:pPr>
              <w:pStyle w:val="TableContents"/>
              <w:bidi w:val="0"/>
              <w:spacing w:before="0" w:after="0"/>
              <w:ind w:left="0" w:right="0" w:firstLine="200"/>
              <w:jc w:val="left"/>
              <w:rPr/>
            </w:pPr>
            <w:r>
              <w:rPr/>
              <w:t> </w:t>
            </w:r>
          </w:p>
        </w:tc>
      </w:tr>
      <w:tr>
        <w:trPr/>
        <w:tc>
          <w:tcPr>
            <w:tcW w:w="4010"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67,290</w:t>
            </w:r>
          </w:p>
        </w:tc>
        <w:tc>
          <w:tcPr>
            <w:tcW w:w="395" w:type="dxa"/>
            <w:tcBorders/>
            <w:vAlign w:val="center"/>
          </w:tcPr>
          <w:p>
            <w:pPr>
              <w:pStyle w:val="TableContents"/>
              <w:bidi w:val="0"/>
              <w:spacing w:before="0" w:after="0"/>
              <w:ind w:left="0" w:right="0" w:hanging="0"/>
              <w:jc w:val="left"/>
              <w:rPr/>
            </w:pPr>
            <w:r>
              <w:rPr/>
              <w:t> </w:t>
            </w:r>
          </w:p>
        </w:tc>
      </w:tr>
      <w:tr>
        <w:trPr/>
        <w:tc>
          <w:tcPr>
            <w:tcW w:w="4010"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cash and cash equivalents:</w:t>
            </w:r>
          </w:p>
        </w:tc>
        <w:tc>
          <w:tcPr>
            <w:tcW w:w="146" w:type="dxa"/>
            <w:tcBorders/>
            <w:vAlign w:val="center"/>
          </w:tcPr>
          <w:p>
            <w:pPr>
              <w:pStyle w:val="TableContents"/>
              <w:bidi w:val="0"/>
              <w:spacing w:before="0" w:after="0"/>
              <w:ind w:left="0" w:right="0" w:hanging="0"/>
              <w:jc w:val="left"/>
              <w:rPr/>
            </w:pPr>
            <w:r>
              <w:rPr/>
              <w:t> </w:t>
            </w:r>
          </w:p>
        </w:tc>
        <w:tc>
          <w:tcPr>
            <w:tcW w:w="255"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115,544</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0"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115,544</w:t>
            </w:r>
          </w:p>
        </w:tc>
        <w:tc>
          <w:tcPr>
            <w:tcW w:w="395"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4010"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120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9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firstLine="200"/>
              <w:jc w:val="right"/>
              <w:rPr/>
            </w:pPr>
            <w:r>
              <w:rPr/>
              <w:t> </w:t>
            </w:r>
          </w:p>
        </w:tc>
      </w:tr>
      <w:tr>
        <w:trPr/>
        <w:tc>
          <w:tcPr>
            <w:tcW w:w="4010"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20"/>
              </w:rPr>
              <w:t>U.S. Treasury and government-sponsored enterprises</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74,552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74,395</w:t>
            </w:r>
          </w:p>
        </w:tc>
        <w:tc>
          <w:tcPr>
            <w:tcW w:w="395" w:type="dxa"/>
            <w:tcBorders/>
            <w:vAlign w:val="center"/>
          </w:tcPr>
          <w:p>
            <w:pPr>
              <w:pStyle w:val="TableContents"/>
              <w:bidi w:val="0"/>
              <w:spacing w:before="0" w:after="0"/>
              <w:ind w:left="0" w:right="0" w:firstLine="200"/>
              <w:jc w:val="left"/>
              <w:rPr/>
            </w:pPr>
            <w:r>
              <w:rPr/>
              <w:t> </w:t>
            </w:r>
          </w:p>
        </w:tc>
      </w:tr>
      <w:tr>
        <w:trPr/>
        <w:tc>
          <w:tcPr>
            <w:tcW w:w="4010"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90,753</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10"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165,572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165,148</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9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hanging="0"/>
              <w:jc w:val="right"/>
              <w:rPr/>
            </w:pPr>
            <w:r>
              <w:rPr/>
              <w:t> </w:t>
            </w:r>
          </w:p>
        </w:tc>
      </w:tr>
      <w:tr>
        <w:trPr/>
        <w:tc>
          <w:tcPr>
            <w:tcW w:w="4010"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As of December 31, 2022</w:t>
            </w:r>
          </w:p>
        </w:tc>
        <w:tc>
          <w:tcPr>
            <w:tcW w:w="146" w:type="dxa"/>
            <w:tcBorders/>
            <w:vAlign w:val="center"/>
          </w:tcPr>
          <w:p>
            <w:pPr>
              <w:pStyle w:val="TableContents"/>
              <w:bidi w:val="0"/>
              <w:spacing w:before="0" w:after="0"/>
              <w:ind w:left="0" w:right="0" w:hanging="0"/>
              <w:jc w:val="left"/>
              <w:rPr/>
            </w:pPr>
            <w:r>
              <w:rPr/>
              <w:t> </w:t>
            </w:r>
          </w:p>
        </w:tc>
        <w:tc>
          <w:tcPr>
            <w:tcW w:w="120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9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hanging="0"/>
              <w:jc w:val="right"/>
              <w:rPr/>
            </w:pPr>
            <w:r>
              <w:rPr/>
              <w:t> </w:t>
            </w:r>
          </w:p>
        </w:tc>
      </w:tr>
      <w:tr>
        <w:trPr/>
        <w:tc>
          <w:tcPr>
            <w:tcW w:w="4010"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center"/>
              <w:rPr/>
            </w:pPr>
            <w:r>
              <w:rPr/>
              <w:t> </w:t>
            </w:r>
          </w:p>
        </w:tc>
        <w:tc>
          <w:tcPr>
            <w:tcW w:w="120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95"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95" w:type="dxa"/>
            <w:tcBorders/>
            <w:vAlign w:val="center"/>
          </w:tcPr>
          <w:p>
            <w:pPr>
              <w:pStyle w:val="TableContents"/>
              <w:bidi w:val="0"/>
              <w:spacing w:before="0" w:after="0"/>
              <w:ind w:left="0" w:right="0" w:firstLine="200"/>
              <w:jc w:val="center"/>
              <w:rPr/>
            </w:pPr>
            <w:r>
              <w:rPr/>
              <w:t> </w:t>
            </w:r>
          </w:p>
        </w:tc>
      </w:tr>
      <w:tr>
        <w:trPr/>
        <w:tc>
          <w:tcPr>
            <w:tcW w:w="4010"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20"/>
              </w:rPr>
              <w:t>Cash</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116,526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116,526</w:t>
            </w:r>
          </w:p>
        </w:tc>
        <w:tc>
          <w:tcPr>
            <w:tcW w:w="395" w:type="dxa"/>
            <w:tcBorders/>
            <w:vAlign w:val="center"/>
          </w:tcPr>
          <w:p>
            <w:pPr>
              <w:pStyle w:val="TableContents"/>
              <w:bidi w:val="0"/>
              <w:spacing w:before="0" w:after="0"/>
              <w:ind w:left="0" w:right="0" w:firstLine="200"/>
              <w:jc w:val="left"/>
              <w:rPr/>
            </w:pPr>
            <w:r>
              <w:rPr/>
              <w:t> </w:t>
            </w:r>
          </w:p>
        </w:tc>
      </w:tr>
      <w:tr>
        <w:trPr/>
        <w:tc>
          <w:tcPr>
            <w:tcW w:w="4010"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42,995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42,995</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10"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cash and cash equivalents:</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159,521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159,521</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10"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120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9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firstLine="200"/>
              <w:jc w:val="right"/>
              <w:rPr/>
            </w:pPr>
            <w:r>
              <w:rPr/>
              <w:t> </w:t>
            </w:r>
          </w:p>
        </w:tc>
      </w:tr>
      <w:tr>
        <w:trPr/>
        <w:tc>
          <w:tcPr>
            <w:tcW w:w="4010"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20"/>
              </w:rPr>
              <w:t>U.S. Treasury and government-sponsored enterprises</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184,848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184,420</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10"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184,848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184,420</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Times New Roman;serif" w:hAnsi="Times New Roman;serif"/>
          <w:b w:val="false"/>
          <w:sz w:val="20"/>
        </w:rPr>
        <w:t>Interest receivable was $0.3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of June 30, 2023 and December 31, 2022, respectively, and is included in other current receivables.</w:t>
      </w:r>
    </w:p>
    <w:p>
      <w:pPr>
        <w:pStyle w:val="TextBody"/>
        <w:bidi w:val="0"/>
        <w:spacing w:before="240" w:after="0"/>
        <w:jc w:val="both"/>
        <w:rPr>
          <w:rFonts w:ascii="Times New Roman" w:hAnsi="Times New Roman"/>
          <w:sz w:val="20"/>
        </w:rPr>
      </w:pPr>
      <w:r>
        <w:rPr>
          <w:rFonts w:ascii="Times New Roman;serif" w:hAnsi="Times New Roman;serif"/>
          <w:b w:val="false"/>
          <w:sz w:val="20"/>
        </w:rPr>
        <w:t>The Company held available-for-sale marketable securities with an aggregate fair value of $135.3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$157.9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that were in an unrealized loss position as of June 30, 2023 and December 31, 2022, respectively. These marketable securities have been in an unrealized loss position for less than twelve months. The unrealized losses as of June 30, 2023 and December 31, 2022, were not attributed to credit risk but were primarily associated with changes in interest rates and market liquidity. The Company does not intend to sell these securities and it is more likely than not that it will hold these investments for a period of time sufficient to recover the amortized cost. As a result, the Company did not record an allowance for credit losses or other impairment charges for its marketable securities for the three and six months ended June 30, 2023 and 2022.</w:t>
      </w:r>
    </w:p>
    <w:p>
      <w:pPr>
        <w:pStyle w:val="TextBody"/>
        <w:bidi w:val="0"/>
        <w:spacing w:before="240" w:after="0"/>
        <w:jc w:val="both"/>
        <w:rPr>
          <w:rFonts w:ascii="Times New Roman" w:hAnsi="Times New Roman"/>
          <w:sz w:val="20"/>
        </w:rPr>
      </w:pPr>
      <w:r>
        <w:rPr>
          <w:rFonts w:ascii="Times New Roman;serif" w:hAnsi="Times New Roman;serif"/>
          <w:b w:val="false"/>
          <w:sz w:val="20"/>
        </w:rPr>
        <w:t>The Company recognized $0.2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net unrealized loss and nil</w:t>
      </w:r>
      <w:r>
        <w:rPr>
          <w:rFonts w:ascii="Times New Roman" w:hAnsi="Times New Roman"/>
          <w:sz w:val="20"/>
        </w:rPr>
        <w:t xml:space="preserve"> </w:t>
      </w:r>
      <w:r>
        <w:rPr>
          <w:rFonts w:ascii="Times New Roman;serif" w:hAnsi="Times New Roman;serif"/>
          <w:b w:val="false"/>
          <w:sz w:val="20"/>
        </w:rPr>
        <w:t>for the three months ended June 30, 2023 and 2022, respectively, and nil</w:t>
      </w:r>
      <w:r>
        <w:rPr>
          <w:rFonts w:ascii="Times New Roman" w:hAnsi="Times New Roman"/>
          <w:sz w:val="20"/>
        </w:rPr>
        <w:t xml:space="preserve"> </w:t>
      </w:r>
      <w:r>
        <w:rPr>
          <w:rFonts w:ascii="Times New Roman;serif" w:hAnsi="Times New Roman;serif"/>
          <w:b w:val="false"/>
          <w:sz w:val="20"/>
        </w:rPr>
        <w:t>for the six months ended June 30, 2023 and 2022 in other comprehensive loss.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maturities of the Company’s marketable securities as of June 30, 2023 and December 31, 2022</w:t>
      </w:r>
      <w:r>
        <w:rPr>
          <w:rFonts w:ascii="Times New Roman" w:hAnsi="Times New Roman"/>
          <w:sz w:val="20"/>
        </w:rPr>
        <w:t xml:space="preserve"> </w:t>
      </w:r>
      <w:r>
        <w:rPr>
          <w:rFonts w:ascii="Times New Roman;serif" w:hAnsi="Times New Roman;serif"/>
          <w:b w:val="false"/>
          <w:sz w:val="20"/>
        </w:rPr>
        <w:t>are less than one year.</w:t>
      </w:r>
    </w:p>
    <w:p>
      <w:pPr>
        <w:pStyle w:val="TextBody"/>
        <w:bidi w:val="0"/>
        <w:spacing w:before="240" w:after="0"/>
        <w:jc w:val="both"/>
        <w:rPr>
          <w:rFonts w:ascii="Times New Roman;serif" w:hAnsi="Times New Roman;serif"/>
          <w:b/>
          <w:sz w:val="20"/>
        </w:rPr>
      </w:pPr>
      <w:r>
        <w:rPr>
          <w:rFonts w:ascii="Times New Roman;serif" w:hAnsi="Times New Roman;serif"/>
          <w:b/>
          <w:sz w:val="20"/>
        </w:rPr>
        <w:t>4. Fair Value Measurements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Level 1 – Quoted prices in active markets for identical assets or liabilities.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Level 3 – Unobservable inputs that are supported by little or no market activity that are significant to determining the fair value of the assets or liabilities, including pricing models, discounted cash flow methodologies and similar techniques.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240"/>
        <w:jc w:val="both"/>
        <w:rPr>
          <w:rFonts w:ascii="Times New Roman;serif" w:hAnsi="Times New Roman;serif"/>
          <w:b w:val="false"/>
          <w:sz w:val="20"/>
        </w:rPr>
      </w:pPr>
      <w:r>
        <w:rPr>
          <w:rFonts w:ascii="Times New Roman;serif" w:hAnsi="Times New Roman;serif"/>
          <w:b w:val="false"/>
          <w:sz w:val="20"/>
        </w:rPr>
        <w:t>The following table presents information about the Company’s financial assets measured at fair value on a recurring basis and indicates the level of the fair value hierarchy utilized to determine such fair values as of June 30, 2023 and December 31, 2022:</w:t>
      </w:r>
    </w:p>
    <w:tbl>
      <w:tblPr>
        <w:tblW w:w="10205" w:type="dxa"/>
        <w:jc w:val="left"/>
        <w:tblInd w:w="0" w:type="dxa"/>
        <w:tblLayout w:type="fixed"/>
        <w:tblCellMar>
          <w:top w:w="28" w:type="dxa"/>
          <w:left w:w="28" w:type="dxa"/>
          <w:bottom w:w="28" w:type="dxa"/>
          <w:right w:w="28" w:type="dxa"/>
        </w:tblCellMar>
      </w:tblPr>
      <w:tblGrid>
        <w:gridCol w:w="4839"/>
        <w:gridCol w:w="146"/>
        <w:gridCol w:w="265"/>
        <w:gridCol w:w="982"/>
        <w:gridCol w:w="146"/>
        <w:gridCol w:w="146"/>
        <w:gridCol w:w="211"/>
        <w:gridCol w:w="676"/>
        <w:gridCol w:w="146"/>
        <w:gridCol w:w="146"/>
        <w:gridCol w:w="211"/>
        <w:gridCol w:w="781"/>
        <w:gridCol w:w="146"/>
        <w:gridCol w:w="146"/>
        <w:gridCol w:w="237"/>
        <w:gridCol w:w="388"/>
        <w:gridCol w:w="593"/>
      </w:tblGrid>
      <w:tr>
        <w:trPr/>
        <w:tc>
          <w:tcPr>
            <w:tcW w:w="4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Financial Assets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27"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593" w:type="dxa"/>
            <w:tcBorders/>
            <w:vAlign w:val="center"/>
          </w:tcPr>
          <w:p>
            <w:pPr>
              <w:pStyle w:val="TableContents"/>
              <w:bidi w:val="0"/>
              <w:spacing w:before="0" w:after="0"/>
              <w:ind w:left="0" w:right="0" w:hanging="0"/>
              <w:jc w:val="center"/>
              <w:rPr/>
            </w:pPr>
            <w:r>
              <w:rPr/>
              <w:t> </w:t>
            </w:r>
          </w:p>
        </w:tc>
      </w:tr>
      <w:tr>
        <w:trPr/>
        <w:tc>
          <w:tcPr>
            <w:tcW w:w="4839"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As of June 30, 2023</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25" w:type="dxa"/>
            <w:gridSpan w:val="2"/>
            <w:tcBorders/>
            <w:vAlign w:val="center"/>
          </w:tcPr>
          <w:p>
            <w:pPr>
              <w:pStyle w:val="TableContents"/>
              <w:bidi w:val="0"/>
              <w:spacing w:before="0" w:after="0"/>
              <w:ind w:left="0" w:right="0" w:hanging="0"/>
              <w:jc w:val="center"/>
              <w:rPr/>
            </w:pPr>
            <w:r>
              <w:rPr/>
              <w:t> </w:t>
            </w:r>
          </w:p>
        </w:tc>
        <w:tc>
          <w:tcPr>
            <w:tcW w:w="593" w:type="dxa"/>
            <w:tcBorders/>
            <w:vAlign w:val="center"/>
          </w:tcPr>
          <w:p>
            <w:pPr>
              <w:pStyle w:val="TableContents"/>
              <w:bidi w:val="0"/>
              <w:spacing w:before="0" w:after="0"/>
              <w:ind w:left="0" w:right="0" w:hanging="0"/>
              <w:jc w:val="center"/>
              <w:rPr/>
            </w:pPr>
            <w:r>
              <w:rPr/>
              <w:t> </w:t>
            </w:r>
          </w:p>
        </w:tc>
      </w:tr>
      <w:tr>
        <w:trPr/>
        <w:tc>
          <w:tcPr>
            <w:tcW w:w="483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4839"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20"/>
              </w:rPr>
              <w:t>Money market funds included in cash and cash equivalents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8"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firstLine="200"/>
              <w:jc w:val="left"/>
              <w:rPr/>
            </w:pPr>
            <w:r>
              <w:rPr/>
              <w:t> </w:t>
            </w:r>
          </w:p>
        </w:tc>
      </w:tr>
      <w:tr>
        <w:trPr/>
        <w:tc>
          <w:tcPr>
            <w:tcW w:w="4839"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400"/>
              <w:jc w:val="right"/>
              <w:rPr/>
            </w:pPr>
            <w:r>
              <w:rPr/>
              <w:t> </w:t>
            </w:r>
          </w:p>
        </w:tc>
      </w:tr>
      <w:tr>
        <w:trPr/>
        <w:tc>
          <w:tcPr>
            <w:tcW w:w="4839" w:type="dxa"/>
            <w:tcBorders/>
            <w:vAlign w:val="center"/>
          </w:tcPr>
          <w:p>
            <w:pPr>
              <w:pStyle w:val="TableContents"/>
              <w:bidi w:val="0"/>
              <w:spacing w:before="0" w:after="0"/>
              <w:ind w:left="400" w:right="0" w:hanging="0"/>
              <w:jc w:val="left"/>
              <w:rPr/>
            </w:pPr>
            <w:r>
              <w:rPr/>
              <w:t> </w:t>
            </w:r>
            <w:r>
              <w:rPr>
                <w:rFonts w:ascii="Times New Roman;serif" w:hAnsi="Times New Roman;serif"/>
                <w:b w:val="false"/>
                <w:sz w:val="20"/>
              </w:rPr>
              <w:t>U.S. Treasury and government-sponsored enterprises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74,395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74,395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firstLine="400"/>
              <w:jc w:val="left"/>
              <w:rPr/>
            </w:pPr>
            <w:r>
              <w:rPr/>
              <w:t> </w:t>
            </w:r>
          </w:p>
        </w:tc>
      </w:tr>
      <w:tr>
        <w:trPr/>
        <w:tc>
          <w:tcPr>
            <w:tcW w:w="4839" w:type="dxa"/>
            <w:tcBorders/>
            <w:vAlign w:val="center"/>
          </w:tcPr>
          <w:p>
            <w:pPr>
              <w:pStyle w:val="TableContents"/>
              <w:bidi w:val="0"/>
              <w:spacing w:before="0" w:after="0"/>
              <w:ind w:left="400" w:right="0" w:hanging="0"/>
              <w:jc w:val="left"/>
              <w:rPr/>
            </w:pPr>
            <w:r>
              <w:rPr/>
              <w:t> </w:t>
            </w: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839" w:type="dxa"/>
            <w:tcBorders/>
            <w:vAlign w:val="center"/>
          </w:tcPr>
          <w:p>
            <w:pPr>
              <w:pStyle w:val="TableContents"/>
              <w:bidi w:val="0"/>
              <w:spacing w:before="0" w:after="0"/>
              <w:ind w:left="400" w:right="0" w:hanging="0"/>
              <w:jc w:val="left"/>
              <w:rPr/>
            </w:pPr>
            <w:r>
              <w:rPr/>
              <w:t> </w:t>
            </w:r>
            <w:r>
              <w:rPr>
                <w:rFonts w:ascii="Times New Roman;serif" w:hAnsi="Times New Roman;serif"/>
                <w:b w:val="false"/>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165,148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165,148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3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financial assets</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232,438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165,148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3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4839"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As of December 31, 2022</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25" w:type="dxa"/>
            <w:gridSpan w:val="2"/>
            <w:tcBorders/>
            <w:vAlign w:val="center"/>
          </w:tcPr>
          <w:p>
            <w:pPr>
              <w:pStyle w:val="TableContents"/>
              <w:bidi w:val="0"/>
              <w:spacing w:before="0" w:after="0"/>
              <w:ind w:left="0" w:right="0" w:hanging="0"/>
              <w:jc w:val="center"/>
              <w:rPr/>
            </w:pPr>
            <w:r>
              <w:rPr/>
              <w:t> </w:t>
            </w:r>
          </w:p>
        </w:tc>
        <w:tc>
          <w:tcPr>
            <w:tcW w:w="593" w:type="dxa"/>
            <w:tcBorders/>
            <w:vAlign w:val="center"/>
          </w:tcPr>
          <w:p>
            <w:pPr>
              <w:pStyle w:val="TableContents"/>
              <w:bidi w:val="0"/>
              <w:spacing w:before="0" w:after="0"/>
              <w:ind w:left="0" w:right="0" w:hanging="0"/>
              <w:jc w:val="center"/>
              <w:rPr/>
            </w:pPr>
            <w:r>
              <w:rPr/>
              <w:t> </w:t>
            </w:r>
          </w:p>
        </w:tc>
      </w:tr>
      <w:tr>
        <w:trPr/>
        <w:tc>
          <w:tcPr>
            <w:tcW w:w="483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4839"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20"/>
              </w:rPr>
              <w:t>Money market funds included in cash and cash equivalents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8"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firstLine="200"/>
              <w:jc w:val="left"/>
              <w:rPr/>
            </w:pPr>
            <w:r>
              <w:rPr/>
              <w:t> </w:t>
            </w:r>
          </w:p>
        </w:tc>
      </w:tr>
      <w:tr>
        <w:trPr/>
        <w:tc>
          <w:tcPr>
            <w:tcW w:w="4839"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400"/>
              <w:jc w:val="right"/>
              <w:rPr/>
            </w:pPr>
            <w:r>
              <w:rPr/>
              <w:t> </w:t>
            </w:r>
          </w:p>
        </w:tc>
      </w:tr>
      <w:tr>
        <w:trPr/>
        <w:tc>
          <w:tcPr>
            <w:tcW w:w="4839" w:type="dxa"/>
            <w:tcBorders/>
            <w:vAlign w:val="center"/>
          </w:tcPr>
          <w:p>
            <w:pPr>
              <w:pStyle w:val="TableContents"/>
              <w:bidi w:val="0"/>
              <w:spacing w:before="0" w:after="0"/>
              <w:ind w:left="400" w:right="0" w:hanging="0"/>
              <w:jc w:val="left"/>
              <w:rPr/>
            </w:pPr>
            <w:r>
              <w:rPr/>
              <w:t> </w:t>
            </w:r>
            <w:r>
              <w:rPr>
                <w:rFonts w:ascii="Times New Roman;serif" w:hAnsi="Times New Roman;serif"/>
                <w:b w:val="false"/>
                <w:sz w:val="20"/>
              </w:rPr>
              <w:t>U.S. Treasury and government-sponsored enterprises</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184,420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184,420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3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financial assets</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227,415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42,995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184,420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When developing fair value estimates, the Company maximizes the use of observable inputs and minimizes the use of unobservable inputs. When available, the Company uses quoted market prices to measure the fair value. In determining the fair values at each date presented above, the Company relied on quoted prices for similar securities in active markets or using other inputs that are observable or can be corroborated by observable market data.</w:t>
      </w:r>
    </w:p>
    <w:p>
      <w:pPr>
        <w:pStyle w:val="TextBody"/>
        <w:bidi w:val="0"/>
        <w:spacing w:before="240" w:after="0"/>
        <w:jc w:val="both"/>
        <w:rPr>
          <w:rFonts w:ascii="Times New Roman" w:hAnsi="Times New Roman"/>
          <w:sz w:val="20"/>
        </w:rPr>
      </w:pPr>
      <w:r>
        <w:rPr>
          <w:rFonts w:ascii="Times New Roman;serif" w:hAnsi="Times New Roman;serif"/>
          <w:b w:val="false"/>
          <w:sz w:val="20"/>
        </w:rPr>
        <w:t>During the six months ended June 30, 2023, there were no</w:t>
      </w:r>
      <w:r>
        <w:rPr>
          <w:rFonts w:ascii="Times New Roman" w:hAnsi="Times New Roman"/>
          <w:sz w:val="20"/>
        </w:rPr>
        <w:t xml:space="preserve"> </w:t>
      </w:r>
      <w:r>
        <w:rPr>
          <w:rFonts w:ascii="Times New Roman;serif" w:hAnsi="Times New Roman;serif"/>
          <w:b w:val="false"/>
          <w:sz w:val="20"/>
        </w:rPr>
        <w:t>transfers between fair value measure levels.</w:t>
      </w:r>
    </w:p>
    <w:p>
      <w:pPr>
        <w:pStyle w:val="TextBody"/>
        <w:bidi w:val="0"/>
        <w:spacing w:before="240" w:after="0"/>
        <w:jc w:val="both"/>
        <w:rPr>
          <w:rFonts w:ascii="Times New Roman" w:hAnsi="Times New Roman"/>
          <w:sz w:val="20"/>
        </w:rPr>
      </w:pPr>
      <w:r>
        <w:rPr>
          <w:rFonts w:ascii="Times New Roman;serif" w:hAnsi="Times New Roman;serif"/>
          <w:b/>
          <w:sz w:val="20"/>
        </w:rPr>
        <w:t>5. Other Current Receivables</w:t>
      </w:r>
      <w:r>
        <w:rPr>
          <w:rFonts w:ascii="Times New Roman" w:hAnsi="Times New Roman"/>
          <w:sz w:val="20"/>
        </w:rPr>
        <w:t xml:space="preserve"> </w:t>
      </w:r>
    </w:p>
    <w:p>
      <w:pPr>
        <w:pStyle w:val="TextBody"/>
        <w:bidi w:val="0"/>
        <w:spacing w:before="120" w:after="240"/>
        <w:jc w:val="both"/>
        <w:rPr>
          <w:rFonts w:ascii="Times New Roman" w:hAnsi="Times New Roman"/>
          <w:sz w:val="20"/>
        </w:rPr>
      </w:pPr>
      <w:r>
        <w:rPr>
          <w:rFonts w:ascii="Times New Roman;serif" w:hAnsi="Times New Roman;serif"/>
          <w:b w:val="false"/>
          <w:sz w:val="20"/>
        </w:rPr>
        <w:t>Other current receivables as of June 30, 2023 and December 31, 2022 consisted of the following:</w:t>
      </w:r>
      <w:r>
        <w:rPr>
          <w:rFonts w:ascii="Times New Roman" w:hAnsi="Times New Roman"/>
          <w:sz w:val="20"/>
        </w:rPr>
        <w:t xml:space="preserve"> </w:t>
      </w:r>
    </w:p>
    <w:tbl>
      <w:tblPr>
        <w:tblW w:w="6787" w:type="dxa"/>
        <w:jc w:val="left"/>
        <w:tblInd w:w="0" w:type="dxa"/>
        <w:tblLayout w:type="fixed"/>
        <w:tblCellMar>
          <w:top w:w="28" w:type="dxa"/>
          <w:left w:w="28" w:type="dxa"/>
          <w:bottom w:w="28" w:type="dxa"/>
          <w:right w:w="28" w:type="dxa"/>
        </w:tblCellMar>
      </w:tblPr>
      <w:tblGrid>
        <w:gridCol w:w="4081"/>
        <w:gridCol w:w="146"/>
        <w:gridCol w:w="211"/>
        <w:gridCol w:w="571"/>
        <w:gridCol w:w="146"/>
        <w:gridCol w:w="146"/>
        <w:gridCol w:w="294"/>
        <w:gridCol w:w="801"/>
        <w:gridCol w:w="3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69"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4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tax credits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1,280</w:t>
            </w:r>
          </w:p>
        </w:tc>
        <w:tc>
          <w:tcPr>
            <w:tcW w:w="39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Collaboration revenue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1,525</w:t>
            </w:r>
          </w:p>
        </w:tc>
        <w:tc>
          <w:tcPr>
            <w:tcW w:w="39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0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current receivables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240" w:after="0"/>
        <w:jc w:val="both"/>
        <w:rPr>
          <w:rFonts w:ascii="Times New Roman" w:hAnsi="Times New Roman"/>
          <w:sz w:val="20"/>
        </w:rPr>
      </w:pPr>
      <w:r>
        <w:rPr>
          <w:rFonts w:ascii="Times New Roman;serif" w:hAnsi="Times New Roman;serif"/>
          <w:b/>
          <w:sz w:val="20"/>
        </w:rPr>
        <w:t>6. Accrued Expenses and Other Current Liabilities</w:t>
      </w:r>
      <w:r>
        <w:rPr>
          <w:rFonts w:ascii="Times New Roman" w:hAnsi="Times New Roman"/>
          <w:sz w:val="20"/>
        </w:rPr>
        <w:t xml:space="preserve"> </w:t>
      </w:r>
    </w:p>
    <w:p>
      <w:pPr>
        <w:pStyle w:val="TextBody"/>
        <w:bidi w:val="0"/>
        <w:spacing w:before="120" w:after="240"/>
        <w:jc w:val="both"/>
        <w:rPr>
          <w:rFonts w:ascii="Times New Roman" w:hAnsi="Times New Roman"/>
          <w:sz w:val="20"/>
        </w:rPr>
      </w:pPr>
      <w:r>
        <w:rPr>
          <w:rFonts w:ascii="Times New Roman;serif" w:hAnsi="Times New Roman;serif"/>
          <w:b w:val="false"/>
          <w:sz w:val="20"/>
        </w:rPr>
        <w:t>Accrued expenses and other current liabilities as of June 30, 2023 and December 31, 2022 consisted of the following:</w:t>
      </w:r>
      <w:r>
        <w:rPr>
          <w:rFonts w:ascii="Times New Roman" w:hAnsi="Times New Roman"/>
          <w:sz w:val="20"/>
        </w:rPr>
        <w:t xml:space="preserve"> </w:t>
      </w:r>
    </w:p>
    <w:tbl>
      <w:tblPr>
        <w:tblW w:w="7072" w:type="dxa"/>
        <w:jc w:val="left"/>
        <w:tblInd w:w="0" w:type="dxa"/>
        <w:tblLayout w:type="fixed"/>
        <w:tblCellMar>
          <w:top w:w="28" w:type="dxa"/>
          <w:left w:w="28" w:type="dxa"/>
          <w:bottom w:w="28" w:type="dxa"/>
          <w:right w:w="28" w:type="dxa"/>
        </w:tblCellMar>
      </w:tblPr>
      <w:tblGrid>
        <w:gridCol w:w="4261"/>
        <w:gridCol w:w="146"/>
        <w:gridCol w:w="211"/>
        <w:gridCol w:w="676"/>
        <w:gridCol w:w="146"/>
        <w:gridCol w:w="146"/>
        <w:gridCol w:w="260"/>
        <w:gridCol w:w="835"/>
        <w:gridCol w:w="3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7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 and benefits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5,616</w:t>
            </w:r>
          </w:p>
        </w:tc>
        <w:tc>
          <w:tcPr>
            <w:tcW w:w="3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research and development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15,078</w:t>
            </w:r>
          </w:p>
        </w:tc>
        <w:tc>
          <w:tcPr>
            <w:tcW w:w="3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professional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680</w:t>
            </w:r>
          </w:p>
        </w:tc>
        <w:tc>
          <w:tcPr>
            <w:tcW w:w="3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21,628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21,645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sz w:val="20"/>
        </w:rPr>
      </w:pPr>
      <w:r>
        <w:rPr>
          <w:rFonts w:ascii="Times New Roman;serif" w:hAnsi="Times New Roman;serif"/>
          <w:b/>
          <w:sz w:val="20"/>
        </w:rPr>
        <w:t>7. Collaboration and License Agreements</w:t>
      </w:r>
    </w:p>
    <w:p>
      <w:pPr>
        <w:pStyle w:val="TextBody"/>
        <w:bidi w:val="0"/>
        <w:spacing w:before="120" w:after="240"/>
        <w:jc w:val="both"/>
        <w:rPr>
          <w:rFonts w:ascii="Times New Roman;serif" w:hAnsi="Times New Roman;serif"/>
          <w:b w:val="false"/>
          <w:sz w:val="20"/>
        </w:rPr>
      </w:pPr>
      <w:r>
        <w:rPr>
          <w:rFonts w:ascii="Times New Roman;serif" w:hAnsi="Times New Roman;serif"/>
          <w:b w:val="false"/>
          <w:sz w:val="20"/>
        </w:rPr>
        <w:t>The following table presents revenue from collaboration agreements:</w:t>
      </w:r>
    </w:p>
    <w:tbl>
      <w:tblPr>
        <w:tblW w:w="9397" w:type="dxa"/>
        <w:jc w:val="left"/>
        <w:tblInd w:w="0" w:type="dxa"/>
        <w:tblLayout w:type="fixed"/>
        <w:tblCellMar>
          <w:top w:w="28" w:type="dxa"/>
          <w:left w:w="28" w:type="dxa"/>
          <w:bottom w:w="28" w:type="dxa"/>
          <w:right w:w="28" w:type="dxa"/>
        </w:tblCellMar>
      </w:tblPr>
      <w:tblGrid>
        <w:gridCol w:w="4996"/>
        <w:gridCol w:w="146"/>
        <w:gridCol w:w="211"/>
        <w:gridCol w:w="676"/>
        <w:gridCol w:w="146"/>
        <w:gridCol w:w="146"/>
        <w:gridCol w:w="211"/>
        <w:gridCol w:w="421"/>
        <w:gridCol w:w="146"/>
        <w:gridCol w:w="146"/>
        <w:gridCol w:w="211"/>
        <w:gridCol w:w="676"/>
        <w:gridCol w:w="146"/>
        <w:gridCol w:w="146"/>
        <w:gridCol w:w="211"/>
        <w:gridCol w:w="571"/>
        <w:gridCol w:w="191"/>
      </w:tblGrid>
      <w:tr>
        <w:trPr/>
        <w:tc>
          <w:tcPr>
            <w:tcW w:w="4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06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49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Roche Collaboration and License Agreement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49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Bristol Myers Squibb Collaboration and License Agreement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1,087</w:t>
            </w:r>
          </w:p>
        </w:tc>
        <w:tc>
          <w:tcPr>
            <w:tcW w:w="191" w:type="dxa"/>
            <w:tcBorders/>
            <w:vAlign w:val="center"/>
          </w:tcPr>
          <w:p>
            <w:pPr>
              <w:pStyle w:val="TableContents"/>
              <w:bidi w:val="0"/>
              <w:spacing w:before="0" w:after="0"/>
              <w:ind w:left="0" w:right="0" w:hanging="0"/>
              <w:jc w:val="left"/>
              <w:rPr/>
            </w:pPr>
            <w:r>
              <w:rPr/>
              <w:t> </w:t>
            </w:r>
          </w:p>
        </w:tc>
      </w:tr>
      <w:tr>
        <w:trPr/>
        <w:tc>
          <w:tcPr>
            <w:tcW w:w="49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Ono Collaboration Agreement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9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30,249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serif" w:hAnsi="Times New Roman;serif"/>
          <w:b/>
          <w:sz w:val="20"/>
        </w:rPr>
      </w:pPr>
      <w:r>
        <w:rPr>
          <w:rFonts w:ascii="Times New Roman;serif" w:hAnsi="Times New Roman;serif"/>
          <w:b/>
          <w:sz w:val="20"/>
        </w:rPr>
        <w:t>(a) Roche Collaboration and License Agreement</w:t>
      </w:r>
    </w:p>
    <w:p>
      <w:pPr>
        <w:pStyle w:val="TextBody"/>
        <w:bidi w:val="0"/>
        <w:spacing w:before="120" w:after="0"/>
        <w:jc w:val="both"/>
        <w:rPr>
          <w:rFonts w:ascii="Times New Roman" w:hAnsi="Times New Roman"/>
          <w:sz w:val="20"/>
        </w:rPr>
      </w:pPr>
      <w:r>
        <w:rPr>
          <w:rFonts w:ascii="Times New Roman;serif" w:hAnsi="Times New Roman;serif"/>
          <w:b w:val="false"/>
          <w:sz w:val="20"/>
        </w:rPr>
        <w:t>In June 2022, the Company entered into a collaboration and license agreement (the “Roche Agreement”) with Hoffmann-La Roche Inc. and F. Hoffmann-La Roche Ltd (collectively, “Roche”) regarding the development and commercialization of the Company’s product candidate camonsertib (also known as RP-3500) and specified other Ataxia-Telangiectasia and Rad3-related protein kinase (“ATR”) inhibitors (the “Licensed Products”). The transaction was subject to clearance under the Hart-Scott-Rodino Antitrust Improvements Act of 1976 and other customary closing conditions, which were met on July 13, 2022 (the “Effective Date”). Pursuant to the Roche Agreement, the Company granted Roche a worldwide, perpetual, exclusive, sublicensable license to develop, manufacture, and commercialize the Licensed Products, as well as a non-exclusive, sublicensable license to certain related companion diagnostics. The Company has agreed to complete specified ongoing clinical trials in accordance with the development plan in the Roche Agreement, as well as ongoing investigator sponsored trials (together, the “Continuing Trials”) at the Company’s expense. Roche assumes all subsequent development of camonsertib with the potential to expand development into additional tumors and multiple combination studies. The Company retained the right to conduct specified clinical trials (the “Repare Trials”) of camonsertib in combination with the Company’s PKMYT1 compound (also known as lunresertib). The Roche Agreement also provides the Company, at its sole discretion, with the ability to opt-in to a 50/50 U.S. co-development and profit share arrangement, including participation in U.S. co-promotion if U.S. regulatory approval is received. If the Company chooses to exercise its co-development and profit share option, it will continue to be eligible to receive certain clinical, regulatory, commercial and sales milestone payments, in addition to full ex-U.S. royalties.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Roche Agreement was subsequently amended in October 2022 to extend the timeline to negotiate in good faith the parties’ rights and obligations with respect to the Repare Trials, as defined in the Roche Agreement, and to clarify indications included in the development plan that are subject to milestones.</w:t>
      </w:r>
    </w:p>
    <w:p>
      <w:pPr>
        <w:pStyle w:val="TextBody"/>
        <w:bidi w:val="0"/>
        <w:spacing w:before="240" w:after="0"/>
        <w:jc w:val="both"/>
        <w:rPr>
          <w:rFonts w:ascii="Times New Roman" w:hAnsi="Times New Roman"/>
          <w:sz w:val="20"/>
        </w:rPr>
      </w:pPr>
      <w:r>
        <w:rPr>
          <w:rFonts w:ascii="Times New Roman;serif" w:hAnsi="Times New Roman;serif"/>
          <w:b w:val="false"/>
          <w:sz w:val="20"/>
        </w:rPr>
        <w:t>Under the terms of the Roche Agreement, the Company received an upfront, nonrefundable payment of $125.0</w:t>
      </w:r>
      <w:r>
        <w:rPr>
          <w:rFonts w:ascii="Times New Roman" w:hAnsi="Times New Roman"/>
          <w:sz w:val="20"/>
        </w:rPr>
        <w:t xml:space="preserve"> </w:t>
      </w:r>
      <w:r>
        <w:rPr>
          <w:rFonts w:ascii="Times New Roman;serif" w:hAnsi="Times New Roman;serif"/>
          <w:b w:val="false"/>
          <w:sz w:val="20"/>
        </w:rPr>
        <w:t>million in July 2022. The Company also received an additional payment of $4.0</w:t>
      </w:r>
      <w:r>
        <w:rPr>
          <w:rFonts w:ascii="Times New Roman" w:hAnsi="Times New Roman"/>
          <w:sz w:val="20"/>
        </w:rPr>
        <w:t xml:space="preserve"> </w:t>
      </w:r>
      <w:r>
        <w:rPr>
          <w:rFonts w:ascii="Times New Roman;serif" w:hAnsi="Times New Roman;serif"/>
          <w:b w:val="false"/>
          <w:sz w:val="20"/>
        </w:rPr>
        <w:t>million negotiated with Roche for revisions to the clinical development plan under the Roche Agreement as agreed to by the parties at the time of the Effective Date. The Company further received $5.6</w:t>
      </w:r>
      <w:r>
        <w:rPr>
          <w:rFonts w:ascii="Times New Roman" w:hAnsi="Times New Roman"/>
          <w:sz w:val="20"/>
        </w:rPr>
        <w:t xml:space="preserve"> </w:t>
      </w:r>
      <w:r>
        <w:rPr>
          <w:rFonts w:ascii="Times New Roman;serif" w:hAnsi="Times New Roman;serif"/>
          <w:b w:val="false"/>
          <w:sz w:val="20"/>
        </w:rPr>
        <w:t>million for the transfer of clinical trial material on hand to Roche, as agreed to pursuant to the Roche Agreement. In addition, in February 2023, the Company became entitled to receive an additional payment of $4.0</w:t>
      </w:r>
      <w:r>
        <w:rPr>
          <w:rFonts w:ascii="Times New Roman" w:hAnsi="Times New Roman"/>
          <w:sz w:val="20"/>
        </w:rPr>
        <w:t xml:space="preserve"> </w:t>
      </w:r>
      <w:r>
        <w:rPr>
          <w:rFonts w:ascii="Times New Roman;serif" w:hAnsi="Times New Roman;serif"/>
          <w:b w:val="false"/>
          <w:sz w:val="20"/>
        </w:rPr>
        <w:t>million, negotiated with Roche for additional revisions to the clinical development plan under the Roche Agreement, which was received in April 2023. The Company is eligible to receive up to $1.172</w:t>
      </w:r>
      <w:r>
        <w:rPr>
          <w:rFonts w:ascii="Times New Roman" w:hAnsi="Times New Roman"/>
          <w:sz w:val="20"/>
        </w:rPr>
        <w:t xml:space="preserve"> </w:t>
      </w:r>
      <w:r>
        <w:rPr>
          <w:rFonts w:ascii="Times New Roman;serif" w:hAnsi="Times New Roman;serif"/>
          <w:b w:val="false"/>
          <w:sz w:val="20"/>
        </w:rPr>
        <w:t>billion in potential clinical, regulatory, commercial and sales milestones, as well as royalties on global net sales ranging from high-single-digits to high-teens, subject to certain specified reductions. Royalties are payable by Roche on a product by product and country by country basis until the later of 12 years following the first commercial sale of a licensed product in such country or the expiration of certain exclusivity rights.</w:t>
      </w:r>
    </w:p>
    <w:p>
      <w:pPr>
        <w:pStyle w:val="TextBody"/>
        <w:bidi w:val="0"/>
        <w:spacing w:before="240" w:after="0"/>
        <w:jc w:val="both"/>
        <w:rPr>
          <w:rFonts w:ascii="Times New Roman" w:hAnsi="Times New Roman"/>
          <w:sz w:val="20"/>
        </w:rPr>
      </w:pPr>
      <w:r>
        <w:rPr>
          <w:rFonts w:ascii="Times New Roman;serif" w:hAnsi="Times New Roman;serif"/>
          <w:b w:val="false"/>
          <w:sz w:val="20"/>
        </w:rPr>
        <w:t>The Roche Agreement will expire upon the last to expire royalty term or, as applicable, the end of the U.S. co-development and profit share arrangement. Additionally, Roche may terminate the agreement for convenience in its entirety or on a product by product or country by country basis subject to certain notice periods. Either party may terminate earlier upon the other party’s uncured material breach of the agreement or insolvency. Subject to the terms of the Roche Agreement, effective upon termination of the Roche Agreement, the Company is entitled to retain specified licenses to be able to continue to exploit the Licensed Products.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Company assessed the Roche Agreement in accordance with ASC 606, Revenue from Contracts with Customers, and concluded that Roche is a customer within the context of the agreement. At inception, the Company identified several performance obligations under the agreement, being (i) the combination of the exclusive perpetual license to the Licensed Products and the non-exclusive license to certain companion diagnostics, (ii) the research and development activities related to the completion of the Continuing Trials, as well as (iii) the transfer of clinical trial materials on hand. The Company determined that the exclusive license to the Licensed Products and the non-exclusive license to certain companion diagnostics should be combined into one distinct performance obligation as they were not capable of being distinct from each other within the context of the agreement given both are highly interdependent of each other. The Company determined that the combined licenses, the completion of the Continuing Trials and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transfer of clinical trial materials were all capable of being distinct and were distinct within the context of the Roche Agreement given such activities are independent of each other and Roche could benefit from either separately.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Company determined that the transaction price at the onset of the agreement was $134.6</w:t>
      </w:r>
      <w:r>
        <w:rPr>
          <w:rFonts w:ascii="Times New Roman" w:hAnsi="Times New Roman"/>
          <w:sz w:val="20"/>
        </w:rPr>
        <w:t xml:space="preserve"> </w:t>
      </w:r>
      <w:r>
        <w:rPr>
          <w:rFonts w:ascii="Times New Roman;serif" w:hAnsi="Times New Roman;serif"/>
          <w:b w:val="false"/>
          <w:sz w:val="20"/>
        </w:rPr>
        <w:t>million, being the total non-refundable upfront payment received of $125.0</w:t>
      </w:r>
      <w:r>
        <w:rPr>
          <w:rFonts w:ascii="Times New Roman" w:hAnsi="Times New Roman"/>
          <w:sz w:val="20"/>
        </w:rPr>
        <w:t xml:space="preserve"> </w:t>
      </w:r>
      <w:r>
        <w:rPr>
          <w:rFonts w:ascii="Times New Roman;serif" w:hAnsi="Times New Roman;serif"/>
          <w:b w:val="false"/>
          <w:sz w:val="20"/>
        </w:rPr>
        <w:t>million, the additional $4.0</w:t>
      </w:r>
      <w:r>
        <w:rPr>
          <w:rFonts w:ascii="Times New Roman" w:hAnsi="Times New Roman"/>
          <w:sz w:val="20"/>
        </w:rPr>
        <w:t xml:space="preserve"> </w:t>
      </w:r>
      <w:r>
        <w:rPr>
          <w:rFonts w:ascii="Times New Roman;serif" w:hAnsi="Times New Roman;serif"/>
          <w:b w:val="false"/>
          <w:sz w:val="20"/>
        </w:rPr>
        <w:t>million payment received and the $5.6</w:t>
      </w:r>
      <w:r>
        <w:rPr>
          <w:rFonts w:ascii="Times New Roman" w:hAnsi="Times New Roman"/>
          <w:sz w:val="20"/>
        </w:rPr>
        <w:t xml:space="preserve"> </w:t>
      </w:r>
      <w:r>
        <w:rPr>
          <w:rFonts w:ascii="Times New Roman;serif" w:hAnsi="Times New Roman;serif"/>
          <w:b w:val="false"/>
          <w:sz w:val="20"/>
        </w:rPr>
        <w:t>million received for the transfer of clinical trial materials. Additional consideration is to be paid to the Company upon the achievement of multiple clinical, regulatory and sales milestones. The Company utilized the most likely method approach and concluded that these amounts were constrained based on the probability of achievement. As such, the Company excluded this additional consideration from the transaction price.</w:t>
      </w:r>
    </w:p>
    <w:p>
      <w:pPr>
        <w:pStyle w:val="TextBody"/>
        <w:bidi w:val="0"/>
        <w:spacing w:before="240" w:after="0"/>
        <w:jc w:val="both"/>
        <w:rPr>
          <w:rFonts w:ascii="Times New Roman" w:hAnsi="Times New Roman"/>
          <w:sz w:val="20"/>
        </w:rPr>
      </w:pPr>
      <w:r>
        <w:rPr>
          <w:rFonts w:ascii="Times New Roman;serif" w:hAnsi="Times New Roman;serif"/>
          <w:b w:val="false"/>
          <w:sz w:val="20"/>
        </w:rPr>
        <w:t>The Company allocated the transaction price at the onset of the agreement of $134.6</w:t>
      </w:r>
      <w:r>
        <w:rPr>
          <w:rFonts w:ascii="Times New Roman" w:hAnsi="Times New Roman"/>
          <w:sz w:val="20"/>
        </w:rPr>
        <w:t xml:space="preserve"> </w:t>
      </w:r>
      <w:r>
        <w:rPr>
          <w:rFonts w:ascii="Times New Roman;serif" w:hAnsi="Times New Roman;serif"/>
          <w:b w:val="false"/>
          <w:sz w:val="20"/>
        </w:rPr>
        <w:t>million to each performance obligation based on the relative stand-alone selling price of each performance obligation at inception. The Company determined the estimated stand-alone selling price at contract inception of the combined licenses by applying a probability adjusted discounted cashflow model which forecasts future cash flows related to the licenses. The Company considered applicable market conditions and relevant entity-specific factors, including those factors contemplated in negotiating the agreement, probability of success, discount rate and the time needed to commercialize a product pursuant to the license. The Company determined the estimated stand-alone selling price at contract inception of the research and development activities required to complete the Continuing Trials based on internal estimates of the costs to perform the services, inclusive of a reasonable profit margin. Significant inputs used to determine the total costs to complete the Continuing Trials included the length of time required, the internal hours as well as external costs expected to be incurred, the number of patients and the number of clinical and investigator sponsored trials. The Company determined the stand-alone selling price of the clinical trial materials transferred based on the purchase price from external vendors, without applying a markup as the materials have a built-in margin from the external vendors.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February 2023, the Company received a further payment of $4.0</w:t>
      </w:r>
      <w:r>
        <w:rPr>
          <w:rFonts w:ascii="Times New Roman" w:hAnsi="Times New Roman"/>
          <w:sz w:val="20"/>
        </w:rPr>
        <w:t xml:space="preserve"> </w:t>
      </w:r>
      <w:r>
        <w:rPr>
          <w:rFonts w:ascii="Times New Roman;serif" w:hAnsi="Times New Roman;serif"/>
          <w:b w:val="false"/>
          <w:sz w:val="20"/>
        </w:rPr>
        <w:t>million negotiated with Roche for additional revisions to the clinical development plan. The Company determined that the scope and the price of the contract had increased as a result of these additional changes and thus reflected a contract modification under ASC 606. The additional services were assessed to be not distinct from the ongoing performance obligation related to the completion of the Continuing Trials but distinct from the other performance obligations. No adjustment was therefore made to the two previously completed performance obligations, being the combined licenses and the transfer of clinical trial materials. The transaction price was updated for the additional consideration of $4.0</w:t>
      </w:r>
      <w:r>
        <w:rPr>
          <w:rFonts w:ascii="Times New Roman" w:hAnsi="Times New Roman"/>
          <w:sz w:val="20"/>
        </w:rPr>
        <w:t xml:space="preserve"> </w:t>
      </w:r>
      <w:r>
        <w:rPr>
          <w:rFonts w:ascii="Times New Roman;serif" w:hAnsi="Times New Roman;serif"/>
          <w:b w:val="false"/>
          <w:sz w:val="20"/>
        </w:rPr>
        <w:t>million, which has been allocated to the completion of the Continuing Trials performance obligation. An adjustment to revenue previously recognized based on updated measures of progress related to the completion of the Continuing Trials has been recognized on a cumulative catch-up basis in the first quarter of 2023.</w:t>
      </w:r>
    </w:p>
    <w:p>
      <w:pPr>
        <w:pStyle w:val="TextBody"/>
        <w:bidi w:val="0"/>
        <w:spacing w:before="240" w:after="240"/>
        <w:jc w:val="both"/>
        <w:rPr>
          <w:rFonts w:ascii="Times New Roman;serif" w:hAnsi="Times New Roman;serif"/>
          <w:b w:val="false"/>
          <w:sz w:val="20"/>
        </w:rPr>
      </w:pPr>
      <w:r>
        <w:rPr>
          <w:rFonts w:ascii="Times New Roman;serif" w:hAnsi="Times New Roman;serif"/>
          <w:b w:val="false"/>
          <w:sz w:val="20"/>
        </w:rPr>
        <w:t>Based on the relative stand-alone selling price, the allocation of the transaction price to the separate performance obligations is as follows:</w:t>
      </w:r>
    </w:p>
    <w:tbl>
      <w:tblPr>
        <w:tblW w:w="4723" w:type="dxa"/>
        <w:jc w:val="left"/>
        <w:tblInd w:w="0" w:type="dxa"/>
        <w:tblLayout w:type="fixed"/>
        <w:tblCellMar>
          <w:top w:w="28" w:type="dxa"/>
          <w:left w:w="28" w:type="dxa"/>
          <w:bottom w:w="28" w:type="dxa"/>
          <w:right w:w="28" w:type="dxa"/>
        </w:tblCellMar>
      </w:tblPr>
      <w:tblGrid>
        <w:gridCol w:w="2806"/>
        <w:gridCol w:w="146"/>
        <w:gridCol w:w="293"/>
        <w:gridCol w:w="1087"/>
        <w:gridCol w:w="3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Performance obligation</w:t>
            </w:r>
          </w:p>
        </w:tc>
        <w:tc>
          <w:tcPr>
            <w:tcW w:w="146" w:type="dxa"/>
            <w:tcBorders/>
            <w:vAlign w:val="center"/>
          </w:tcPr>
          <w:p>
            <w:pPr>
              <w:pStyle w:val="TableContents"/>
              <w:bidi w:val="0"/>
              <w:spacing w:before="0" w:after="0"/>
              <w:ind w:left="0" w:right="0" w:hanging="0"/>
              <w:jc w:val="center"/>
              <w:rPr/>
            </w:pPr>
            <w:r>
              <w:rPr/>
              <w:t> </w:t>
            </w:r>
          </w:p>
        </w:tc>
        <w:tc>
          <w:tcPr>
            <w:tcW w:w="13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Transaction price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38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Combined licenses</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105,327</w:t>
            </w:r>
          </w:p>
        </w:tc>
        <w:tc>
          <w:tcPr>
            <w:tcW w:w="391"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Completion of Continuing Trials</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10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30,585</w:t>
            </w:r>
          </w:p>
        </w:tc>
        <w:tc>
          <w:tcPr>
            <w:tcW w:w="391"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Transfer of clinical trial materials</w:t>
            </w:r>
          </w:p>
        </w:tc>
        <w:tc>
          <w:tcPr>
            <w:tcW w:w="146" w:type="dxa"/>
            <w:tcBorders/>
            <w:vAlign w:val="center"/>
          </w:tcPr>
          <w:p>
            <w:pPr>
              <w:pStyle w:val="TableContents"/>
              <w:bidi w:val="0"/>
              <w:spacing w:before="0" w:after="0"/>
              <w:ind w:left="0" w:right="0" w:hanging="0"/>
              <w:jc w:val="left"/>
              <w:rPr/>
            </w:pPr>
            <w:r>
              <w:rPr/>
              <w:t> </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8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transaction price</w:t>
            </w:r>
          </w:p>
        </w:tc>
        <w:tc>
          <w:tcPr>
            <w:tcW w:w="146" w:type="dxa"/>
            <w:tcBorders/>
            <w:vAlign w:val="center"/>
          </w:tcPr>
          <w:p>
            <w:pPr>
              <w:pStyle w:val="TableContents"/>
              <w:bidi w:val="0"/>
              <w:spacing w:before="0" w:after="0"/>
              <w:ind w:left="0" w:right="0" w:hanging="0"/>
              <w:jc w:val="left"/>
              <w:rPr/>
            </w:pPr>
            <w:r>
              <w:rPr/>
              <w:t> </w:t>
            </w:r>
          </w:p>
        </w:tc>
        <w:tc>
          <w:tcPr>
            <w:tcW w:w="2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138,626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240"/>
        <w:jc w:val="both"/>
        <w:rPr>
          <w:rFonts w:ascii="Times New Roman" w:hAnsi="Times New Roman"/>
          <w:sz w:val="20"/>
        </w:rPr>
      </w:pPr>
      <w:r>
        <w:rPr>
          <w:rFonts w:ascii="Times New Roman;serif" w:hAnsi="Times New Roman;serif"/>
          <w:b w:val="false"/>
          <w:sz w:val="20"/>
        </w:rPr>
        <w:t>Revenue associated with the combined licenses was recognized at a point in time upon the transfer of the licenses to Roche on the Effective Date of the Roche Agreement as the Company concluded that the combined licenses were a functional intellectual property license that Roche could benefit from as of the time of grant. Revenue associated with the transfer of clinical trial materials was recognized at a point in time upon delivery of the clinical trial materials to Roche in the year ended December 31, 2022. Revenue associated with the completion of the Continuing Trials has been deferred and will be recognized on a proportional performance basis over the period of time to complete the Continuing Trials, being estimated at within 24</w:t>
      </w:r>
      <w:r>
        <w:rPr>
          <w:rFonts w:ascii="Times New Roman" w:hAnsi="Times New Roman"/>
          <w:sz w:val="20"/>
        </w:rPr>
        <w:t xml:space="preserve"> </w:t>
      </w:r>
      <w:r>
        <w:rPr>
          <w:rFonts w:ascii="Times New Roman;serif" w:hAnsi="Times New Roman;serif"/>
          <w:b w:val="false"/>
          <w:sz w:val="20"/>
        </w:rPr>
        <w:t>months of the Effective Date, using input-based measurements of total costs of research and development incurred to estimate the proportion performed. Progress towards completion is remeasured at the end of each reporting period.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9043" w:type="dxa"/>
        <w:jc w:val="left"/>
        <w:tblInd w:w="0" w:type="dxa"/>
        <w:tblLayout w:type="fixed"/>
        <w:tblCellMar>
          <w:top w:w="28" w:type="dxa"/>
          <w:left w:w="28" w:type="dxa"/>
          <w:bottom w:w="28" w:type="dxa"/>
          <w:right w:w="28" w:type="dxa"/>
        </w:tblCellMar>
      </w:tblPr>
      <w:tblGrid>
        <w:gridCol w:w="6046"/>
        <w:gridCol w:w="146"/>
        <w:gridCol w:w="585"/>
        <w:gridCol w:w="1875"/>
        <w:gridCol w:w="391"/>
      </w:tblGrid>
      <w:tr>
        <w:trPr/>
        <w:tc>
          <w:tcPr>
            <w:tcW w:w="6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4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Deferred revenue pertaining to the Roche Agreement</w:t>
            </w:r>
          </w:p>
        </w:tc>
        <w:tc>
          <w:tcPr>
            <w:tcW w:w="146" w:type="dxa"/>
            <w:tcBorders/>
            <w:vAlign w:val="center"/>
          </w:tcPr>
          <w:p>
            <w:pPr>
              <w:pStyle w:val="TableContents"/>
              <w:bidi w:val="0"/>
              <w:spacing w:before="0" w:after="0"/>
              <w:ind w:left="0" w:right="0" w:hanging="0"/>
              <w:jc w:val="left"/>
              <w:rPr/>
            </w:pPr>
            <w:r>
              <w:rPr/>
              <w:t> </w:t>
            </w:r>
          </w:p>
        </w:tc>
        <w:tc>
          <w:tcPr>
            <w:tcW w:w="24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Completion of Continuing Trials</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17,957</w:t>
            </w:r>
          </w:p>
        </w:tc>
        <w:tc>
          <w:tcPr>
            <w:tcW w:w="391" w:type="dxa"/>
            <w:tcBorders/>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Increase in collaboration revenue receivable</w:t>
            </w:r>
          </w:p>
        </w:tc>
        <w:tc>
          <w:tcPr>
            <w:tcW w:w="14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pPr>
            <w:r>
              <w:rPr/>
              <w:t> </w:t>
            </w:r>
          </w:p>
        </w:tc>
        <w:tc>
          <w:tcPr>
            <w:tcW w:w="18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4,000</w:t>
            </w:r>
          </w:p>
        </w:tc>
        <w:tc>
          <w:tcPr>
            <w:tcW w:w="391" w:type="dxa"/>
            <w:tcBorders/>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Recognition as revenue, as the result of performance obligations satisfied</w:t>
            </w:r>
          </w:p>
        </w:tc>
        <w:tc>
          <w:tcPr>
            <w:tcW w:w="146" w:type="dxa"/>
            <w:tcBorders/>
            <w:vAlign w:val="center"/>
          </w:tcPr>
          <w:p>
            <w:pPr>
              <w:pStyle w:val="TableContents"/>
              <w:bidi w:val="0"/>
              <w:spacing w:before="0" w:after="0"/>
              <w:ind w:left="0" w:right="0" w:hanging="0"/>
              <w:jc w:val="left"/>
              <w:rPr/>
            </w:pPr>
            <w:r>
              <w:rPr/>
              <w:t> </w:t>
            </w:r>
          </w:p>
        </w:tc>
        <w:tc>
          <w:tcPr>
            <w:tcW w:w="5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5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16,645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Recognition as revenue, as the result of performance obligations satisfied</w:t>
            </w:r>
          </w:p>
        </w:tc>
        <w:tc>
          <w:tcPr>
            <w:tcW w:w="146" w:type="dxa"/>
            <w:tcBorders/>
            <w:vAlign w:val="center"/>
          </w:tcPr>
          <w:p>
            <w:pPr>
              <w:pStyle w:val="TableContents"/>
              <w:bidi w:val="0"/>
              <w:spacing w:before="0" w:after="0"/>
              <w:ind w:left="0" w:right="0" w:hanging="0"/>
              <w:jc w:val="left"/>
              <w:rPr/>
            </w:pPr>
            <w:r>
              <w:rPr/>
              <w:t> </w:t>
            </w:r>
          </w:p>
        </w:tc>
        <w:tc>
          <w:tcPr>
            <w:tcW w:w="5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June 30, 2023</w:t>
            </w:r>
          </w:p>
        </w:tc>
        <w:tc>
          <w:tcPr>
            <w:tcW w:w="146" w:type="dxa"/>
            <w:tcBorders/>
            <w:vAlign w:val="center"/>
          </w:tcPr>
          <w:p>
            <w:pPr>
              <w:pStyle w:val="TableContents"/>
              <w:bidi w:val="0"/>
              <w:spacing w:before="0" w:after="0"/>
              <w:ind w:left="0" w:right="0" w:hanging="0"/>
              <w:jc w:val="left"/>
              <w:rPr/>
            </w:pPr>
            <w:r>
              <w:rPr/>
              <w:t> </w:t>
            </w:r>
          </w:p>
        </w:tc>
        <w:tc>
          <w:tcPr>
            <w:tcW w:w="5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11,820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Classified as short-term</w:t>
            </w:r>
          </w:p>
        </w:tc>
        <w:tc>
          <w:tcPr>
            <w:tcW w:w="14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11,125</w:t>
            </w:r>
          </w:p>
        </w:tc>
        <w:tc>
          <w:tcPr>
            <w:tcW w:w="391" w:type="dxa"/>
            <w:tcBorders/>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Classified as long-term</w:t>
            </w:r>
          </w:p>
        </w:tc>
        <w:tc>
          <w:tcPr>
            <w:tcW w:w="14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pPr>
            <w:r>
              <w:rPr/>
              <w:t> </w:t>
            </w:r>
          </w:p>
        </w:tc>
        <w:tc>
          <w:tcPr>
            <w:tcW w:w="18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695</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Times New Roman;serif" w:hAnsi="Times New Roman;serif"/>
          <w:b w:val="false"/>
          <w:sz w:val="20"/>
        </w:rPr>
        <w:t>The Company recognized $4.8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revenue for the three and six months ended June 30, 2023, respectively, and nil</w:t>
      </w:r>
      <w:r>
        <w:rPr>
          <w:rFonts w:ascii="Times New Roman" w:hAnsi="Times New Roman"/>
          <w:sz w:val="20"/>
        </w:rPr>
        <w:t xml:space="preserve"> </w:t>
      </w:r>
      <w:r>
        <w:rPr>
          <w:rFonts w:ascii="Times New Roman;serif" w:hAnsi="Times New Roman;serif"/>
          <w:b w:val="false"/>
          <w:sz w:val="20"/>
        </w:rPr>
        <w:t>for the three and six months ended June 30, 2022, in recognition of research and development services performed towards the completion of the Continuing Trials under the Roche Agreement.</w:t>
      </w:r>
    </w:p>
    <w:p>
      <w:pPr>
        <w:pStyle w:val="TextBody"/>
        <w:bidi w:val="0"/>
        <w:spacing w:before="240" w:after="0"/>
        <w:jc w:val="both"/>
        <w:rPr>
          <w:rFonts w:ascii="Times New Roman" w:hAnsi="Times New Roman"/>
          <w:sz w:val="20"/>
        </w:rPr>
      </w:pPr>
      <w:r>
        <w:rPr>
          <w:rFonts w:ascii="Times New Roman;serif" w:hAnsi="Times New Roman;serif"/>
          <w:b w:val="false"/>
          <w:sz w:val="20"/>
        </w:rPr>
        <w:t>As of June 30, 2023, there was $11.8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2022 -$18.0</w:t>
      </w:r>
      <w:r>
        <w:rPr>
          <w:rFonts w:ascii="Times New Roman" w:hAnsi="Times New Roman"/>
          <w:sz w:val="20"/>
        </w:rPr>
        <w:t xml:space="preserve"> </w:t>
      </w:r>
      <w:r>
        <w:rPr>
          <w:rFonts w:ascii="Times New Roman;serif" w:hAnsi="Times New Roman;serif"/>
          <w:b w:val="false"/>
          <w:sz w:val="20"/>
        </w:rPr>
        <w:t>million) of deferred revenue related to the Roche Agreement, of which $11.1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$15.3</w:t>
      </w:r>
      <w:r>
        <w:rPr>
          <w:rFonts w:ascii="Times New Roman" w:hAnsi="Times New Roman"/>
          <w:sz w:val="20"/>
        </w:rPr>
        <w:t xml:space="preserve"> </w:t>
      </w:r>
      <w:r>
        <w:rPr>
          <w:rFonts w:ascii="Times New Roman;serif" w:hAnsi="Times New Roman;serif"/>
          <w:b w:val="false"/>
          <w:sz w:val="20"/>
        </w:rPr>
        <w:t>million) was classified as current and $0.7</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$2.7</w:t>
      </w:r>
      <w:r>
        <w:rPr>
          <w:rFonts w:ascii="Times New Roman" w:hAnsi="Times New Roman"/>
          <w:sz w:val="20"/>
        </w:rPr>
        <w:t xml:space="preserve"> </w:t>
      </w:r>
      <w:r>
        <w:rPr>
          <w:rFonts w:ascii="Times New Roman;serif" w:hAnsi="Times New Roman;serif"/>
          <w:b w:val="false"/>
          <w:sz w:val="20"/>
        </w:rPr>
        <w:t>million) was classified as non-current in the condensed consolidated balance sheet based on the period the services to complete the Continuing Trials are expected to be performed.</w:t>
      </w:r>
    </w:p>
    <w:p>
      <w:pPr>
        <w:pStyle w:val="TextBody"/>
        <w:bidi w:val="0"/>
        <w:spacing w:before="240" w:after="0"/>
        <w:jc w:val="both"/>
        <w:rPr>
          <w:rFonts w:ascii="Times New Roman;serif" w:hAnsi="Times New Roman;serif"/>
          <w:b/>
          <w:sz w:val="20"/>
        </w:rPr>
      </w:pPr>
      <w:r>
        <w:rPr>
          <w:rFonts w:ascii="Times New Roman;serif" w:hAnsi="Times New Roman;serif"/>
          <w:b/>
          <w:sz w:val="20"/>
        </w:rPr>
        <w:t>(b) Bristol-Myers Squibb Collaboration and License Agreement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May 2020, the Company entered into a collaboration and license agreement (the "BMS Agreement") with Bristol-Myers Squibb Company (“Bristol Myers Squibb”), pursuant to which the Company and Bristol Myers Squibb have agreed to collaborate in the research and development of potential new product candidates for the treatment of cancer. The Company is providing Bristol Myers Squibb access to a selected number of its existing screening campaigns and novel campaigns. The Company is responsible for carrying out early-stage research activities directed to identifying potential targets for potential licensing by Bristol Myers Squibb, in accordance with a mutually agreed upon research plan, and will be solely responsible for such costs. The collaboration consists of programs directed to both druggable targets and to targets commonly considered undruggable to traditional small molecule approaches. Upon Bristol Myers Squibb’s election to exercise its option to obtain exclusive worldwide licenses for the subsequent development, manufacturing and commercialization of a program, Bristol Myers Squibb will then be solely responsible for all such worldwide activities and costs.</w:t>
      </w:r>
    </w:p>
    <w:p>
      <w:pPr>
        <w:pStyle w:val="TextBody"/>
        <w:bidi w:val="0"/>
        <w:spacing w:before="240" w:after="0"/>
        <w:jc w:val="both"/>
        <w:rPr>
          <w:rFonts w:ascii="Times New Roman" w:hAnsi="Times New Roman"/>
          <w:sz w:val="20"/>
        </w:rPr>
      </w:pPr>
      <w:r>
        <w:rPr>
          <w:rFonts w:ascii="Times New Roman;serif" w:hAnsi="Times New Roman;serif"/>
          <w:b w:val="false"/>
          <w:sz w:val="20"/>
        </w:rPr>
        <w:t>The collaboration term will expire 42</w:t>
      </w:r>
      <w:r>
        <w:rPr>
          <w:rFonts w:ascii="Times New Roman" w:hAnsi="Times New Roman"/>
          <w:sz w:val="20"/>
        </w:rPr>
        <w:t xml:space="preserve"> </w:t>
      </w:r>
      <w:r>
        <w:rPr>
          <w:rFonts w:ascii="Times New Roman;serif" w:hAnsi="Times New Roman;serif"/>
          <w:b w:val="false"/>
          <w:sz w:val="20"/>
        </w:rPr>
        <w:t>months after the effective date of the BMS Agreement. The BMS Agreement will expire, assuming that Bristol Myers Squibb has exercised at least one option for a program, on a licensed product-by-licensed product and country-by-country basis on expiration of the applicable royalty term and in its entirety upon expiration of the last royalty term. Either party may terminate earlier upon an uncured material breach of the agreement by the other party, or the insolvency of the other party. Additionally, Bristol Myers Squibb may terminate the BMS Agreement for any or no reason on a program-by-program basis upon specified written notice.</w:t>
      </w:r>
    </w:p>
    <w:p>
      <w:pPr>
        <w:pStyle w:val="TextBody"/>
        <w:bidi w:val="0"/>
        <w:spacing w:before="240" w:after="0"/>
        <w:jc w:val="both"/>
        <w:rPr>
          <w:rFonts w:ascii="Times New Roman" w:hAnsi="Times New Roman"/>
          <w:sz w:val="20"/>
        </w:rPr>
      </w:pPr>
      <w:r>
        <w:rPr>
          <w:rFonts w:ascii="Times New Roman;serif" w:hAnsi="Times New Roman;serif"/>
          <w:b w:val="false"/>
          <w:sz w:val="20"/>
        </w:rPr>
        <w:t>Under the terms of the BMS Agreement, Bristol Myers Squibb paid the Company an initial nonrefundable upfront fee of $50.0</w:t>
      </w:r>
      <w:r>
        <w:rPr>
          <w:rFonts w:ascii="Times New Roman" w:hAnsi="Times New Roman"/>
          <w:sz w:val="20"/>
        </w:rPr>
        <w:t xml:space="preserve"> </w:t>
      </w:r>
      <w:r>
        <w:rPr>
          <w:rFonts w:ascii="Times New Roman;serif" w:hAnsi="Times New Roman;serif"/>
          <w:b w:val="false"/>
          <w:sz w:val="20"/>
        </w:rPr>
        <w:t>million in June 2020. The Company is also entitled to receive up to $301.0</w:t>
      </w:r>
      <w:r>
        <w:rPr>
          <w:rFonts w:ascii="Times New Roman" w:hAnsi="Times New Roman"/>
          <w:sz w:val="20"/>
        </w:rPr>
        <w:t xml:space="preserve"> </w:t>
      </w:r>
      <w:r>
        <w:rPr>
          <w:rFonts w:ascii="Times New Roman;serif" w:hAnsi="Times New Roman;serif"/>
          <w:b w:val="false"/>
          <w:sz w:val="20"/>
        </w:rPr>
        <w:t>million in total milestones on a program-by-program basis, consisting of $176.0</w:t>
      </w:r>
      <w:r>
        <w:rPr>
          <w:rFonts w:ascii="Times New Roman" w:hAnsi="Times New Roman"/>
          <w:sz w:val="20"/>
        </w:rPr>
        <w:t xml:space="preserve"> </w:t>
      </w:r>
      <w:r>
        <w:rPr>
          <w:rFonts w:ascii="Times New Roman;serif" w:hAnsi="Times New Roman;serif"/>
          <w:b w:val="false"/>
          <w:sz w:val="20"/>
        </w:rPr>
        <w:t>million in the aggregate for certain specified research, development and regulatory milestones and $125.0</w:t>
      </w:r>
      <w:r>
        <w:rPr>
          <w:rFonts w:ascii="Times New Roman" w:hAnsi="Times New Roman"/>
          <w:sz w:val="20"/>
        </w:rPr>
        <w:t xml:space="preserve"> </w:t>
      </w:r>
      <w:r>
        <w:rPr>
          <w:rFonts w:ascii="Times New Roman;serif" w:hAnsi="Times New Roman;serif"/>
          <w:b w:val="false"/>
          <w:sz w:val="20"/>
        </w:rPr>
        <w:t>million in the aggregate for certain specified commercial milestones. The Company is further entitled to a tiered percentage royalty on annual net sales ranging from high-single digits to low-double digits, subject to certain specified reductions.</w:t>
      </w:r>
    </w:p>
    <w:p>
      <w:pPr>
        <w:pStyle w:val="TextBody"/>
        <w:bidi w:val="0"/>
        <w:spacing w:before="240" w:after="0"/>
        <w:jc w:val="both"/>
        <w:rPr>
          <w:rFonts w:ascii="Times New Roman" w:hAnsi="Times New Roman"/>
          <w:sz w:val="20"/>
        </w:rPr>
      </w:pPr>
      <w:r>
        <w:rPr>
          <w:rFonts w:ascii="Times New Roman;serif" w:hAnsi="Times New Roman;serif"/>
          <w:b w:val="false"/>
          <w:sz w:val="20"/>
        </w:rPr>
        <w:t>The Company assessed the BMS Agreement in accordance with ASC 606, Revenue from Contracts with Customers, and concluded that Bristol Myers Squibb is a customer based on the agreement structure. At inception, the Company identified several performance obligations under the BMS Agreement, being (i) research activities for each campaign over the collaboration term, as well as (ii) a selected number of material rights associated with options to obtain exclusive development, manufacturing, and commercial licenses to targets identified. The Company determined that the options to obtain the exclusive development, manufacturing and commercialization licenses were material rights under ASC 606 because there are minimal amounts to be paid to the Company upon exercise of such options.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Company determined that the transaction price at the onset of the BMS Agreement is the total non-refundable upfront payment received of $50.0</w:t>
      </w:r>
      <w:r>
        <w:rPr>
          <w:rFonts w:ascii="Times New Roman" w:hAnsi="Times New Roman"/>
          <w:sz w:val="20"/>
        </w:rPr>
        <w:t xml:space="preserve"> </w:t>
      </w:r>
      <w:r>
        <w:rPr>
          <w:rFonts w:ascii="Times New Roman;serif" w:hAnsi="Times New Roman;serif"/>
          <w:b w:val="false"/>
          <w:sz w:val="20"/>
        </w:rPr>
        <w:t>million. Additional consideration is to be paid to the Company upon the exercise of options to license targets and future milestone payments. The Company utilized the most likely method approach and concluded that these amounts were constrained as they represent option fees and milestone payments that can only be achieved subsequent to option exercises. As such, the Company excluded this additional consideration from the transaction price.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240"/>
        <w:jc w:val="both"/>
        <w:rPr>
          <w:rFonts w:ascii="Times New Roman" w:hAnsi="Times New Roman"/>
          <w:sz w:val="20"/>
        </w:rPr>
      </w:pPr>
      <w:r>
        <w:rPr>
          <w:rFonts w:ascii="Times New Roman;serif" w:hAnsi="Times New Roman;serif"/>
          <w:b w:val="false"/>
          <w:sz w:val="20"/>
        </w:rPr>
        <w:t>The Company has allocated the transaction price of $50.0</w:t>
      </w:r>
      <w:r>
        <w:rPr>
          <w:rFonts w:ascii="Times New Roman" w:hAnsi="Times New Roman"/>
          <w:sz w:val="20"/>
        </w:rPr>
        <w:t xml:space="preserve"> </w:t>
      </w:r>
      <w:r>
        <w:rPr>
          <w:rFonts w:ascii="Times New Roman;serif" w:hAnsi="Times New Roman;serif"/>
          <w:b w:val="false"/>
          <w:sz w:val="20"/>
        </w:rPr>
        <w:t>million to each performance obligation based on the relative stand-alone selling price of each performance obligation at inception, which was determined based on each performance obligation’s estimated stand-alone selling price. The Company has determined the estimated stand-alone selling price at contract inception of the research activities based on internal estimates of the costs to perform the services, inclusive of a reasonable profit margin. Significant inputs used to determine the total costs to perform the research activities included the length of time required, the internal hours expected to be incurred on the services and the number and costs of various studies that will be performed to complete the research plan. The Company determined the estimated stand-alone selling price at contract inception of the material rights associated with options to obtain exclusive licenses to druggable targets and undruggable targets based on the fees Bristol Myers Squibb would pay to exercise these options, the probability-weighted value of expected future cash flows associated with each license related to each target and the probability that these options would be exercised by Bristol Myers Squibb. In developing such estimates, the Company also considered applicable market conditions and relevant entity-specific factors, including those factors contemplated in negotiating the agreement, probability of success and the time needed to commercialize a product candidate pursuant to the associated license. Based on the relative stand-alone selling price, the allocation of the transaction price to the separate performance obligations was as follows:</w:t>
      </w:r>
    </w:p>
    <w:tbl>
      <w:tblPr>
        <w:tblW w:w="5173" w:type="dxa"/>
        <w:jc w:val="left"/>
        <w:tblInd w:w="0" w:type="dxa"/>
        <w:tblLayout w:type="fixed"/>
        <w:tblCellMar>
          <w:top w:w="28" w:type="dxa"/>
          <w:left w:w="28" w:type="dxa"/>
          <w:bottom w:w="28" w:type="dxa"/>
          <w:right w:w="28" w:type="dxa"/>
        </w:tblCellMar>
      </w:tblPr>
      <w:tblGrid>
        <w:gridCol w:w="3256"/>
        <w:gridCol w:w="146"/>
        <w:gridCol w:w="328"/>
        <w:gridCol w:w="1052"/>
        <w:gridCol w:w="3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5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Performance obligation</w:t>
            </w:r>
          </w:p>
        </w:tc>
        <w:tc>
          <w:tcPr>
            <w:tcW w:w="146" w:type="dxa"/>
            <w:tcBorders/>
            <w:vAlign w:val="center"/>
          </w:tcPr>
          <w:p>
            <w:pPr>
              <w:pStyle w:val="TableContents"/>
              <w:bidi w:val="0"/>
              <w:spacing w:before="0" w:after="0"/>
              <w:ind w:left="0" w:right="0" w:hanging="0"/>
              <w:jc w:val="center"/>
              <w:rPr/>
            </w:pPr>
            <w:r>
              <w:rPr/>
              <w:t> </w:t>
            </w:r>
          </w:p>
        </w:tc>
        <w:tc>
          <w:tcPr>
            <w:tcW w:w="13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Transaction price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38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3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activities</w:t>
            </w:r>
          </w:p>
        </w:tc>
        <w:tc>
          <w:tcPr>
            <w:tcW w:w="14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6,405</w:t>
            </w:r>
          </w:p>
        </w:tc>
        <w:tc>
          <w:tcPr>
            <w:tcW w:w="391" w:type="dxa"/>
            <w:tcBorders/>
            <w:vAlign w:val="center"/>
          </w:tcPr>
          <w:p>
            <w:pPr>
              <w:pStyle w:val="TableContents"/>
              <w:bidi w:val="0"/>
              <w:spacing w:before="0" w:after="0"/>
              <w:ind w:left="0" w:right="0" w:hanging="0"/>
              <w:jc w:val="left"/>
              <w:rPr/>
            </w:pPr>
            <w:r>
              <w:rPr/>
              <w:t> </w:t>
            </w:r>
          </w:p>
        </w:tc>
      </w:tr>
      <w:tr>
        <w:trPr/>
        <w:tc>
          <w:tcPr>
            <w:tcW w:w="3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to license druggable targets</w:t>
            </w:r>
          </w:p>
        </w:tc>
        <w:tc>
          <w:tcPr>
            <w:tcW w:w="14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31,148</w:t>
            </w:r>
          </w:p>
        </w:tc>
        <w:tc>
          <w:tcPr>
            <w:tcW w:w="391" w:type="dxa"/>
            <w:tcBorders/>
            <w:vAlign w:val="center"/>
          </w:tcPr>
          <w:p>
            <w:pPr>
              <w:pStyle w:val="TableContents"/>
              <w:bidi w:val="0"/>
              <w:spacing w:before="0" w:after="0"/>
              <w:ind w:left="0" w:right="0" w:hanging="0"/>
              <w:jc w:val="left"/>
              <w:rPr/>
            </w:pPr>
            <w:r>
              <w:rPr/>
              <w:t> </w:t>
            </w:r>
          </w:p>
        </w:tc>
      </w:tr>
      <w:tr>
        <w:trPr/>
        <w:tc>
          <w:tcPr>
            <w:tcW w:w="3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to license undruggable targets</w:t>
            </w:r>
          </w:p>
        </w:tc>
        <w:tc>
          <w:tcPr>
            <w:tcW w:w="146" w:type="dxa"/>
            <w:tcBorders/>
            <w:vAlign w:val="center"/>
          </w:tcPr>
          <w:p>
            <w:pPr>
              <w:pStyle w:val="TableContents"/>
              <w:bidi w:val="0"/>
              <w:spacing w:before="0" w:after="0"/>
              <w:ind w:left="0" w:right="0" w:hanging="0"/>
              <w:jc w:val="left"/>
              <w:rPr/>
            </w:pPr>
            <w:r>
              <w:rPr/>
              <w:t> </w:t>
            </w:r>
          </w:p>
        </w:tc>
        <w:tc>
          <w:tcPr>
            <w:tcW w:w="3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transaction price</w:t>
            </w:r>
          </w:p>
        </w:tc>
        <w:tc>
          <w:tcPr>
            <w:tcW w:w="146" w:type="dxa"/>
            <w:tcBorders/>
            <w:vAlign w:val="center"/>
          </w:tcPr>
          <w:p>
            <w:pPr>
              <w:pStyle w:val="TableContents"/>
              <w:bidi w:val="0"/>
              <w:spacing w:before="0" w:after="0"/>
              <w:ind w:left="0" w:right="0" w:hanging="0"/>
              <w:jc w:val="left"/>
              <w:rPr/>
            </w:pPr>
            <w:r>
              <w:rPr/>
              <w:t> </w:t>
            </w:r>
          </w:p>
        </w:tc>
        <w:tc>
          <w:tcPr>
            <w:tcW w:w="3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240"/>
        <w:jc w:val="both"/>
        <w:rPr>
          <w:rFonts w:ascii="Times New Roman;serif" w:hAnsi="Times New Roman;serif"/>
          <w:b w:val="false"/>
          <w:sz w:val="20"/>
        </w:rPr>
      </w:pPr>
      <w:r>
        <w:rPr>
          <w:rFonts w:ascii="Times New Roman;serif" w:hAnsi="Times New Roman;serif"/>
          <w:b w:val="false"/>
          <w:sz w:val="20"/>
        </w:rPr>
        <w:t>Revenue associated with the options has been deferred and will be recognized at the point in time when options to license are exercised by Bristol Myers Squibb or upon expiry of such options. Revenue associated with the research activities has been deferred and will be recognized on a proportional performance basis over the period of service for research activities, being the collaboration term, using input-based measurements of total costs of research incurred to estimated proportion performed. Progress towards completion is remeasured at the end of each reporting period.</w:t>
      </w:r>
    </w:p>
    <w:tbl>
      <w:tblPr>
        <w:tblW w:w="10205" w:type="dxa"/>
        <w:jc w:val="left"/>
        <w:tblInd w:w="0" w:type="dxa"/>
        <w:tblLayout w:type="fixed"/>
        <w:tblCellMar>
          <w:top w:w="28" w:type="dxa"/>
          <w:left w:w="28" w:type="dxa"/>
          <w:bottom w:w="28" w:type="dxa"/>
          <w:right w:w="28" w:type="dxa"/>
        </w:tblCellMar>
      </w:tblPr>
      <w:tblGrid>
        <w:gridCol w:w="3287"/>
        <w:gridCol w:w="146"/>
        <w:gridCol w:w="288"/>
        <w:gridCol w:w="862"/>
        <w:gridCol w:w="166"/>
        <w:gridCol w:w="409"/>
        <w:gridCol w:w="1428"/>
        <w:gridCol w:w="166"/>
        <w:gridCol w:w="465"/>
        <w:gridCol w:w="1499"/>
        <w:gridCol w:w="146"/>
        <w:gridCol w:w="211"/>
        <w:gridCol w:w="736"/>
        <w:gridCol w:w="396"/>
      </w:tblGrid>
      <w:tr>
        <w:trPr/>
        <w:tc>
          <w:tcPr>
            <w:tcW w:w="3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287"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Deferred revenue pertaining to the BMS Agreement</w:t>
            </w:r>
          </w:p>
        </w:tc>
        <w:tc>
          <w:tcPr>
            <w:tcW w:w="146" w:type="dxa"/>
            <w:tcBorders/>
            <w:vAlign w:val="center"/>
          </w:tcPr>
          <w:p>
            <w:pPr>
              <w:pStyle w:val="TableContents"/>
              <w:bidi w:val="0"/>
              <w:spacing w:before="0" w:after="0"/>
              <w:ind w:left="0" w:right="0" w:hanging="0"/>
              <w:jc w:val="left"/>
              <w:rPr/>
            </w:pPr>
            <w:r>
              <w:rPr/>
              <w:t> </w:t>
            </w:r>
          </w:p>
        </w:tc>
        <w:tc>
          <w:tcPr>
            <w:tcW w:w="11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Research activities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Options to license druggable targets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Options to license undruggable targets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76" w:type="dxa"/>
            <w:gridSpan w:val="11"/>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6" w:type="dxa"/>
            <w:tcBorders/>
            <w:vAlign w:val="center"/>
          </w:tcPr>
          <w:p>
            <w:pPr>
              <w:pStyle w:val="TableContents"/>
              <w:bidi w:val="0"/>
              <w:spacing w:before="0" w:after="0"/>
              <w:ind w:left="0" w:right="0" w:hanging="0"/>
              <w:jc w:val="center"/>
              <w:rPr/>
            </w:pPr>
            <w:r>
              <w:rPr/>
              <w:t> </w:t>
            </w:r>
          </w:p>
        </w:tc>
      </w:tr>
      <w:tr>
        <w:trPr/>
        <w:tc>
          <w:tcPr>
            <w:tcW w:w="32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2,448</w:t>
            </w:r>
          </w:p>
        </w:tc>
        <w:tc>
          <w:tcPr>
            <w:tcW w:w="16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12,459</w:t>
            </w:r>
          </w:p>
        </w:tc>
        <w:tc>
          <w:tcPr>
            <w:tcW w:w="16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27,354</w:t>
            </w:r>
          </w:p>
        </w:tc>
        <w:tc>
          <w:tcPr>
            <w:tcW w:w="396" w:type="dxa"/>
            <w:tcBorders/>
            <w:vAlign w:val="center"/>
          </w:tcPr>
          <w:p>
            <w:pPr>
              <w:pStyle w:val="TableContents"/>
              <w:bidi w:val="0"/>
              <w:spacing w:before="0" w:after="0"/>
              <w:ind w:left="0" w:right="0" w:firstLine="200"/>
              <w:jc w:val="left"/>
              <w:rPr/>
            </w:pPr>
            <w:r>
              <w:rPr/>
              <w:t> </w:t>
            </w:r>
          </w:p>
        </w:tc>
      </w:tr>
      <w:tr>
        <w:trPr/>
        <w:tc>
          <w:tcPr>
            <w:tcW w:w="328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Recognition as revenue, as the result of performance obligations</w:t>
              <w:br/>
              <w:t>   satisfied</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12,459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26,988</w:t>
            </w:r>
          </w:p>
        </w:tc>
        <w:tc>
          <w:tcPr>
            <w:tcW w:w="39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28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Increase in collaboration revenue receivable</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4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w:t>
            </w:r>
          </w:p>
        </w:tc>
        <w:tc>
          <w:tcPr>
            <w:tcW w:w="16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pPr>
            <w:r>
              <w:rPr/>
              <w:t> </w:t>
            </w:r>
          </w:p>
        </w:tc>
        <w:tc>
          <w:tcPr>
            <w:tcW w:w="14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w:t>
            </w:r>
          </w:p>
        </w:tc>
        <w:tc>
          <w:tcPr>
            <w:tcW w:w="396" w:type="dxa"/>
            <w:tcBorders/>
            <w:vAlign w:val="center"/>
          </w:tcPr>
          <w:p>
            <w:pPr>
              <w:pStyle w:val="TableContents"/>
              <w:bidi w:val="0"/>
              <w:spacing w:before="0" w:after="0"/>
              <w:ind w:left="0" w:right="0" w:firstLine="200"/>
              <w:jc w:val="left"/>
              <w:rPr/>
            </w:pPr>
            <w:r>
              <w:rPr/>
              <w:t> </w:t>
            </w:r>
          </w:p>
        </w:tc>
      </w:tr>
      <w:tr>
        <w:trPr/>
        <w:tc>
          <w:tcPr>
            <w:tcW w:w="328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Recognition as revenue, as the result of performance obligations</w:t>
              <w:br/>
              <w:t>   satisfied</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(14,951</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June 30, 2023</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13,287</w:t>
            </w:r>
          </w:p>
        </w:tc>
        <w:tc>
          <w:tcPr>
            <w:tcW w:w="39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28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Classified as short-term</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840</w:t>
            </w:r>
          </w:p>
        </w:tc>
        <w:tc>
          <w:tcPr>
            <w:tcW w:w="16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13,287</w:t>
            </w:r>
          </w:p>
        </w:tc>
        <w:tc>
          <w:tcPr>
            <w:tcW w:w="396" w:type="dxa"/>
            <w:tcBorders/>
            <w:vAlign w:val="center"/>
          </w:tcPr>
          <w:p>
            <w:pPr>
              <w:pStyle w:val="TableContents"/>
              <w:bidi w:val="0"/>
              <w:spacing w:before="0" w:after="0"/>
              <w:ind w:left="0" w:right="0" w:firstLine="200"/>
              <w:jc w:val="left"/>
              <w:rPr/>
            </w:pPr>
            <w:r>
              <w:rPr/>
              <w:t> </w:t>
            </w:r>
          </w:p>
        </w:tc>
      </w:tr>
      <w:tr>
        <w:trPr/>
        <w:tc>
          <w:tcPr>
            <w:tcW w:w="328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Classified as long-term</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4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pPr>
            <w:r>
              <w:rPr/>
              <w:t> </w:t>
            </w:r>
          </w:p>
        </w:tc>
        <w:tc>
          <w:tcPr>
            <w:tcW w:w="14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6"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Times New Roman;serif" w:hAnsi="Times New Roman;serif"/>
          <w:b w:val="false"/>
          <w:sz w:val="20"/>
        </w:rPr>
        <w:t>The Company recognized $1.2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$0.7</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revenue for the three months ended June 30, 2023 and 2022. respectively, and $1.6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six months ended June 30, 2023 and 2022, respectively, in recognition of deferred revenue for research activities performed under the BMS Agreement.</w:t>
      </w:r>
    </w:p>
    <w:p>
      <w:pPr>
        <w:pStyle w:val="TextBody"/>
        <w:bidi w:val="0"/>
        <w:spacing w:before="240" w:after="0"/>
        <w:jc w:val="both"/>
        <w:rPr>
          <w:rFonts w:ascii="Times New Roman" w:hAnsi="Times New Roman"/>
          <w:sz w:val="20"/>
        </w:rPr>
      </w:pPr>
      <w:r>
        <w:rPr>
          <w:rFonts w:ascii="Times New Roman;serif" w:hAnsi="Times New Roman;serif"/>
          <w:b w:val="false"/>
          <w:sz w:val="20"/>
        </w:rPr>
        <w:t>In May 2023, Bristol Myers Squibb exercised its option for a druggable target and in June 2023, Bristol Myers Squibb waived its rights to exercise an option for a druggable target. As a result, the Company recognized $12.7</w:t>
      </w:r>
      <w:r>
        <w:rPr>
          <w:rFonts w:ascii="Times New Roman" w:hAnsi="Times New Roman"/>
          <w:sz w:val="20"/>
        </w:rPr>
        <w:t xml:space="preserve"> </w:t>
      </w:r>
      <w:r>
        <w:rPr>
          <w:rFonts w:ascii="Times New Roman;serif" w:hAnsi="Times New Roman;serif"/>
          <w:b w:val="false"/>
          <w:sz w:val="20"/>
        </w:rPr>
        <w:t>million as revenue related to druggable targets for the three and six months ended June 30, 2023 (nil</w:t>
      </w:r>
      <w:r>
        <w:rPr>
          <w:rFonts w:ascii="Times New Roman" w:hAnsi="Times New Roman"/>
          <w:sz w:val="20"/>
        </w:rPr>
        <w:t xml:space="preserve"> </w:t>
      </w:r>
      <w:r>
        <w:rPr>
          <w:rFonts w:ascii="Times New Roman;serif" w:hAnsi="Times New Roman;serif"/>
          <w:b w:val="false"/>
          <w:sz w:val="20"/>
        </w:rPr>
        <w:t>for the three and six months ended June 30, 2022), including the option fee of $0.25</w:t>
      </w:r>
      <w:r>
        <w:rPr>
          <w:rFonts w:ascii="Times New Roman" w:hAnsi="Times New Roman"/>
          <w:sz w:val="20"/>
        </w:rPr>
        <w:t xml:space="preserve"> </w:t>
      </w:r>
      <w:r>
        <w:rPr>
          <w:rFonts w:ascii="Times New Roman;serif" w:hAnsi="Times New Roman;serif"/>
          <w:b w:val="false"/>
          <w:sz w:val="20"/>
        </w:rPr>
        <w:t>million which was received in July 2023.</w:t>
      </w:r>
    </w:p>
    <w:p>
      <w:pPr>
        <w:pStyle w:val="TextBody"/>
        <w:bidi w:val="0"/>
        <w:spacing w:before="240" w:after="0"/>
        <w:jc w:val="both"/>
        <w:rPr>
          <w:rFonts w:ascii="Times New Roman" w:hAnsi="Times New Roman"/>
          <w:sz w:val="20"/>
        </w:rPr>
      </w:pPr>
      <w:r>
        <w:rPr>
          <w:rFonts w:ascii="Times New Roman;serif" w:hAnsi="Times New Roman;serif"/>
          <w:b w:val="false"/>
          <w:sz w:val="20"/>
        </w:rPr>
        <w:t>In May 2023, Bristol Myers Squibb also triggered a $1.0</w:t>
      </w:r>
      <w:r>
        <w:rPr>
          <w:rFonts w:ascii="Times New Roman" w:hAnsi="Times New Roman"/>
          <w:sz w:val="20"/>
        </w:rPr>
        <w:t xml:space="preserve"> </w:t>
      </w:r>
      <w:r>
        <w:rPr>
          <w:rFonts w:ascii="Times New Roman;serif" w:hAnsi="Times New Roman;serif"/>
          <w:b w:val="false"/>
          <w:sz w:val="20"/>
        </w:rPr>
        <w:t>million further development election for a previously exercised druggable target. As such, the Company recognized this specified research milestone as revenue during the three and six months ended June 30, 2023 (nil</w:t>
      </w:r>
      <w:r>
        <w:rPr>
          <w:rFonts w:ascii="Times New Roman" w:hAnsi="Times New Roman"/>
          <w:sz w:val="20"/>
        </w:rPr>
        <w:t xml:space="preserve"> </w:t>
      </w:r>
      <w:r>
        <w:rPr>
          <w:rFonts w:ascii="Times New Roman;serif" w:hAnsi="Times New Roman;serif"/>
          <w:b w:val="false"/>
          <w:sz w:val="20"/>
        </w:rPr>
        <w:t>for the three and six months ended June 30, 2022), which was received in July 2023.</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As of June 30, 2023, there was $13.3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$27.4</w:t>
      </w:r>
      <w:r>
        <w:rPr>
          <w:rFonts w:ascii="Times New Roman" w:hAnsi="Times New Roman"/>
          <w:sz w:val="20"/>
        </w:rPr>
        <w:t xml:space="preserve"> </w:t>
      </w:r>
      <w:r>
        <w:rPr>
          <w:rFonts w:ascii="Times New Roman;serif" w:hAnsi="Times New Roman;serif"/>
          <w:b w:val="false"/>
          <w:sz w:val="20"/>
        </w:rPr>
        <w:t>million) of deferred revenue related to the BMS Agreement, which was classified as current in the condensed consolidated balance sheet based on the period the services are expected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to be performed, the expected timing of potential option exercises for undruggable targets, and the expected expiry of the BMS Agreement.</w:t>
      </w:r>
    </w:p>
    <w:p>
      <w:pPr>
        <w:pStyle w:val="TextBody"/>
        <w:bidi w:val="0"/>
        <w:spacing w:before="240" w:after="0"/>
        <w:jc w:val="both"/>
        <w:rPr>
          <w:rFonts w:ascii="Times New Roman;serif" w:hAnsi="Times New Roman;serif"/>
          <w:b/>
          <w:sz w:val="20"/>
        </w:rPr>
      </w:pPr>
      <w:r>
        <w:rPr>
          <w:rFonts w:ascii="Times New Roman;serif" w:hAnsi="Times New Roman;serif"/>
          <w:b/>
          <w:sz w:val="20"/>
        </w:rPr>
        <w:t>(c) Ono Collaboration Agreement</w:t>
      </w:r>
    </w:p>
    <w:p>
      <w:pPr>
        <w:pStyle w:val="TextBody"/>
        <w:bidi w:val="0"/>
        <w:spacing w:before="120" w:after="0"/>
        <w:jc w:val="both"/>
        <w:rPr>
          <w:rFonts w:ascii="Times New Roman" w:hAnsi="Times New Roman"/>
          <w:sz w:val="20"/>
        </w:rPr>
      </w:pPr>
      <w:r>
        <w:rPr>
          <w:rFonts w:ascii="Times New Roman;serif" w:hAnsi="Times New Roman;serif"/>
          <w:b w:val="false"/>
          <w:sz w:val="20"/>
        </w:rPr>
        <w:t>In January 2019, the Company entered into a research services, license and collaboration agreement, or the Ono Agreement, with Ono Pharmaceutical Company Ltd., or Ono, pursuant to which the Company and Ono agreed to collaborate in the research of potential product candidates targeting Polθ and the development of the Company’s small molecule Polθ inhibitor program. The Company was primarily responsible for carrying out research activities to identify a product candidate, to be licensed to Ono, in accordance with a mutually agreed upon research plan during a research term that will end upon the earlier of the date of the first submission of an Investigational New Drug application (“IND”) in the United States or Japan, or the end of the research term. In the event that Ono elected to collaborate on the subsequent development and commercialization of the proposed product candidate, Ono would then have been responsible for such activities in Japan, South Korea, Taiwan, Hong-Kong, Macau and the Association of Southeast Asian Nations (collectively, the “Ono territory”), and the Company would have then been responsible for all such activities in the rest of the world outside the Ono territory, including the United States, Canada and European Union. In such instance, Ono would have been responsible for a specified percentage of research and developments costs for the IND-enabling studies of the selected product candidate.</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October 2021, the Company and Ono entered into an amendment to the Ono Agreement whereby the research term, as defined in the Ono Agreement, was extended by one year. In January 2023, the Company and Ono entered into a second amendment to the Ono Agreement whereby the Research Term, as defined in the Ono Agreement, was extended until July 31, 2023.</w:t>
      </w:r>
    </w:p>
    <w:p>
      <w:pPr>
        <w:pStyle w:val="TextBody"/>
        <w:bidi w:val="0"/>
        <w:spacing w:before="240" w:after="240"/>
        <w:jc w:val="both"/>
        <w:rPr>
          <w:rFonts w:ascii="Times New Roman" w:hAnsi="Times New Roman"/>
          <w:sz w:val="20"/>
        </w:rPr>
      </w:pPr>
      <w:r>
        <w:rPr>
          <w:rFonts w:ascii="Times New Roman;serif" w:hAnsi="Times New Roman;serif"/>
          <w:b w:val="false"/>
          <w:sz w:val="20"/>
        </w:rPr>
        <w:t>Pursuant to the terms of the Ono Agreement, the Company received initial upfront payments of ¥900</w:t>
      </w:r>
      <w:r>
        <w:rPr>
          <w:rFonts w:ascii="Times New Roman" w:hAnsi="Times New Roman"/>
          <w:sz w:val="20"/>
        </w:rPr>
        <w:t xml:space="preserve"> </w:t>
      </w:r>
      <w:r>
        <w:rPr>
          <w:rFonts w:ascii="Times New Roman;serif" w:hAnsi="Times New Roman;serif"/>
          <w:b w:val="false"/>
          <w:sz w:val="20"/>
        </w:rPr>
        <w:t>million ($8.1</w:t>
      </w:r>
      <w:r>
        <w:rPr>
          <w:rFonts w:ascii="Times New Roman" w:hAnsi="Times New Roman"/>
          <w:sz w:val="20"/>
        </w:rPr>
        <w:t xml:space="preserve"> </w:t>
      </w:r>
      <w:r>
        <w:rPr>
          <w:rFonts w:ascii="Times New Roman;serif" w:hAnsi="Times New Roman;serif"/>
          <w:b w:val="false"/>
          <w:sz w:val="20"/>
        </w:rPr>
        <w:t>million). These upfront payments were recorded as deferred revenue and were to be recognized as revenue at the point in time when a product candidate was licensed to Ono pursuant to the terms of the agreement, reflecting the single performance obligation under the Ono Agreement in accordance with the Company’s assessment of the arrangement under ASC 606. In addition, in connection with the research activities to be conducted pursuant to the Ono Agreement, the Company was eligible to receive additional research service payments of up to an aggregate of ¥750</w:t>
      </w:r>
      <w:r>
        <w:rPr>
          <w:rFonts w:ascii="Times New Roman" w:hAnsi="Times New Roman"/>
          <w:sz w:val="20"/>
        </w:rPr>
        <w:t xml:space="preserve"> </w:t>
      </w:r>
      <w:r>
        <w:rPr>
          <w:rFonts w:ascii="Times New Roman;serif" w:hAnsi="Times New Roman;serif"/>
          <w:b w:val="false"/>
          <w:sz w:val="20"/>
        </w:rPr>
        <w:t>million ($6.5</w:t>
      </w:r>
      <w:r>
        <w:rPr>
          <w:rFonts w:ascii="Times New Roman" w:hAnsi="Times New Roman"/>
          <w:sz w:val="20"/>
        </w:rPr>
        <w:t xml:space="preserve"> </w:t>
      </w:r>
      <w:r>
        <w:rPr>
          <w:rFonts w:ascii="Times New Roman;serif" w:hAnsi="Times New Roman;serif"/>
          <w:b w:val="false"/>
          <w:sz w:val="20"/>
        </w:rPr>
        <w:t>million) upon the occurrence of certain specified research triggers. In October 2021 and December 2022, the Company achieved specified research triggers amounting to ¥100</w:t>
      </w:r>
      <w:r>
        <w:rPr>
          <w:rFonts w:ascii="Times New Roman" w:hAnsi="Times New Roman"/>
          <w:sz w:val="20"/>
        </w:rPr>
        <w:t xml:space="preserve"> </w:t>
      </w:r>
      <w:r>
        <w:rPr>
          <w:rFonts w:ascii="Times New Roman;serif" w:hAnsi="Times New Roman;serif"/>
          <w:b w:val="false"/>
          <w:sz w:val="20"/>
        </w:rPr>
        <w:t>million ($0.9</w:t>
      </w:r>
      <w:r>
        <w:rPr>
          <w:rFonts w:ascii="Times New Roman" w:hAnsi="Times New Roman"/>
          <w:sz w:val="20"/>
        </w:rPr>
        <w:t xml:space="preserve"> </w:t>
      </w:r>
      <w:r>
        <w:rPr>
          <w:rFonts w:ascii="Times New Roman;serif" w:hAnsi="Times New Roman;serif"/>
          <w:b w:val="false"/>
          <w:sz w:val="20"/>
        </w:rPr>
        <w:t>million) and ¥200</w:t>
      </w:r>
      <w:r>
        <w:rPr>
          <w:rFonts w:ascii="Times New Roman" w:hAnsi="Times New Roman"/>
          <w:sz w:val="20"/>
        </w:rPr>
        <w:t xml:space="preserve"> </w:t>
      </w:r>
      <w:r>
        <w:rPr>
          <w:rFonts w:ascii="Times New Roman;serif" w:hAnsi="Times New Roman;serif"/>
          <w:b w:val="false"/>
          <w:sz w:val="20"/>
        </w:rPr>
        <w:t>million ($1.5</w:t>
      </w:r>
      <w:r>
        <w:rPr>
          <w:rFonts w:ascii="Times New Roman" w:hAnsi="Times New Roman"/>
          <w:sz w:val="20"/>
        </w:rPr>
        <w:t xml:space="preserve"> </w:t>
      </w:r>
      <w:r>
        <w:rPr>
          <w:rFonts w:ascii="Times New Roman;serif" w:hAnsi="Times New Roman;serif"/>
          <w:b w:val="false"/>
          <w:sz w:val="20"/>
        </w:rPr>
        <w:t>million), respectively, as research service payments provided for in the Ono Agreement. These amounts were added to the transaction price under the arrangement and were recorded as deferred revenue. The Company was further entitled to receive clinical, regulatory and commercial milestone payments of up to ¥17.21</w:t>
      </w:r>
      <w:r>
        <w:rPr>
          <w:rFonts w:ascii="Times New Roman" w:hAnsi="Times New Roman"/>
          <w:sz w:val="20"/>
        </w:rPr>
        <w:t xml:space="preserve"> </w:t>
      </w:r>
      <w:r>
        <w:rPr>
          <w:rFonts w:ascii="Times New Roman;serif" w:hAnsi="Times New Roman;serif"/>
          <w:b w:val="false"/>
          <w:sz w:val="20"/>
        </w:rPr>
        <w:t>billion ($149.5</w:t>
      </w:r>
      <w:r>
        <w:rPr>
          <w:rFonts w:ascii="Times New Roman" w:hAnsi="Times New Roman"/>
          <w:sz w:val="20"/>
        </w:rPr>
        <w:t xml:space="preserve"> </w:t>
      </w:r>
      <w:r>
        <w:rPr>
          <w:rFonts w:ascii="Times New Roman;serif" w:hAnsi="Times New Roman;serif"/>
          <w:b w:val="false"/>
          <w:sz w:val="20"/>
        </w:rPr>
        <w:t>million) in the aggregate, plus a tiered percentage royalty on annual net sales in Ono’s Territory ranging from high-single digits to low teens, subject to specified reductions.</w:t>
      </w:r>
      <w:r>
        <w:rPr>
          <w:rFonts w:ascii="Times New Roman" w:hAnsi="Times New Roman"/>
          <w:sz w:val="20"/>
        </w:rPr>
        <w:t xml:space="preserve"> </w:t>
      </w:r>
    </w:p>
    <w:tbl>
      <w:tblPr>
        <w:tblW w:w="8038" w:type="dxa"/>
        <w:jc w:val="left"/>
        <w:tblInd w:w="0" w:type="dxa"/>
        <w:tblLayout w:type="fixed"/>
        <w:tblCellMar>
          <w:top w:w="28" w:type="dxa"/>
          <w:left w:w="28" w:type="dxa"/>
          <w:bottom w:w="28" w:type="dxa"/>
          <w:right w:w="28" w:type="dxa"/>
        </w:tblCellMar>
      </w:tblPr>
      <w:tblGrid>
        <w:gridCol w:w="6046"/>
        <w:gridCol w:w="146"/>
        <w:gridCol w:w="324"/>
        <w:gridCol w:w="1131"/>
        <w:gridCol w:w="391"/>
      </w:tblGrid>
      <w:tr>
        <w:trPr/>
        <w:tc>
          <w:tcPr>
            <w:tcW w:w="6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4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Deferred revenue pertaining to the Ono Agreement</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Research activities</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10,473</w:t>
            </w:r>
          </w:p>
        </w:tc>
        <w:tc>
          <w:tcPr>
            <w:tcW w:w="391" w:type="dxa"/>
            <w:tcBorders/>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Recognition as revenue, as the result of performance obligations satisfied</w:t>
            </w:r>
          </w:p>
        </w:tc>
        <w:tc>
          <w:tcPr>
            <w:tcW w:w="146" w:type="dxa"/>
            <w:tcBorders/>
            <w:vAlign w:val="center"/>
          </w:tcPr>
          <w:p>
            <w:pPr>
              <w:pStyle w:val="TableContents"/>
              <w:bidi w:val="0"/>
              <w:spacing w:before="0" w:after="0"/>
              <w:ind w:left="0" w:right="0" w:hanging="0"/>
              <w:jc w:val="left"/>
              <w:rPr/>
            </w:pPr>
            <w:r>
              <w:rPr/>
              <w:t> </w:t>
            </w:r>
          </w:p>
        </w:tc>
        <w:tc>
          <w:tcPr>
            <w:tcW w:w="3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3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10,473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Recognition as revenue, as the result of performance obligations satisfied</w:t>
            </w:r>
          </w:p>
        </w:tc>
        <w:tc>
          <w:tcPr>
            <w:tcW w:w="146" w:type="dxa"/>
            <w:tcBorders/>
            <w:vAlign w:val="center"/>
          </w:tcPr>
          <w:p>
            <w:pPr>
              <w:pStyle w:val="TableContents"/>
              <w:bidi w:val="0"/>
              <w:spacing w:before="0" w:after="0"/>
              <w:ind w:left="0" w:right="0" w:hanging="0"/>
              <w:jc w:val="left"/>
              <w:rPr/>
            </w:pPr>
            <w:r>
              <w:rPr/>
              <w:t> </w:t>
            </w:r>
          </w:p>
        </w:tc>
        <w:tc>
          <w:tcPr>
            <w:tcW w:w="3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(10,473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June 30, 2023</w:t>
            </w:r>
          </w:p>
        </w:tc>
        <w:tc>
          <w:tcPr>
            <w:tcW w:w="146" w:type="dxa"/>
            <w:tcBorders/>
            <w:vAlign w:val="center"/>
          </w:tcPr>
          <w:p>
            <w:pPr>
              <w:pStyle w:val="TableContents"/>
              <w:bidi w:val="0"/>
              <w:spacing w:before="0" w:after="0"/>
              <w:ind w:left="0" w:right="0" w:hanging="0"/>
              <w:jc w:val="left"/>
              <w:rPr/>
            </w:pPr>
            <w:r>
              <w:rPr/>
              <w:t> </w:t>
            </w:r>
          </w:p>
        </w:tc>
        <w:tc>
          <w:tcPr>
            <w:tcW w:w="3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Times New Roman;serif" w:hAnsi="Times New Roman;serif"/>
          <w:b w:val="false"/>
          <w:sz w:val="20"/>
        </w:rPr>
        <w:t>In June 2023, the Company and Ono determined not to further extend the Term of the Ono Agreement. As a result, no product candidate will be licensed to Ono pursuant to the terms of Agreement. The Company recognized $10.5</w:t>
      </w:r>
      <w:r>
        <w:rPr>
          <w:rFonts w:ascii="Times New Roman" w:hAnsi="Times New Roman"/>
          <w:sz w:val="20"/>
        </w:rPr>
        <w:t xml:space="preserve"> </w:t>
      </w:r>
      <w:r>
        <w:rPr>
          <w:rFonts w:ascii="Times New Roman;serif" w:hAnsi="Times New Roman;serif"/>
          <w:b w:val="false"/>
          <w:sz w:val="20"/>
        </w:rPr>
        <w:t>million as revenue for the three and six months ended June 30, 2023 (nil</w:t>
      </w:r>
      <w:r>
        <w:rPr>
          <w:rFonts w:ascii="Times New Roman" w:hAnsi="Times New Roman"/>
          <w:sz w:val="20"/>
        </w:rPr>
        <w:t xml:space="preserve"> </w:t>
      </w:r>
      <w:r>
        <w:rPr>
          <w:rFonts w:ascii="Times New Roman;serif" w:hAnsi="Times New Roman;serif"/>
          <w:b w:val="false"/>
          <w:sz w:val="20"/>
        </w:rPr>
        <w:t>for the three and six months ended June 30, 2022) with regards to the performance obligation under the Ono Agreement. In July 2023, Ono provided the Company with a formal notice to terminate the Ono Agreement without cause as defined in the Ono Agreement. As a result of this termination, all rights to the Polθ program have reverted to the Company.</w:t>
      </w:r>
    </w:p>
    <w:p>
      <w:pPr>
        <w:pStyle w:val="TextBody"/>
        <w:bidi w:val="0"/>
        <w:spacing w:before="360" w:after="0"/>
        <w:jc w:val="both"/>
        <w:rPr>
          <w:rFonts w:ascii="Times New Roman" w:hAnsi="Times New Roman"/>
          <w:sz w:val="20"/>
        </w:rPr>
      </w:pPr>
      <w:r>
        <w:rPr>
          <w:rFonts w:ascii="Times New Roman;serif" w:hAnsi="Times New Roman;serif"/>
          <w:b/>
          <w:sz w:val="20"/>
        </w:rPr>
        <w:t>8. Leases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has historically entered into lease arrangements for its facilities. As of June 30, 2023, the Company had four</w:t>
      </w:r>
      <w:r>
        <w:rPr>
          <w:rFonts w:ascii="Times New Roman" w:hAnsi="Times New Roman"/>
          <w:sz w:val="20"/>
        </w:rPr>
        <w:t xml:space="preserve"> </w:t>
      </w:r>
      <w:r>
        <w:rPr>
          <w:rFonts w:ascii="Times New Roman;serif" w:hAnsi="Times New Roman;serif"/>
          <w:b w:val="false"/>
          <w:sz w:val="20"/>
        </w:rPr>
        <w:t>operating leases with required future minimum payments. The Company’s leases generally do not include termination</w:t>
      </w:r>
      <w:r>
        <w:rPr>
          <w:rFonts w:ascii="Times New Roman" w:hAnsi="Times New Roman"/>
          <w:sz w:val="20"/>
        </w:rPr>
        <w:t xml:space="preserve"> </w:t>
      </w:r>
      <w:r>
        <w:rPr>
          <w:rFonts w:ascii="Times New Roman;serif" w:hAnsi="Times New Roman;serif"/>
          <w:b w:val="false"/>
          <w:sz w:val="20"/>
        </w:rPr>
        <w:t>or purchase options.</w:t>
      </w:r>
    </w:p>
    <w:p>
      <w:pPr>
        <w:pStyle w:val="TextBody"/>
        <w:bidi w:val="0"/>
        <w:spacing w:before="120" w:after="0"/>
        <w:jc w:val="both"/>
        <w:rPr>
          <w:rFonts w:ascii="Times New Roman" w:hAnsi="Times New Roman"/>
          <w:sz w:val="20"/>
        </w:rPr>
      </w:pPr>
      <w:r>
        <w:rPr>
          <w:rFonts w:ascii="Times New Roman;serif" w:hAnsi="Times New Roman;serif"/>
          <w:b w:val="false"/>
          <w:sz w:val="20"/>
        </w:rPr>
        <w:t>In January 2023, and as further amended in April 2023, the Company entered into a lease renewal agreement for office and laboratory space located in Montréal, Québec, for a thirty-two month</w:t>
      </w:r>
      <w:r>
        <w:rPr>
          <w:rFonts w:ascii="Times New Roman" w:hAnsi="Times New Roman"/>
          <w:sz w:val="20"/>
        </w:rPr>
        <w:t xml:space="preserve"> </w:t>
      </w:r>
      <w:r>
        <w:rPr>
          <w:rFonts w:ascii="Times New Roman;serif" w:hAnsi="Times New Roman;serif"/>
          <w:b w:val="false"/>
          <w:sz w:val="20"/>
        </w:rPr>
        <w:t>term, ending in August 2025.</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i/>
          <w:sz w:val="20"/>
        </w:rPr>
        <w:t>Operating Leases</w:t>
      </w:r>
      <w:r>
        <w:rPr>
          <w:rFonts w:ascii="Times New Roman" w:hAnsi="Times New Roman"/>
          <w:sz w:val="20"/>
        </w:rPr>
        <w:t xml:space="preserve"> </w:t>
      </w:r>
    </w:p>
    <w:p>
      <w:pPr>
        <w:pStyle w:val="TextBody"/>
        <w:bidi w:val="0"/>
        <w:spacing w:before="120" w:after="240"/>
        <w:jc w:val="both"/>
        <w:rPr>
          <w:rFonts w:ascii="Times New Roman;serif" w:hAnsi="Times New Roman;serif"/>
          <w:b w:val="false"/>
          <w:sz w:val="20"/>
        </w:rPr>
      </w:pPr>
      <w:r>
        <w:rPr>
          <w:rFonts w:ascii="Times New Roman;serif" w:hAnsi="Times New Roman;serif"/>
          <w:b w:val="false"/>
          <w:sz w:val="20"/>
        </w:rPr>
        <w:t xml:space="preserve">The following tables contain a summary of the lease costs recognized under ASC 842 and other information pertaining to the Company’s operating leases for the three and six months ended June 30, 2023 and 2022: </w:t>
      </w:r>
    </w:p>
    <w:tbl>
      <w:tblPr>
        <w:tblW w:w="6163" w:type="dxa"/>
        <w:jc w:val="left"/>
        <w:tblInd w:w="0" w:type="dxa"/>
        <w:tblLayout w:type="fixed"/>
        <w:tblCellMar>
          <w:top w:w="28" w:type="dxa"/>
          <w:left w:w="28" w:type="dxa"/>
          <w:bottom w:w="28" w:type="dxa"/>
          <w:right w:w="28" w:type="dxa"/>
        </w:tblCellMar>
      </w:tblPr>
      <w:tblGrid>
        <w:gridCol w:w="1876"/>
        <w:gridCol w:w="146"/>
        <w:gridCol w:w="217"/>
        <w:gridCol w:w="434"/>
        <w:gridCol w:w="150"/>
        <w:gridCol w:w="150"/>
        <w:gridCol w:w="217"/>
        <w:gridCol w:w="434"/>
        <w:gridCol w:w="146"/>
        <w:gridCol w:w="146"/>
        <w:gridCol w:w="211"/>
        <w:gridCol w:w="571"/>
        <w:gridCol w:w="146"/>
        <w:gridCol w:w="146"/>
        <w:gridCol w:w="211"/>
        <w:gridCol w:w="571"/>
        <w:gridCol w:w="3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750"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18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651" w:type="dxa"/>
            <w:gridSpan w:val="2"/>
            <w:tcBorders/>
            <w:vAlign w:val="center"/>
          </w:tcPr>
          <w:p>
            <w:pPr>
              <w:pStyle w:val="TableContents"/>
              <w:bidi w:val="0"/>
              <w:spacing w:before="0" w:after="0"/>
              <w:ind w:left="0" w:right="0" w:hanging="0"/>
              <w:jc w:val="right"/>
              <w:rPr/>
            </w:pPr>
            <w:r>
              <w:rPr/>
              <w:t> </w:t>
            </w:r>
          </w:p>
        </w:tc>
        <w:tc>
          <w:tcPr>
            <w:tcW w:w="150" w:type="dxa"/>
            <w:tcBorders/>
            <w:vAlign w:val="center"/>
          </w:tcPr>
          <w:p>
            <w:pPr>
              <w:pStyle w:val="TableContents"/>
              <w:bidi w:val="0"/>
              <w:spacing w:before="0" w:after="0"/>
              <w:ind w:left="0" w:right="0" w:hanging="0"/>
              <w:jc w:val="right"/>
              <w:rPr/>
            </w:pPr>
            <w:r>
              <w:rPr/>
              <w:t> </w:t>
            </w:r>
          </w:p>
        </w:tc>
        <w:tc>
          <w:tcPr>
            <w:tcW w:w="150" w:type="dxa"/>
            <w:tcBorders/>
            <w:vAlign w:val="center"/>
          </w:tcPr>
          <w:p>
            <w:pPr>
              <w:pStyle w:val="TableContents"/>
              <w:bidi w:val="0"/>
              <w:spacing w:before="0" w:after="0"/>
              <w:ind w:left="0" w:right="0" w:hanging="0"/>
              <w:jc w:val="right"/>
              <w:rPr/>
            </w:pPr>
            <w:r>
              <w:rPr/>
              <w:t> </w:t>
            </w:r>
          </w:p>
        </w:tc>
        <w:tc>
          <w:tcPr>
            <w:tcW w:w="6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1876"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Lease Costs</w:t>
            </w:r>
          </w:p>
        </w:tc>
        <w:tc>
          <w:tcPr>
            <w:tcW w:w="146" w:type="dxa"/>
            <w:tcBorders/>
            <w:vAlign w:val="center"/>
          </w:tcPr>
          <w:p>
            <w:pPr>
              <w:pStyle w:val="TableContents"/>
              <w:bidi w:val="0"/>
              <w:spacing w:before="0" w:after="0"/>
              <w:ind w:left="0" w:right="0" w:hanging="0"/>
              <w:jc w:val="left"/>
              <w:rPr/>
            </w:pPr>
            <w:r>
              <w:rPr/>
              <w:t> </w:t>
            </w:r>
          </w:p>
        </w:tc>
        <w:tc>
          <w:tcPr>
            <w:tcW w:w="651" w:type="dxa"/>
            <w:gridSpan w:val="2"/>
            <w:tcBorders/>
            <w:vAlign w:val="center"/>
          </w:tcPr>
          <w:p>
            <w:pPr>
              <w:pStyle w:val="TableContents"/>
              <w:bidi w:val="0"/>
              <w:spacing w:before="0" w:after="0"/>
              <w:ind w:left="0" w:right="0" w:hanging="0"/>
              <w:jc w:val="right"/>
              <w:rPr/>
            </w:pPr>
            <w:r>
              <w:rPr/>
              <w:t> </w:t>
            </w:r>
          </w:p>
        </w:tc>
        <w:tc>
          <w:tcPr>
            <w:tcW w:w="150" w:type="dxa"/>
            <w:tcBorders/>
            <w:vAlign w:val="center"/>
          </w:tcPr>
          <w:p>
            <w:pPr>
              <w:pStyle w:val="TableContents"/>
              <w:bidi w:val="0"/>
              <w:spacing w:before="0" w:after="0"/>
              <w:ind w:left="0" w:right="0" w:hanging="0"/>
              <w:jc w:val="right"/>
              <w:rPr/>
            </w:pPr>
            <w:r>
              <w:rPr/>
              <w:t> </w:t>
            </w:r>
          </w:p>
        </w:tc>
        <w:tc>
          <w:tcPr>
            <w:tcW w:w="150" w:type="dxa"/>
            <w:tcBorders/>
            <w:vAlign w:val="center"/>
          </w:tcPr>
          <w:p>
            <w:pPr>
              <w:pStyle w:val="TableContents"/>
              <w:bidi w:val="0"/>
              <w:spacing w:before="0" w:after="0"/>
              <w:ind w:left="0" w:right="0" w:hanging="0"/>
              <w:jc w:val="right"/>
              <w:rPr/>
            </w:pPr>
            <w:r>
              <w:rPr/>
              <w:t> </w:t>
            </w:r>
          </w:p>
        </w:tc>
        <w:tc>
          <w:tcPr>
            <w:tcW w:w="6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18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costs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w:t>
            </w:r>
          </w:p>
        </w:tc>
        <w:tc>
          <w:tcPr>
            <w:tcW w:w="150"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1,231</w:t>
            </w:r>
          </w:p>
        </w:tc>
        <w:tc>
          <w:tcPr>
            <w:tcW w:w="391" w:type="dxa"/>
            <w:tcBorders/>
            <w:vAlign w:val="center"/>
          </w:tcPr>
          <w:p>
            <w:pPr>
              <w:pStyle w:val="TableContents"/>
              <w:bidi w:val="0"/>
              <w:spacing w:before="0" w:after="0"/>
              <w:ind w:left="0" w:right="0" w:firstLine="200"/>
              <w:jc w:val="left"/>
              <w:rPr/>
            </w:pPr>
            <w:r>
              <w:rPr/>
              <w:t> </w:t>
            </w:r>
          </w:p>
        </w:tc>
      </w:tr>
      <w:tr>
        <w:trPr/>
        <w:tc>
          <w:tcPr>
            <w:tcW w:w="18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lease costs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50"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91" w:type="dxa"/>
            <w:tcBorders/>
            <w:vAlign w:val="center"/>
          </w:tcPr>
          <w:p>
            <w:pPr>
              <w:pStyle w:val="TableContents"/>
              <w:bidi w:val="0"/>
              <w:spacing w:before="0" w:after="0"/>
              <w:ind w:left="0" w:right="0" w:firstLine="200"/>
              <w:jc w:val="left"/>
              <w:rPr/>
            </w:pPr>
            <w:r>
              <w:rPr/>
              <w:t> </w:t>
            </w:r>
          </w:p>
        </w:tc>
      </w:tr>
      <w:tr>
        <w:trPr/>
        <w:tc>
          <w:tcPr>
            <w:tcW w:w="18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Variable lease costs</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8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lease costs</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685</w:t>
            </w:r>
          </w:p>
        </w:tc>
        <w:tc>
          <w:tcPr>
            <w:tcW w:w="1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pPr>
      <w:r>
        <w:rPr/>
        <w:t> </w:t>
      </w:r>
    </w:p>
    <w:tbl>
      <w:tblPr>
        <w:tblW w:w="9880" w:type="dxa"/>
        <w:jc w:val="left"/>
        <w:tblInd w:w="0" w:type="dxa"/>
        <w:tblLayout w:type="fixed"/>
        <w:tblCellMar>
          <w:top w:w="28" w:type="dxa"/>
          <w:left w:w="28" w:type="dxa"/>
          <w:bottom w:w="28" w:type="dxa"/>
          <w:right w:w="28" w:type="dxa"/>
        </w:tblCellMar>
      </w:tblPr>
      <w:tblGrid>
        <w:gridCol w:w="6076"/>
        <w:gridCol w:w="146"/>
        <w:gridCol w:w="367"/>
        <w:gridCol w:w="995"/>
        <w:gridCol w:w="472"/>
        <w:gridCol w:w="254"/>
        <w:gridCol w:w="367"/>
        <w:gridCol w:w="812"/>
        <w:gridCol w:w="391"/>
      </w:tblGrid>
      <w:tr>
        <w:trPr/>
        <w:tc>
          <w:tcPr>
            <w:tcW w:w="6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26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4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7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26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as specified otherwise)</w:t>
            </w:r>
          </w:p>
        </w:tc>
        <w:tc>
          <w:tcPr>
            <w:tcW w:w="391" w:type="dxa"/>
            <w:tcBorders/>
            <w:vAlign w:val="center"/>
          </w:tcPr>
          <w:p>
            <w:pPr>
              <w:pStyle w:val="TableContents"/>
              <w:bidi w:val="0"/>
              <w:spacing w:before="0" w:after="0"/>
              <w:ind w:left="0" w:right="0" w:hanging="0"/>
              <w:jc w:val="center"/>
              <w:rPr/>
            </w:pPr>
            <w:r>
              <w:rPr/>
              <w:t> </w:t>
            </w:r>
          </w:p>
        </w:tc>
      </w:tr>
      <w:tr>
        <w:trPr/>
        <w:tc>
          <w:tcPr>
            <w:tcW w:w="60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Other Operating Lease Information</w:t>
            </w:r>
          </w:p>
        </w:tc>
        <w:tc>
          <w:tcPr>
            <w:tcW w:w="146" w:type="dxa"/>
            <w:tcBorders/>
            <w:vAlign w:val="center"/>
          </w:tcPr>
          <w:p>
            <w:pPr>
              <w:pStyle w:val="TableContents"/>
              <w:bidi w:val="0"/>
              <w:spacing w:before="0" w:after="0"/>
              <w:ind w:left="0" w:right="0" w:hanging="0"/>
              <w:jc w:val="left"/>
              <w:rPr/>
            </w:pPr>
            <w:r>
              <w:rPr/>
              <w:t> </w:t>
            </w:r>
          </w:p>
        </w:tc>
        <w:tc>
          <w:tcPr>
            <w:tcW w:w="1362" w:type="dxa"/>
            <w:gridSpan w:val="2"/>
            <w:tcBorders/>
            <w:vAlign w:val="center"/>
          </w:tcPr>
          <w:p>
            <w:pPr>
              <w:pStyle w:val="TableContents"/>
              <w:bidi w:val="0"/>
              <w:spacing w:before="0" w:after="0"/>
              <w:ind w:left="0" w:right="0" w:hanging="0"/>
              <w:jc w:val="right"/>
              <w:rPr/>
            </w:pPr>
            <w:r>
              <w:rPr/>
              <w:t> </w:t>
            </w:r>
          </w:p>
        </w:tc>
        <w:tc>
          <w:tcPr>
            <w:tcW w:w="472"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right"/>
              <w:rPr/>
            </w:pPr>
            <w:r>
              <w:rPr/>
              <w:t> </w:t>
            </w:r>
          </w:p>
        </w:tc>
        <w:tc>
          <w:tcPr>
            <w:tcW w:w="1179"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6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cash flows used for operating leases</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1,202</w:t>
            </w:r>
          </w:p>
        </w:tc>
        <w:tc>
          <w:tcPr>
            <w:tcW w:w="472"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802</w:t>
            </w:r>
          </w:p>
        </w:tc>
        <w:tc>
          <w:tcPr>
            <w:tcW w:w="391" w:type="dxa"/>
            <w:tcBorders/>
            <w:vAlign w:val="center"/>
          </w:tcPr>
          <w:p>
            <w:pPr>
              <w:pStyle w:val="TableContents"/>
              <w:bidi w:val="0"/>
              <w:spacing w:before="0" w:after="0"/>
              <w:ind w:left="0" w:right="0" w:firstLine="200"/>
              <w:jc w:val="left"/>
              <w:rPr/>
            </w:pPr>
            <w:r>
              <w:rPr/>
              <w:t> </w:t>
            </w:r>
          </w:p>
        </w:tc>
      </w:tr>
      <w:tr>
        <w:trPr/>
        <w:tc>
          <w:tcPr>
            <w:tcW w:w="6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Right-of-use assets obtained in exchange for new operating lease liability</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472"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391" w:type="dxa"/>
            <w:tcBorders/>
            <w:vAlign w:val="center"/>
          </w:tcPr>
          <w:p>
            <w:pPr>
              <w:pStyle w:val="TableContents"/>
              <w:bidi w:val="0"/>
              <w:spacing w:before="0" w:after="0"/>
              <w:ind w:left="0" w:right="0" w:firstLine="200"/>
              <w:jc w:val="left"/>
              <w:rPr/>
            </w:pPr>
            <w:r>
              <w:rPr/>
              <w:t> </w:t>
            </w:r>
          </w:p>
        </w:tc>
      </w:tr>
      <w:tr>
        <w:trPr/>
        <w:tc>
          <w:tcPr>
            <w:tcW w:w="6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Weighted-average remaining lease term (in years)</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472"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 </w:t>
            </w:r>
          </w:p>
        </w:tc>
        <w:tc>
          <w:tcPr>
            <w:tcW w:w="367"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w:t>
            </w:r>
          </w:p>
        </w:tc>
        <w:tc>
          <w:tcPr>
            <w:tcW w:w="391" w:type="dxa"/>
            <w:tcBorders/>
            <w:vAlign w:val="center"/>
          </w:tcPr>
          <w:p>
            <w:pPr>
              <w:pStyle w:val="TableContents"/>
              <w:bidi w:val="0"/>
              <w:spacing w:before="0" w:after="0"/>
              <w:ind w:left="0" w:right="0" w:firstLine="200"/>
              <w:jc w:val="left"/>
              <w:rPr/>
            </w:pPr>
            <w:r>
              <w:rPr/>
              <w:t> </w:t>
            </w:r>
          </w:p>
        </w:tc>
      </w:tr>
      <w:tr>
        <w:trPr/>
        <w:tc>
          <w:tcPr>
            <w:tcW w:w="6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Weighted-average discount rate</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4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4" w:type="dxa"/>
            <w:tcBorders/>
            <w:vAlign w:val="center"/>
          </w:tcPr>
          <w:p>
            <w:pPr>
              <w:pStyle w:val="TableContents"/>
              <w:bidi w:val="0"/>
              <w:spacing w:before="0" w:after="0"/>
              <w:ind w:left="0" w:right="0" w:hanging="0"/>
              <w:jc w:val="right"/>
              <w:rPr/>
            </w:pPr>
            <w:r>
              <w:rPr/>
              <w:t> </w:t>
            </w:r>
          </w:p>
        </w:tc>
        <w:tc>
          <w:tcPr>
            <w:tcW w:w="367"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240" w:after="0"/>
        <w:jc w:val="both"/>
        <w:rPr>
          <w:rFonts w:ascii="Times New Roman;serif" w:hAnsi="Times New Roman;serif"/>
          <w:b/>
          <w:sz w:val="20"/>
        </w:rPr>
      </w:pPr>
      <w:r>
        <w:rPr>
          <w:rFonts w:ascii="Times New Roman;serif" w:hAnsi="Times New Roman;serif"/>
          <w:b/>
          <w:sz w:val="20"/>
        </w:rPr>
        <w:t>9. Share-Based Compensation</w:t>
      </w:r>
    </w:p>
    <w:p>
      <w:pPr>
        <w:pStyle w:val="TextBody"/>
        <w:bidi w:val="0"/>
        <w:spacing w:before="120" w:after="0"/>
        <w:jc w:val="both"/>
        <w:rPr>
          <w:rFonts w:ascii="Times New Roman;serif" w:hAnsi="Times New Roman;serif"/>
          <w:b/>
          <w:sz w:val="20"/>
        </w:rPr>
      </w:pPr>
      <w:r>
        <w:rPr>
          <w:rFonts w:ascii="Times New Roman;serif" w:hAnsi="Times New Roman;serif"/>
          <w:b/>
          <w:sz w:val="20"/>
        </w:rPr>
        <w:t>2020 Employee Share Purchase Plan</w:t>
      </w:r>
    </w:p>
    <w:p>
      <w:pPr>
        <w:pStyle w:val="TextBody"/>
        <w:bidi w:val="0"/>
        <w:spacing w:before="120" w:after="0"/>
        <w:jc w:val="both"/>
        <w:rPr>
          <w:rFonts w:ascii="Times New Roman" w:hAnsi="Times New Roman"/>
          <w:sz w:val="20"/>
        </w:rPr>
      </w:pPr>
      <w:r>
        <w:rPr>
          <w:rFonts w:ascii="Times New Roman;serif" w:hAnsi="Times New Roman;serif"/>
          <w:b w:val="false"/>
          <w:sz w:val="20"/>
        </w:rPr>
        <w:t>In June 2020, the Company’s board of directors adopted, and the Company’s shareholders approved the 2020 Employee Share Purchase Plan (the “ESPP”). The maximum number of common shares that may be issued under the ESPP was initially 327,000. Additionally, the number of shares reserved and available for issuance under the ESPP automatically increases each January 1, beginning on January 1, 2021 and each January 1 thereafter through January 31, 2030, by the lesser of (1) 1.0% of the total number of common shares outstanding on December 31 of the preceding calendar year, (2) 3,300,000</w:t>
      </w:r>
      <w:r>
        <w:rPr>
          <w:rFonts w:ascii="Times New Roman" w:hAnsi="Times New Roman"/>
          <w:sz w:val="20"/>
        </w:rPr>
        <w:t xml:space="preserve"> </w:t>
      </w:r>
      <w:r>
        <w:rPr>
          <w:rFonts w:ascii="Times New Roman;serif" w:hAnsi="Times New Roman;serif"/>
          <w:b w:val="false"/>
          <w:sz w:val="20"/>
        </w:rPr>
        <w:t>common shares, or (3) such smaller number of common shares as the Company’s board of directors may designate. As of June 30, 2023, the total number of common shares that may be issued under the ESPP is 1,445,331.</w:t>
      </w:r>
    </w:p>
    <w:p>
      <w:pPr>
        <w:pStyle w:val="TextBody"/>
        <w:bidi w:val="0"/>
        <w:spacing w:before="120" w:after="0"/>
        <w:jc w:val="both"/>
        <w:rPr>
          <w:rFonts w:ascii="Times New Roman" w:hAnsi="Times New Roman"/>
          <w:sz w:val="20"/>
        </w:rPr>
      </w:pPr>
      <w:r>
        <w:rPr>
          <w:rFonts w:ascii="Times New Roman;serif" w:hAnsi="Times New Roman;serif"/>
          <w:b w:val="false"/>
          <w:sz w:val="20"/>
        </w:rPr>
        <w:t>The ESPP enables eligible employees to purchase common shares of the Company at the end of each offering period at a price equal to 85% of the fair market value of the shares on the first business day or the last business day of the offering period, whichever is lower. Participation in the ESPP is voluntary. Eligible employees become participants in the ESPP by enrolling in the plan and authorizing payroll deductions. At the end of each offering period, accumulated payroll deductions are used to purchase the Company’s shares at the discounted price. The Company makes no</w:t>
      </w:r>
      <w:r>
        <w:rPr>
          <w:rFonts w:ascii="Times New Roman" w:hAnsi="Times New Roman"/>
          <w:sz w:val="20"/>
        </w:rPr>
        <w:t xml:space="preserve"> </w:t>
      </w:r>
      <w:r>
        <w:rPr>
          <w:rFonts w:ascii="Times New Roman;serif" w:hAnsi="Times New Roman;serif"/>
          <w:b w:val="false"/>
          <w:sz w:val="20"/>
        </w:rPr>
        <w:t>contributions to the ESPP. A participant may withdraw from the ESPP or suspend contributions to the ESPP. If the participant elects to withdraw during an offering, all contributions are refunded as soon as administratively practicable. If a participant elects to withdraw or suspend contributions, they will not be able to re-enroll in the current offering but may elect to participate in future offerings. The ESPP purchases only whole shares of the Company’s shares. ESPP offering periods occur on a rolling six-month basis.</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issued 41,703</w:t>
      </w:r>
      <w:r>
        <w:rPr>
          <w:rFonts w:ascii="Times New Roman" w:hAnsi="Times New Roman"/>
          <w:sz w:val="20"/>
        </w:rPr>
        <w:t xml:space="preserve"> </w:t>
      </w:r>
      <w:r>
        <w:rPr>
          <w:rFonts w:ascii="Times New Roman;serif" w:hAnsi="Times New Roman;serif"/>
          <w:b w:val="false"/>
          <w:sz w:val="20"/>
        </w:rPr>
        <w:t>common shares under the ESPP during the six months ended June 30, 2023</w:t>
      </w:r>
      <w:r>
        <w:rPr>
          <w:rFonts w:ascii="Times New Roman" w:hAnsi="Times New Roman"/>
          <w:sz w:val="20"/>
        </w:rPr>
        <w:t xml:space="preserve"> </w:t>
      </w:r>
      <w:r>
        <w:rPr>
          <w:rFonts w:ascii="Times New Roman;serif" w:hAnsi="Times New Roman;serif"/>
          <w:b w:val="false"/>
          <w:sz w:val="20"/>
        </w:rPr>
        <w:t>at a weighted-average price per share of $9.80. Cash received from purchases under the ESPP for the six months ended June 30, 2023</w:t>
      </w:r>
      <w:r>
        <w:rPr>
          <w:rFonts w:ascii="Times New Roman" w:hAnsi="Times New Roman"/>
          <w:sz w:val="20"/>
        </w:rPr>
        <w:t xml:space="preserve"> </w:t>
      </w:r>
      <w:r>
        <w:rPr>
          <w:rFonts w:ascii="Times New Roman;serif" w:hAnsi="Times New Roman;serif"/>
          <w:b w:val="false"/>
          <w:sz w:val="20"/>
        </w:rPr>
        <w:t>was $0.4</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240" w:after="0"/>
        <w:jc w:val="both"/>
        <w:rPr>
          <w:rFonts w:ascii="Times New Roman;serif" w:hAnsi="Times New Roman;serif"/>
          <w:b/>
          <w:sz w:val="20"/>
        </w:rPr>
      </w:pPr>
      <w:r>
        <w:rPr>
          <w:rFonts w:ascii="Times New Roman;serif" w:hAnsi="Times New Roman;serif"/>
          <w:b/>
          <w:sz w:val="20"/>
        </w:rPr>
        <w:t>Option Plan and 2020 Plan</w:t>
      </w:r>
    </w:p>
    <w:p>
      <w:pPr>
        <w:pStyle w:val="TextBody"/>
        <w:bidi w:val="0"/>
        <w:spacing w:before="120" w:after="0"/>
        <w:jc w:val="both"/>
        <w:rPr>
          <w:rFonts w:ascii="Times New Roman" w:hAnsi="Times New Roman"/>
          <w:sz w:val="20"/>
        </w:rPr>
      </w:pPr>
      <w:r>
        <w:rPr>
          <w:rFonts w:ascii="Times New Roman;serif" w:hAnsi="Times New Roman;serif"/>
          <w:b w:val="false"/>
          <w:sz w:val="20"/>
        </w:rPr>
        <w:t>In December 2016, as further amended in December 2017 and September 2019, the Company adopted the Repare Therapeutics Inc. Option Plan (the “Option Plan”) for the issuance of share options and other share-based awards to directors, officers, employees or consultants. The Option Plan authorized up to 4,074,135</w:t>
      </w:r>
      <w:r>
        <w:rPr>
          <w:rFonts w:ascii="Times New Roman" w:hAnsi="Times New Roman"/>
          <w:sz w:val="20"/>
        </w:rPr>
        <w:t xml:space="preserve"> </w:t>
      </w:r>
      <w:r>
        <w:rPr>
          <w:rFonts w:ascii="Times New Roman;serif" w:hAnsi="Times New Roman;serif"/>
          <w:b w:val="false"/>
          <w:sz w:val="20"/>
        </w:rPr>
        <w:t>shares of the Company’s common shares to be issued.</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In June 2020, the Company’s board of directors adopted, and the Company’s shareholders approved the 2020 Equity Incentive Plan (the “2020 Plan”). The 2020 Plan became effective on the effective date of the IPO, at which time the Company ceased granting awards under the Option Plan. The 2020 Plan allows the Company’s compensation committee to grant equity-based and cash-based incentive awards to the Company’s officers, employees, directors and consultants including but not limited to stock options and restricted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share units. A total of 3,600,000</w:t>
      </w:r>
      <w:r>
        <w:rPr>
          <w:rFonts w:ascii="Times New Roman" w:hAnsi="Times New Roman"/>
          <w:sz w:val="20"/>
        </w:rPr>
        <w:t xml:space="preserve"> </w:t>
      </w:r>
      <w:r>
        <w:rPr>
          <w:rFonts w:ascii="Times New Roman;serif" w:hAnsi="Times New Roman;serif"/>
          <w:b w:val="false"/>
          <w:sz w:val="20"/>
        </w:rPr>
        <w:t>common shares were initially reserved for issuance under the 2020 Plan, plus the number of shares (not to exceed 3,807,448</w:t>
      </w:r>
      <w:r>
        <w:rPr>
          <w:rFonts w:ascii="Times New Roman" w:hAnsi="Times New Roman"/>
          <w:sz w:val="20"/>
        </w:rPr>
        <w:t xml:space="preserve"> </w:t>
      </w:r>
      <w:r>
        <w:rPr>
          <w:rFonts w:ascii="Times New Roman;serif" w:hAnsi="Times New Roman;serif"/>
          <w:b w:val="false"/>
          <w:sz w:val="20"/>
        </w:rPr>
        <w:t>shares) consisting of (i) 298,605</w:t>
      </w:r>
      <w:r>
        <w:rPr>
          <w:rFonts w:ascii="Times New Roman" w:hAnsi="Times New Roman"/>
          <w:sz w:val="20"/>
        </w:rPr>
        <w:t xml:space="preserve"> </w:t>
      </w:r>
      <w:r>
        <w:rPr>
          <w:rFonts w:ascii="Times New Roman;serif" w:hAnsi="Times New Roman;serif"/>
          <w:b w:val="false"/>
          <w:sz w:val="20"/>
        </w:rPr>
        <w:t>common shares that were available for the issuance of awards under the Option Plan at the time the 2020 Plan became effective, which ceased to be available for future issuance under the Option Plan at such time and (ii) any shares subject to outstanding options or other share awards that were granted under the Option Plan that terminate or expire prior to exercise or settlement; are forfeited because of the failure to vest; or are reacquired or withheld (or not issued) to satisfy a tax withholding obligation or the purchase or exercise price. In addition, the number of shares reserved and available for issuance under the 2020 Plan will automatically increase each January 1, beginning on January 1, 2021 and each January 1 thereafter through January 1, 2030, by 5% of the outstanding number of common shares on the immediately preceding December 31, or such lesser number of shares as determined by the Company’s board of directors. As of June 30, 2023, the total number of common shares reserved for issuance under the 2020 Plan is 10,026,479.</w:t>
      </w:r>
    </w:p>
    <w:p>
      <w:pPr>
        <w:pStyle w:val="TextBody"/>
        <w:bidi w:val="0"/>
        <w:spacing w:before="240" w:after="0"/>
        <w:jc w:val="both"/>
        <w:rPr>
          <w:rFonts w:ascii="Times New Roman;serif" w:hAnsi="Times New Roman;serif"/>
          <w:b/>
          <w:sz w:val="20"/>
        </w:rPr>
      </w:pPr>
      <w:r>
        <w:rPr>
          <w:rFonts w:ascii="Times New Roman;serif" w:hAnsi="Times New Roman;serif"/>
          <w:b/>
          <w:sz w:val="20"/>
        </w:rPr>
        <w:t>Inducement Grant</w:t>
      </w:r>
    </w:p>
    <w:p>
      <w:pPr>
        <w:pStyle w:val="TextBody"/>
        <w:bidi w:val="0"/>
        <w:spacing w:before="120" w:after="0"/>
        <w:jc w:val="both"/>
        <w:rPr>
          <w:rFonts w:ascii="Times New Roman" w:hAnsi="Times New Roman"/>
          <w:sz w:val="20"/>
        </w:rPr>
      </w:pPr>
      <w:r>
        <w:rPr>
          <w:rFonts w:ascii="Times New Roman;serif" w:hAnsi="Times New Roman;serif"/>
          <w:b w:val="false"/>
          <w:sz w:val="20"/>
        </w:rPr>
        <w:t>In May 2023, the Compensation Committee of the Board of Directors approved the grant of an inducement award to a newly hired member of the senior leadership team. The equity award, which was granted outside of the 2020 Plan, was an inducement material to such executive entering into employment with the Company, in accordance with Nasdaq Listing Rule 5635(c)(4). The stock option award to purchase an aggregate of 240,000</w:t>
      </w:r>
      <w:r>
        <w:rPr>
          <w:rFonts w:ascii="Times New Roman" w:hAnsi="Times New Roman"/>
          <w:sz w:val="20"/>
        </w:rPr>
        <w:t xml:space="preserve"> </w:t>
      </w:r>
      <w:r>
        <w:rPr>
          <w:rFonts w:ascii="Times New Roman;serif" w:hAnsi="Times New Roman;serif"/>
          <w:b w:val="false"/>
          <w:sz w:val="20"/>
        </w:rPr>
        <w:t>of the Company’s common shares has a ten-year</w:t>
      </w:r>
      <w:r>
        <w:rPr>
          <w:rFonts w:ascii="Times New Roman" w:hAnsi="Times New Roman"/>
          <w:sz w:val="20"/>
        </w:rPr>
        <w:t xml:space="preserve"> </w:t>
      </w:r>
      <w:r>
        <w:rPr>
          <w:rFonts w:ascii="Times New Roman;serif" w:hAnsi="Times New Roman;serif"/>
          <w:b w:val="false"/>
          <w:sz w:val="20"/>
        </w:rPr>
        <w:t>term and an exercise price of $9.83</w:t>
      </w:r>
      <w:r>
        <w:rPr>
          <w:rFonts w:ascii="Times New Roman" w:hAnsi="Times New Roman"/>
          <w:sz w:val="20"/>
        </w:rPr>
        <w:t xml:space="preserve"> </w:t>
      </w:r>
      <w:r>
        <w:rPr>
          <w:rFonts w:ascii="Times New Roman;serif" w:hAnsi="Times New Roman;serif"/>
          <w:b w:val="false"/>
          <w:sz w:val="20"/>
        </w:rPr>
        <w:t>per share. The award has terms and conditions consistent with those set forth under the 2020 Plan and vests under the similar vesting schedules as stock option awards granted under the 2020 Plan. The inducement grant is included in the stock options table below.</w:t>
      </w:r>
    </w:p>
    <w:p>
      <w:pPr>
        <w:pStyle w:val="TextBody"/>
        <w:bidi w:val="0"/>
        <w:spacing w:before="240" w:after="0"/>
        <w:jc w:val="both"/>
        <w:rPr>
          <w:rFonts w:ascii="Times New Roman;serif" w:hAnsi="Times New Roman;serif"/>
          <w:b/>
          <w:sz w:val="20"/>
        </w:rPr>
      </w:pPr>
      <w:r>
        <w:rPr>
          <w:rFonts w:ascii="Times New Roman;serif" w:hAnsi="Times New Roman;serif"/>
          <w:b/>
          <w:sz w:val="20"/>
        </w:rPr>
        <w:t>Stock Options</w:t>
      </w:r>
    </w:p>
    <w:p>
      <w:pPr>
        <w:pStyle w:val="TextBody"/>
        <w:bidi w:val="0"/>
        <w:spacing w:before="120" w:after="240"/>
        <w:jc w:val="both"/>
        <w:rPr>
          <w:rFonts w:ascii="Times New Roman" w:hAnsi="Times New Roman"/>
          <w:sz w:val="20"/>
        </w:rPr>
      </w:pPr>
      <w:r>
        <w:rPr>
          <w:rFonts w:ascii="Times New Roman;serif" w:hAnsi="Times New Roman;serif"/>
          <w:b w:val="false"/>
          <w:sz w:val="20"/>
        </w:rPr>
        <w:t>Total outstanding stock options as of June 30, 2023 was as follows:</w:t>
      </w:r>
      <w:r>
        <w:rPr>
          <w:rFonts w:ascii="Times New Roman" w:hAnsi="Times New Roman"/>
          <w:sz w:val="20"/>
        </w:rPr>
        <w:t xml:space="preserve"> </w:t>
      </w:r>
    </w:p>
    <w:tbl>
      <w:tblPr>
        <w:tblW w:w="5567" w:type="dxa"/>
        <w:jc w:val="left"/>
        <w:tblInd w:w="0" w:type="dxa"/>
        <w:tblLayout w:type="fixed"/>
        <w:tblCellMar>
          <w:top w:w="28" w:type="dxa"/>
          <w:left w:w="28" w:type="dxa"/>
          <w:bottom w:w="28" w:type="dxa"/>
          <w:right w:w="28" w:type="dxa"/>
        </w:tblCellMar>
      </w:tblPr>
      <w:tblGrid>
        <w:gridCol w:w="2656"/>
        <w:gridCol w:w="146"/>
        <w:gridCol w:w="146"/>
        <w:gridCol w:w="1036"/>
        <w:gridCol w:w="166"/>
        <w:gridCol w:w="146"/>
        <w:gridCol w:w="290"/>
        <w:gridCol w:w="790"/>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 price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8,032,902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14.38</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2,215,540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11.80</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Cancelled or 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(201,651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10,030,741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Times New Roman;serif" w:hAnsi="Times New Roman;serif"/>
          <w:b w:val="false"/>
          <w:sz w:val="20"/>
        </w:rPr>
        <w:t>During the six months ended June 30, 2023, an aggregate of 16,050</w:t>
      </w:r>
      <w:r>
        <w:rPr>
          <w:rFonts w:ascii="Times New Roman" w:hAnsi="Times New Roman"/>
          <w:sz w:val="20"/>
        </w:rPr>
        <w:t xml:space="preserve"> </w:t>
      </w:r>
      <w:r>
        <w:rPr>
          <w:rFonts w:ascii="Times New Roman;serif" w:hAnsi="Times New Roman;serif"/>
          <w:b w:val="false"/>
          <w:sz w:val="20"/>
        </w:rPr>
        <w:t>options were exercised at a weighted-average exercise price of $2.67</w:t>
      </w:r>
      <w:r>
        <w:rPr>
          <w:rFonts w:ascii="Times New Roman" w:hAnsi="Times New Roman"/>
          <w:sz w:val="20"/>
        </w:rPr>
        <w:t xml:space="preserve"> </w:t>
      </w:r>
      <w:r>
        <w:rPr>
          <w:rFonts w:ascii="Times New Roman;serif" w:hAnsi="Times New Roman;serif"/>
          <w:b w:val="false"/>
          <w:sz w:val="20"/>
        </w:rPr>
        <w:t>per share.</w:t>
      </w:r>
      <w:r>
        <w:rPr>
          <w:rFonts w:ascii="Times New Roman" w:hAnsi="Times New Roman"/>
          <w:sz w:val="20"/>
        </w:rPr>
        <w:t xml:space="preserve"> </w:t>
      </w:r>
    </w:p>
    <w:p>
      <w:pPr>
        <w:pStyle w:val="TextBody"/>
        <w:bidi w:val="0"/>
        <w:spacing w:before="120" w:after="240"/>
        <w:jc w:val="both"/>
        <w:rPr>
          <w:rFonts w:ascii="Times New Roman;serif" w:hAnsi="Times New Roman;serif"/>
          <w:b w:val="false"/>
          <w:sz w:val="20"/>
        </w:rPr>
      </w:pPr>
      <w:r>
        <w:rPr>
          <w:rFonts w:ascii="Times New Roman;serif" w:hAnsi="Times New Roman;serif"/>
          <w:b w:val="false"/>
          <w:sz w:val="20"/>
        </w:rPr>
        <w:t>The fair value of stock options, and the assumptions used in the Black Scholes option-pricing model to determine the grant date fair value of stock options granted to employees and non-employees were as follows, presented on a weighted average basis:</w:t>
      </w:r>
    </w:p>
    <w:tbl>
      <w:tblPr>
        <w:tblW w:w="7122" w:type="dxa"/>
        <w:jc w:val="left"/>
        <w:tblInd w:w="0" w:type="dxa"/>
        <w:tblLayout w:type="fixed"/>
        <w:tblCellMar>
          <w:top w:w="28" w:type="dxa"/>
          <w:left w:w="28" w:type="dxa"/>
          <w:bottom w:w="28" w:type="dxa"/>
          <w:right w:w="28" w:type="dxa"/>
        </w:tblCellMar>
      </w:tblPr>
      <w:tblGrid>
        <w:gridCol w:w="2281"/>
        <w:gridCol w:w="146"/>
        <w:gridCol w:w="211"/>
        <w:gridCol w:w="571"/>
        <w:gridCol w:w="271"/>
        <w:gridCol w:w="146"/>
        <w:gridCol w:w="211"/>
        <w:gridCol w:w="571"/>
        <w:gridCol w:w="271"/>
        <w:gridCol w:w="146"/>
        <w:gridCol w:w="211"/>
        <w:gridCol w:w="571"/>
        <w:gridCol w:w="271"/>
        <w:gridCol w:w="146"/>
        <w:gridCol w:w="211"/>
        <w:gridCol w:w="571"/>
        <w:gridCol w:w="31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Fair value of stock options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7.23</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8.33</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9.51</w:t>
            </w:r>
          </w:p>
        </w:tc>
        <w:tc>
          <w:tcPr>
            <w:tcW w:w="316"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terms (in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w:t>
            </w:r>
          </w:p>
        </w:tc>
        <w:tc>
          <w:tcPr>
            <w:tcW w:w="316"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78.85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81.48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78.55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both"/>
        <w:rPr>
          <w:rFonts w:ascii="Times New Roman;serif" w:hAnsi="Times New Roman;serif"/>
          <w:b/>
          <w:sz w:val="20"/>
        </w:rPr>
      </w:pPr>
      <w:r>
        <w:rPr>
          <w:rFonts w:ascii="Times New Roman;serif" w:hAnsi="Times New Roman;serif"/>
          <w:b/>
          <w:sz w:val="20"/>
        </w:rPr>
        <w:t>Restricted Share Units</w:t>
      </w:r>
    </w:p>
    <w:p>
      <w:pPr>
        <w:pStyle w:val="TextBody"/>
        <w:bidi w:val="0"/>
        <w:spacing w:before="120" w:after="120"/>
        <w:jc w:val="both"/>
        <w:rPr>
          <w:rFonts w:ascii="Times New Roman" w:hAnsi="Times New Roman"/>
          <w:sz w:val="20"/>
        </w:rPr>
      </w:pPr>
      <w:r>
        <w:rPr>
          <w:rFonts w:ascii="Times New Roman;serif" w:hAnsi="Times New Roman;serif"/>
          <w:b w:val="false"/>
          <w:sz w:val="20"/>
        </w:rPr>
        <w:t>Total outstanding restricted share units as of June 30, 2023 was as follows:</w:t>
      </w:r>
      <w:r>
        <w:rPr>
          <w:rFonts w:ascii="Times New Roman" w:hAnsi="Times New Roman"/>
          <w:sz w:val="20"/>
        </w:rPr>
        <w:t xml:space="preserve"> </w:t>
      </w:r>
    </w:p>
    <w:tbl>
      <w:tblPr>
        <w:tblW w:w="5852" w:type="dxa"/>
        <w:jc w:val="left"/>
        <w:tblInd w:w="0" w:type="dxa"/>
        <w:tblLayout w:type="fixed"/>
        <w:tblCellMar>
          <w:top w:w="28" w:type="dxa"/>
          <w:left w:w="28" w:type="dxa"/>
          <w:bottom w:w="28" w:type="dxa"/>
          <w:right w:w="28" w:type="dxa"/>
        </w:tblCellMar>
      </w:tblPr>
      <w:tblGrid>
        <w:gridCol w:w="2656"/>
        <w:gridCol w:w="146"/>
        <w:gridCol w:w="146"/>
        <w:gridCol w:w="781"/>
        <w:gridCol w:w="166"/>
        <w:gridCol w:w="146"/>
        <w:gridCol w:w="435"/>
        <w:gridCol w:w="1185"/>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grant date 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2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Awarded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626,260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12.42</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609,710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fair value of each restricted share unit is estimated on the date of grant based on the fair value of our common shares on that same date.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sz w:val="20"/>
        </w:rPr>
      </w:pPr>
      <w:r>
        <w:rPr>
          <w:rFonts w:ascii="Times New Roman;serif" w:hAnsi="Times New Roman;serif"/>
          <w:b/>
          <w:sz w:val="20"/>
        </w:rPr>
        <w:t>Share-Based Compensation</w:t>
      </w:r>
    </w:p>
    <w:p>
      <w:pPr>
        <w:pStyle w:val="TextBody"/>
        <w:bidi w:val="0"/>
        <w:spacing w:before="120" w:after="240"/>
        <w:jc w:val="both"/>
        <w:rPr>
          <w:rFonts w:ascii="Times New Roman" w:hAnsi="Times New Roman"/>
          <w:sz w:val="20"/>
        </w:rPr>
      </w:pPr>
      <w:r>
        <w:rPr>
          <w:rFonts w:ascii="Times New Roman;serif" w:hAnsi="Times New Roman;serif"/>
          <w:b w:val="false"/>
          <w:sz w:val="20"/>
        </w:rPr>
        <w:t>Share-based compensation expense was allocated as follows:</w:t>
      </w:r>
      <w:r>
        <w:rPr>
          <w:rFonts w:ascii="Times New Roman" w:hAnsi="Times New Roman"/>
          <w:sz w:val="20"/>
        </w:rPr>
        <w:t xml:space="preserve"> </w:t>
      </w:r>
    </w:p>
    <w:tbl>
      <w:tblPr>
        <w:tblW w:w="7882" w:type="dxa"/>
        <w:jc w:val="left"/>
        <w:tblInd w:w="0" w:type="dxa"/>
        <w:tblLayout w:type="fixed"/>
        <w:tblCellMar>
          <w:top w:w="28" w:type="dxa"/>
          <w:left w:w="28" w:type="dxa"/>
          <w:bottom w:w="28" w:type="dxa"/>
          <w:right w:w="28" w:type="dxa"/>
        </w:tblCellMar>
      </w:tblPr>
      <w:tblGrid>
        <w:gridCol w:w="3436"/>
        <w:gridCol w:w="146"/>
        <w:gridCol w:w="211"/>
        <w:gridCol w:w="571"/>
        <w:gridCol w:w="146"/>
        <w:gridCol w:w="146"/>
        <w:gridCol w:w="211"/>
        <w:gridCol w:w="571"/>
        <w:gridCol w:w="146"/>
        <w:gridCol w:w="146"/>
        <w:gridCol w:w="211"/>
        <w:gridCol w:w="676"/>
        <w:gridCol w:w="146"/>
        <w:gridCol w:w="146"/>
        <w:gridCol w:w="211"/>
        <w:gridCol w:w="571"/>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109"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4,751</w:t>
            </w:r>
          </w:p>
        </w:tc>
        <w:tc>
          <w:tcPr>
            <w:tcW w:w="191" w:type="dxa"/>
            <w:tcBorders/>
            <w:vAlign w:val="center"/>
          </w:tcPr>
          <w:p>
            <w:pPr>
              <w:pStyle w:val="TableContents"/>
              <w:bidi w:val="0"/>
              <w:spacing w:before="0" w:after="0"/>
              <w:ind w:left="0" w:right="0" w:hanging="0"/>
              <w:jc w:val="left"/>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share-based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9,500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240"/>
        <w:jc w:val="both"/>
        <w:rPr>
          <w:rFonts w:ascii="Times New Roman" w:hAnsi="Times New Roman"/>
          <w:sz w:val="20"/>
        </w:rPr>
      </w:pPr>
      <w:r>
        <w:rPr>
          <w:rFonts w:ascii="Times New Roman;serif" w:hAnsi="Times New Roman;serif"/>
          <w:b w:val="false"/>
          <w:sz w:val="20"/>
        </w:rPr>
        <w:t>Share-based compensation expense by type of award was as follows:</w:t>
      </w:r>
      <w:r>
        <w:rPr>
          <w:rFonts w:ascii="Times New Roman" w:hAnsi="Times New Roman"/>
          <w:sz w:val="20"/>
        </w:rPr>
        <w:t xml:space="preserve"> </w:t>
      </w:r>
    </w:p>
    <w:tbl>
      <w:tblPr>
        <w:tblW w:w="7882" w:type="dxa"/>
        <w:jc w:val="left"/>
        <w:tblInd w:w="0" w:type="dxa"/>
        <w:tblLayout w:type="fixed"/>
        <w:tblCellMar>
          <w:top w:w="28" w:type="dxa"/>
          <w:left w:w="28" w:type="dxa"/>
          <w:bottom w:w="28" w:type="dxa"/>
          <w:right w:w="28" w:type="dxa"/>
        </w:tblCellMar>
      </w:tblPr>
      <w:tblGrid>
        <w:gridCol w:w="3436"/>
        <w:gridCol w:w="146"/>
        <w:gridCol w:w="211"/>
        <w:gridCol w:w="571"/>
        <w:gridCol w:w="146"/>
        <w:gridCol w:w="146"/>
        <w:gridCol w:w="211"/>
        <w:gridCol w:w="571"/>
        <w:gridCol w:w="146"/>
        <w:gridCol w:w="146"/>
        <w:gridCol w:w="211"/>
        <w:gridCol w:w="676"/>
        <w:gridCol w:w="146"/>
        <w:gridCol w:w="146"/>
        <w:gridCol w:w="211"/>
        <w:gridCol w:w="571"/>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109"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9,407</w:t>
            </w:r>
          </w:p>
        </w:tc>
        <w:tc>
          <w:tcPr>
            <w:tcW w:w="191" w:type="dxa"/>
            <w:tcBorders/>
            <w:vAlign w:val="center"/>
          </w:tcPr>
          <w:p>
            <w:pPr>
              <w:pStyle w:val="TableContents"/>
              <w:bidi w:val="0"/>
              <w:spacing w:before="0" w:after="0"/>
              <w:ind w:left="0" w:right="0" w:hanging="0"/>
              <w:jc w:val="left"/>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share units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ESPP</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share-based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9,500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Times New Roman;serif" w:hAnsi="Times New Roman;serif"/>
          <w:b w:val="false"/>
          <w:sz w:val="20"/>
        </w:rPr>
        <w:t>As of June 30, 2023, there was $48.2</w:t>
      </w:r>
      <w:r>
        <w:rPr>
          <w:rFonts w:ascii="Times New Roman" w:hAnsi="Times New Roman"/>
          <w:sz w:val="20"/>
        </w:rPr>
        <w:t xml:space="preserve"> </w:t>
      </w:r>
      <w:r>
        <w:rPr>
          <w:rFonts w:ascii="Times New Roman;serif" w:hAnsi="Times New Roman;serif"/>
          <w:b w:val="false"/>
          <w:sz w:val="20"/>
        </w:rPr>
        <w:t>million and $6.5</w:t>
      </w:r>
      <w:r>
        <w:rPr>
          <w:rFonts w:ascii="Times New Roman" w:hAnsi="Times New Roman"/>
          <w:sz w:val="20"/>
        </w:rPr>
        <w:t xml:space="preserve"> </w:t>
      </w:r>
      <w:r>
        <w:rPr>
          <w:rFonts w:ascii="Times New Roman;serif" w:hAnsi="Times New Roman;serif"/>
          <w:b w:val="false"/>
          <w:sz w:val="20"/>
        </w:rPr>
        <w:t>million of unrecognized share-based compensation expense to be recognized over a weighted average period of 1.8</w:t>
      </w:r>
      <w:r>
        <w:rPr>
          <w:rFonts w:ascii="Times New Roman" w:hAnsi="Times New Roman"/>
          <w:sz w:val="20"/>
        </w:rPr>
        <w:t xml:space="preserve"> </w:t>
      </w:r>
      <w:r>
        <w:rPr>
          <w:rFonts w:ascii="Times New Roman;serif" w:hAnsi="Times New Roman;serif"/>
          <w:b w:val="false"/>
          <w:sz w:val="20"/>
        </w:rPr>
        <w:t>years and 2.6</w:t>
      </w:r>
      <w:r>
        <w:rPr>
          <w:rFonts w:ascii="Times New Roman" w:hAnsi="Times New Roman"/>
          <w:sz w:val="20"/>
        </w:rPr>
        <w:t xml:space="preserve"> </w:t>
      </w:r>
      <w:r>
        <w:rPr>
          <w:rFonts w:ascii="Times New Roman;serif" w:hAnsi="Times New Roman;serif"/>
          <w:b w:val="false"/>
          <w:sz w:val="20"/>
        </w:rPr>
        <w:t>years related to unvested stock options and unvested restricted share units, respectively.</w:t>
      </w:r>
    </w:p>
    <w:p>
      <w:pPr>
        <w:pStyle w:val="TextBody"/>
        <w:bidi w:val="0"/>
        <w:spacing w:before="240" w:after="0"/>
        <w:jc w:val="left"/>
        <w:rPr>
          <w:rFonts w:ascii="Times New Roman" w:hAnsi="Times New Roman"/>
          <w:sz w:val="20"/>
        </w:rPr>
      </w:pPr>
      <w:r>
        <w:rPr>
          <w:rFonts w:ascii="Times New Roman;serif" w:hAnsi="Times New Roman;serif"/>
          <w:b/>
          <w:sz w:val="20"/>
        </w:rPr>
        <w:t>10. Net Loss per Share</w:t>
      </w:r>
      <w:r>
        <w:rPr>
          <w:rFonts w:ascii="Times New Roman" w:hAnsi="Times New Roman"/>
          <w:sz w:val="20"/>
        </w:rPr>
        <w:t xml:space="preserve"> </w:t>
      </w:r>
    </w:p>
    <w:p>
      <w:pPr>
        <w:pStyle w:val="TextBody"/>
        <w:bidi w:val="0"/>
        <w:spacing w:before="120" w:after="240"/>
        <w:jc w:val="both"/>
        <w:rPr>
          <w:rFonts w:ascii="Times New Roman" w:hAnsi="Times New Roman"/>
          <w:sz w:val="20"/>
        </w:rPr>
      </w:pPr>
      <w:r>
        <w:rPr>
          <w:rFonts w:ascii="Times New Roman;serif" w:hAnsi="Times New Roman;serif"/>
          <w:b w:val="false"/>
          <w:sz w:val="20"/>
        </w:rPr>
        <w:t>The following table summarizes the computation of basic and diluted net loss per share attributable to common shareholders of the Company:</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24" w:type="dxa"/>
            <w:gridSpan w:val="14"/>
            <w:tcBorders/>
            <w:vAlign w:val="center"/>
          </w:tcPr>
          <w:p>
            <w:pPr>
              <w:pStyle w:val="TableContents"/>
              <w:bidi w:val="0"/>
              <w:spacing w:before="0" w:after="0"/>
              <w:ind w:left="0" w:right="0" w:hanging="0"/>
              <w:jc w:val="center"/>
              <w:rPr>
                <w:rFonts w:ascii="Times New Roman;serif" w:hAnsi="Times New Roman;serif"/>
                <w:b w:val="false"/>
                <w:i/>
                <w:sz w:val="16"/>
              </w:rPr>
            </w:pPr>
            <w:r>
              <w:rPr>
                <w:rFonts w:ascii="Times New Roman;serif" w:hAnsi="Times New Roman;serif"/>
                <w:b w:val="false"/>
                <w:i/>
                <w:sz w:val="16"/>
              </w:rPr>
              <w:t>(in thousands, except share and per share amounts)</w:t>
            </w:r>
          </w:p>
        </w:tc>
        <w:tc>
          <w:tcPr>
            <w:tcW w:w="391" w:type="dxa"/>
            <w:tcBorders/>
            <w:vAlign w:val="center"/>
          </w:tcPr>
          <w:p>
            <w:pPr>
              <w:pStyle w:val="TableContents"/>
              <w:bidi w:val="0"/>
              <w:spacing w:before="0" w:after="0"/>
              <w:ind w:left="0" w:right="0" w:hanging="0"/>
              <w:jc w:val="center"/>
              <w:rPr/>
            </w:pPr>
            <w:r>
              <w:rPr/>
              <w:t> </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(46,887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(72,850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Weighted-average common shares outstanding — basic and </w:t>
              <w:br/>
              <w:t>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42,089,530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41,899,509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42,065,237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41,880,666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240"/>
        <w:jc w:val="both"/>
        <w:rPr>
          <w:rFonts w:ascii="Times New Roman" w:hAnsi="Times New Roman"/>
          <w:sz w:val="20"/>
        </w:rPr>
      </w:pPr>
      <w:r>
        <w:rPr>
          <w:rFonts w:ascii="Times New Roman;serif" w:hAnsi="Times New Roman;serif"/>
          <w:b w:val="false"/>
          <w:sz w:val="20"/>
        </w:rPr>
        <w:t>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r>
        <w:rPr>
          <w:rFonts w:ascii="Times New Roman" w:hAnsi="Times New Roman"/>
          <w:sz w:val="20"/>
        </w:rPr>
        <w:t xml:space="preserve"> </w:t>
      </w:r>
    </w:p>
    <w:p>
      <w:pPr>
        <w:pStyle w:val="TextBody"/>
        <w:bidi w:val="0"/>
        <w:spacing w:before="0" w:after="0"/>
        <w:jc w:val="left"/>
        <w:rPr/>
      </w:pPr>
      <w:r>
        <w:rPr/>
        <w:t> </w:t>
      </w:r>
    </w:p>
    <w:tbl>
      <w:tblPr>
        <w:tblW w:w="9197" w:type="dxa"/>
        <w:jc w:val="left"/>
        <w:tblInd w:w="0" w:type="dxa"/>
        <w:tblLayout w:type="fixed"/>
        <w:tblCellMar>
          <w:top w:w="28" w:type="dxa"/>
          <w:left w:w="28" w:type="dxa"/>
          <w:bottom w:w="28" w:type="dxa"/>
          <w:right w:w="28" w:type="dxa"/>
        </w:tblCellMar>
      </w:tblPr>
      <w:tblGrid>
        <w:gridCol w:w="3466"/>
        <w:gridCol w:w="146"/>
        <w:gridCol w:w="146"/>
        <w:gridCol w:w="1036"/>
        <w:gridCol w:w="146"/>
        <w:gridCol w:w="146"/>
        <w:gridCol w:w="146"/>
        <w:gridCol w:w="931"/>
        <w:gridCol w:w="146"/>
        <w:gridCol w:w="146"/>
        <w:gridCol w:w="146"/>
        <w:gridCol w:w="1036"/>
        <w:gridCol w:w="146"/>
        <w:gridCol w:w="146"/>
        <w:gridCol w:w="146"/>
        <w:gridCol w:w="931"/>
        <w:gridCol w:w="1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to purchase common shares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10,030,741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7,974,403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10,030,741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7,974,403</w:t>
            </w:r>
          </w:p>
        </w:tc>
        <w:tc>
          <w:tcPr>
            <w:tcW w:w="1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share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609,710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609,710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Estimated shares issuable under the ESPP</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1,712</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pPr>
      <w:r>
        <w:rPr/>
        <w:t> </w:t>
      </w:r>
    </w:p>
    <w:p>
      <w:pPr>
        <w:pStyle w:val="TextBody"/>
        <w:bidi w:val="0"/>
        <w:spacing w:before="36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bookmarkStart w:id="10" w:name="item_2_managements_discussion_analysis_f"/>
      <w:bookmarkEnd w:id="10"/>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bidi w:val="0"/>
        <w:spacing w:before="120" w:after="0"/>
        <w:jc w:val="both"/>
        <w:rPr>
          <w:rFonts w:ascii="Times New Roman" w:hAnsi="Times New Roman"/>
          <w:sz w:val="20"/>
        </w:rPr>
      </w:pPr>
      <w:r>
        <w:rPr>
          <w:rFonts w:ascii="Times New Roman;serif" w:hAnsi="Times New Roman;serif"/>
          <w:b w:val="false"/>
          <w:i/>
          <w:sz w:val="20"/>
        </w:rPr>
        <w:t>You should read the following discussion and analysis of our financial condition and results of operations together with (i) our unaudited condensed consolidated financial statements and related notes, appearing elsewhere in this Quarterly Report on Form 10-Q and (ii) the audited consolidated financial statements and related notes and management’s discussion and analysis of financial condition and results of operations for the fiscal year ended December 31, 2022 included in our Annual Report on Form 10-K, or the Annual Report, filed with the Securities and Exchange Commission, or the SEC, on February 28, 2023. Some of the information contained in this discussion and analysis or set forth elsewhere in this Quarterly Report on Form 10-Q, including information with respect to our plans and strategy for our business and related financing, contains forward-looking statements that involve risks and uncertainties. As a result of many factors, including those factors set forth in the “Risk Factors” sections of this Quarterly Report on Form 10-Q and our Annual Report on Form 10-K for the year ended December 31, 2022, our actual results could differ materially from the results described in or implied by the forward-looking statements contained in the following discussion and analysis.</w:t>
      </w:r>
      <w:r>
        <w:rPr>
          <w:rFonts w:ascii="Times New Roman" w:hAnsi="Times New Roman"/>
          <w:sz w:val="20"/>
        </w:rPr>
        <w:t xml:space="preserve"> </w:t>
      </w:r>
    </w:p>
    <w:p>
      <w:pPr>
        <w:pStyle w:val="TextBody"/>
        <w:bidi w:val="0"/>
        <w:spacing w:before="360" w:after="0"/>
        <w:jc w:val="both"/>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We are a leading clinical-stage precision oncology company enabled by our proprietary synthetic lethality approach to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 Using our SNIPRx platform, we are developing our pipeline of SL product candidates, including our initial product candidate, camonsertib (also known as RP-3500 or RG6526), a potent and selective oral small molecule inhibitor of ATR (Ataxia-Telangiectasia and Rad3-related protein kinase) for the treatment of solid tumors with specific DNA damage repair-related genomic alterations, including those in the ATM gene (ataxia telangiectasia mutated kinase) as part of a network of 16 STEP</w:t>
      </w:r>
      <w:r>
        <w:rPr>
          <w:rFonts w:ascii="Times New Roman;serif" w:hAnsi="Times New Roman;serif"/>
          <w:b w:val="false"/>
          <w:sz w:val="13"/>
        </w:rPr>
        <w:t>2</w:t>
      </w:r>
      <w:r>
        <w:rPr>
          <w:rFonts w:ascii="Times New Roman;serif" w:hAnsi="Times New Roman;serif"/>
          <w:b w:val="false"/>
          <w:sz w:val="20"/>
        </w:rPr>
        <w:t xml:space="preserve">-identified genomic alterations. In July 2020, we began dosing patients in our Phase 1/2 TRESR (Treatment Enabled by SNIPRx) clinical trial of camonsertib in advanced solid tumors and, in August 2021, we began dosing patients in our Phase 1b/2 ATTACC clinical trial of camonsertib to evaluate the safety and efficacy of camonsertib in combination with approved poly (ADP-ribose) polymerase, or PARP, inhibitors, olaparib and niraparib, in patients with molecularly selected cancers. In April 2022, we presented comprehensive Phase 1 monotherapy clinical data from the TRESR Phase 1/2 trial. In June 2022, we entered into a worldwide license and collaboration agreement with Hoffmann-La Roche Inc. and F. Hoffmann-La Roche Ltd, collectively referred to as Roche, for the development and commercialization of camonsertib. In April 2023, we presented initial clinical data on camonsertib in combination with the three PARP inhibitors from the ongoing Phase 1/2 TRESR and Phase 1b/2 ATTACC clinical trials in a plenary oral presentation at the 2023 AACR Annual Meeting. In June 2023, we published data from the ongoing Phase 1/2 TRESR clinical trial in </w:t>
      </w:r>
      <w:r>
        <w:rPr>
          <w:rFonts w:ascii="Times New Roman;serif" w:hAnsi="Times New Roman;serif"/>
          <w:b w:val="false"/>
          <w:i/>
          <w:sz w:val="20"/>
        </w:rPr>
        <w:t>Nature Medicine</w:t>
      </w:r>
      <w:r>
        <w:rPr>
          <w:rFonts w:ascii="Times New Roman;serif" w:hAnsi="Times New Roman;serif"/>
          <w:b w:val="false"/>
          <w:sz w:val="20"/>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April 2021, we initiated our Phase 1 MYTHIC clinical trial for lunresertib (also known as RP-6306), our PKMYT1 (Protein Kinase Membrane-associated tyrosine- and threonine-specific cdc-2 inhibitory kinase) SL inhibitor, as a monotherapy for the treatment of molecularly selected advanced solid tumors, and announced the achievement of clinical proof of concept based on initial monotherapy data from the Phase 1 MYTHIC clinical trial and early insights from ongoing combination trials in June 2023. We initiated Phase 1 combination studies of lunresertib with gemcitabine (MAGNETIC) in December 2021, camonsertib (MYTHIC) in May 2022, and FOLFIRI (MINOTAUR) in August 2022, each for the treatment of molecularly selected advanced solid tumors, and expect to present further Phase 1 MYTHIC Module 2 combination data with camonsertib in the fourth quarter of 2023. In the fourth quarter of 2022, we received fast track designation for lunresertib in combination with gemcitabine for the treatment of adult patients with CCNE1-amplified, or FBXW7, or PPP2R1A mutated platinum resistant ovarian cancer and in August 2023, we received fast track designation for lunresertib in combination with camonsertib for the treatment of adult patients with CCNE1 amplified, or FBXW7 or PPP2R1A mutated endometrial cancer previously treated with a platinum-containing regimen and immune checkpoint inhibitor where indicated. Based on promising preclinical data released at the 34th EORTC-NCI-AACR Symposium in October 2022, we are working with clinical investigators to initiate clinical testing, as part of an investigator-sponsored trial, or IST, of a fourth lunresertib combination with carboplatin and paclitaxel for the treatment of recurrent gynecological malignancies, with first patient dosing expected this year. In the fourth quarter of 2022, we entered into an agreement with Canadian Cancer Trials Group, or CCTG, for a planned, basket Phase 2 IST that is enrolling patients with selected, advanced cancers receiving lunresertib as combination with gemcitabine (NCT05605509), and in a second active study that will evaluate lunresertib in combination with gemcitabine in patients with CDK4/6 inhibitor treated ER+/HER2- metastatic breast cancer (NCT05601440).</w:t>
      </w:r>
    </w:p>
    <w:p>
      <w:pPr>
        <w:pStyle w:val="TextBody"/>
        <w:bidi w:val="0"/>
        <w:spacing w:before="240" w:after="0"/>
        <w:jc w:val="both"/>
        <w:rPr>
          <w:rFonts w:ascii="Times New Roman" w:hAnsi="Times New Roman"/>
          <w:sz w:val="20"/>
        </w:rPr>
      </w:pPr>
      <w:r>
        <w:rPr>
          <w:rFonts w:ascii="Times New Roman;serif" w:hAnsi="Times New Roman;serif"/>
          <w:b w:val="false"/>
          <w:sz w:val="20"/>
        </w:rPr>
        <w:t>We continue to focus on the advancement of our preclinical programs into clinical development. We initiated IND-enabling studies in the first half of 2023 for a small molecule, now designated RP-1664, against an undisclosed target with potential to enter the clinic in early 2024. We also initiated IND-enabling studies for our newly designated polymerase theta, or Polθ, inhibitor, RP-3467, in June 2023. RP-3467 has shown greater potency in preclinical studies compared to RP-2119, our first Polθ inhibitor designated in 2022, and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has potential to enter the clinic in 2024. With the termination of the Ono Agreement, our Polθ program, including RP-3467, is wholly-owned by Repare.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Since our inception in September 2016, we have focused primarily on raising capital, organizing and staffing our company, conducting discovery and research activities, identifying potential SL gene pairs, establishing and protecting our intellectual property portfolio including for our proprietary SNIPRx platform, developing and progressing our product candidates through preclinical studies and preparing for clinical trials and establishing arrangements with third parties for the manufacture of initial quantities of our product candidates and component materials. On June 23, 2020, we completed our initial public offering, or IPO, whereby we issued an aggregate of 12,650,000 common shares, which includes the exercise in full of the underwriters’ option to purchase up to an additional 1,650,000 common shares, at a public offering price of $20.00 per share. The aggregate net proceeds received by us from the IPO were approximately $232.0 million, after deducting underwriting commissions and offering expenses of $3.2 million. On November 1, 2021, we completed a follow-on offering, or the 2021 Offering, whereby we issued 4,600,000 common shares, including the exercise in full by the underwriters of their option to purchase up to 600,000 additional common shares, at a public offering price of $22.00 per share, for net proceeds of $94.3 million, after deducting underwriting commissions as well as offering expenses of $0.8 million. Prior to our IPO, we had funded our operations primarily through equity financings, having raised an aggregate of approximately $135.2 million of gross proceeds from the sale of our preferred shares and $15.0 million of gross proceeds from the issuance of a warrant to acquire our common shares. As of June 30, 2023, we had cash and cash equivalents and marketable securities on hand of $280.7 million.</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Since inception, we have incurred significant operating losses. Our net losses were $29.0 million and $106.9 million for the years ended December 31, 2022 and 2021, respectively, and $46.9 million for the six months ended June 30, 2023. As of June 30, 2023, we had an accumulated deficit of $286.2 million. We expect to continue to incur significant and increasing expenses and operating losses for the foreseeable future, as we advance our product candidates, including lunresertib, through preclinical and clinical development and seek regulatory approvals, manufacture drug product and drug supply, maintain and expand our intellectual property portfolio. Our net losses are also expected to be impacted as we hire additional personnel, pay for accounting, audit, legal, regulatory and consulting services, and pay costs associated with maintaining compliance with Nasdaq listing rules and the SEC requirements, directors and officers, or D&amp;O, insurance, investor and public relations activities and other expenses associated with operating as a public company. Our net losses may fluctuate significantly from quarter-to-quarter and year-to-year, depending on the timing of our preclinical studies, our clinical trials, our expenditures on other research and development activities, and our revenue and expenses recognized from collaboration and license agreements.</w:t>
      </w:r>
    </w:p>
    <w:p>
      <w:pPr>
        <w:pStyle w:val="TextBody"/>
        <w:bidi w:val="0"/>
        <w:spacing w:before="240" w:after="0"/>
        <w:jc w:val="both"/>
        <w:rPr>
          <w:rFonts w:ascii="Times New Roman" w:hAnsi="Times New Roman"/>
          <w:sz w:val="20"/>
        </w:rPr>
      </w:pPr>
      <w:r>
        <w:rPr>
          <w:rFonts w:ascii="Times New Roman;serif" w:hAnsi="Times New Roman;serif"/>
          <w:b w:val="false"/>
          <w:sz w:val="20"/>
        </w:rPr>
        <w:t>We do not have any products approved for sale.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r>
        <w:rPr>
          <w:rFonts w:ascii="Times New Roman" w:hAnsi="Times New Roman"/>
          <w:sz w:val="20"/>
        </w:rPr>
        <w:t xml:space="preserve"> </w:t>
      </w:r>
    </w:p>
    <w:p>
      <w:pPr>
        <w:pStyle w:val="TextBody"/>
        <w:bidi w:val="0"/>
        <w:spacing w:before="360" w:after="0"/>
        <w:jc w:val="both"/>
        <w:rPr>
          <w:rFonts w:ascii="Times New Roman;serif" w:hAnsi="Times New Roman;serif"/>
          <w:b/>
          <w:sz w:val="20"/>
        </w:rPr>
      </w:pPr>
      <w:r>
        <w:rPr>
          <w:rFonts w:ascii="Times New Roman;serif" w:hAnsi="Times New Roman;serif"/>
          <w:b/>
          <w:sz w:val="20"/>
        </w:rPr>
        <w:t>Macroeconomic Considerations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Unfavorable conditions in the economy in the United States, Canada and abroad may negatively affect the growth of our business and our results of operations. For example, macroeconomic events, including the COVID-19 pandemic, rising inflation, the U.S. Federal Reserve raising interest rates, disruptions in access to bank deposits or lending commitments due to bank failures and the Russia-Ukraine war, have led to economic uncertainty globally. 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 in our Annual Report on Form 10-K for the year ended December 31, 2022.</w:t>
      </w:r>
    </w:p>
    <w:p>
      <w:pPr>
        <w:pStyle w:val="TextBody"/>
        <w:bidi w:val="0"/>
        <w:spacing w:before="360" w:after="0"/>
        <w:jc w:val="both"/>
        <w:rPr>
          <w:rFonts w:ascii="Times New Roman;serif" w:hAnsi="Times New Roman;serif"/>
          <w:b/>
          <w:sz w:val="20"/>
        </w:rPr>
      </w:pPr>
      <w:r>
        <w:rPr>
          <w:rFonts w:ascii="Times New Roman;serif" w:hAnsi="Times New Roman;serif"/>
          <w:b/>
          <w:sz w:val="20"/>
        </w:rPr>
        <w:t>Recent Developments</w:t>
      </w:r>
    </w:p>
    <w:p>
      <w:pPr>
        <w:pStyle w:val="TextBody"/>
        <w:bidi w:val="0"/>
        <w:spacing w:before="120" w:after="0"/>
        <w:jc w:val="both"/>
        <w:rPr/>
      </w:pPr>
      <w:r>
        <w:rPr/>
        <w:t>•</w:t>
      </w:r>
    </w:p>
    <w:p>
      <w:pPr>
        <w:pStyle w:val="TextBody"/>
        <w:bidi w:val="0"/>
        <w:spacing w:before="120" w:after="283"/>
        <w:jc w:val="both"/>
        <w:rPr>
          <w:rFonts w:ascii="Times New Roman;serif" w:hAnsi="Times New Roman;serif"/>
          <w:b/>
          <w:sz w:val="20"/>
        </w:rPr>
      </w:pPr>
      <w:r>
        <w:rPr>
          <w:rFonts w:ascii="Times New Roman;serif" w:hAnsi="Times New Roman;serif"/>
          <w:b/>
          <w:sz w:val="20"/>
        </w:rPr>
        <w:t xml:space="preserve">Advancing camonsertib, a potent and selective oral small molecule inhibitor of ATR (Ataxia-Telangiectasia and Rad3-related protein kinase) for the treatment of tumors with specific synthetic lethal genomic alterations in partnership with Roche.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Roche has included a camonsertib-based arm in its Phase 2, global, multicenter, open-label, multi-cohort TAPISTRY study (NCT04589845) and its Phase 1/2 study of multiple immunotherapy-based treatment combinations in participants with metastatic non-small cell lung cancer (Morpheus Lung; NCT03337698). We are eligible to receive a milestone payment of $40.0 million upon dosing of the first patient with camonsertib in the TAPISTRY study and could be eligible for an additional $15.0 million milestone if this study becomes registrational.</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are also continuing to conduct dose optimization and efficacy assessments in tumor specific expansions in the ATTACC study in collaboration with Roche to support future clinical development plans for camonsertib combinations with PARP inhibitors. In April 2023, we received a payment of $4.0 million from Roche for additional revisions to the clinical development plan under the Roche Agreement. We are eligible to receive further milestone payments upon the initiation of registrational trials or the transition of existing trials to become registrational for camonsertib in specific tumor types.</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pPr>
      <w:r>
        <w:rPr>
          <w:rFonts w:ascii="Times New Roman;serif" w:hAnsi="Times New Roman;serif"/>
          <w:b w:val="false"/>
          <w:sz w:val="20"/>
        </w:rPr>
        <w:t xml:space="preserve">Published data in </w:t>
      </w:r>
      <w:r>
        <w:rPr>
          <w:rFonts w:ascii="Times New Roman;serif" w:hAnsi="Times New Roman;serif"/>
          <w:b w:val="false"/>
          <w:i/>
          <w:sz w:val="20"/>
        </w:rPr>
        <w:t xml:space="preserve">Nature Medicine </w:t>
      </w:r>
      <w:r>
        <w:rPr>
          <w:rFonts w:ascii="Times New Roman;serif" w:hAnsi="Times New Roman;serif"/>
          <w:b w:val="false"/>
          <w:sz w:val="20"/>
        </w:rPr>
        <w:t>from the ongoing Phase 1/2 TRESR clinical trial evaluating camonsertib monotherapy in 120 patients (NCT04497116). The article is entitled “Camonsertib in DNA damage response-deficient advanced solid tumors: phase 1 trial results” (https://doi.org/10.1038/s41591-023-02399-0).</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Announced initial clinical data from the Phase 1/2 TRESR and ATTACC trials evaluating camonsertib in combination with three poly (ADP-ribose) polymerase (PARP) inhibitors in a Clinical Trials Plenary Session at the 2023 American Association for Cancer Research (AACR) Annual Meeting.</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Camonsertib-PARP inhibitor combinations appeared to be well tolerated and resulted in durable clinical benefit across tumor types and genomic alterations, regardless of choice of PARP inhibitor and presence of platinum resistance. Overall clinical benefit rate (CBR) for all patients was 48%. Patients with platinum-resistant tumors had an overall response rate (ORR) of 12% and CBR of 49% and benefited similarly to non-platinum-resistant tumors (ORR 13%, CBR 46%). Compelling results were observed particularly in patients with advanced ovarian cancer (n=19), including overall response of 32%, CBR of 58% and median progression-free survival of approximately 7 months with treatment greater than 16 weeks and ongoing in 9 patients, as of the 2023 AACR Annual Meeting data cutoff of February 27, 2023. The molecular response rate (MRR) of circulating tumor DNA was significantly higher in patients with clinical benefit (83%) compared to those without (48%; p=0.015) and significantly higher than seen in the camonsertib monotherapy trial in which camonsertib was administered at higher doses (66% vs. 43%; p=0.02). Molecular responses were also observed in patients with prior PARP inhibitor exposure (57%) and platinum resistance (64%).</w:t>
      </w:r>
    </w:p>
    <w:p>
      <w:pPr>
        <w:pStyle w:val="TextBody"/>
        <w:bidi w:val="0"/>
        <w:spacing w:before="120" w:after="0"/>
        <w:jc w:val="both"/>
        <w:rPr/>
      </w:pPr>
      <w:r>
        <w:rPr/>
        <w:t>•</w:t>
      </w:r>
    </w:p>
    <w:p>
      <w:pPr>
        <w:pStyle w:val="TextBody"/>
        <w:bidi w:val="0"/>
        <w:spacing w:before="120" w:after="0"/>
        <w:jc w:val="both"/>
        <w:rPr>
          <w:rFonts w:ascii="Times New Roman;serif" w:hAnsi="Times New Roman;serif"/>
          <w:b/>
          <w:sz w:val="20"/>
        </w:rPr>
      </w:pPr>
      <w:r>
        <w:rPr>
          <w:rFonts w:ascii="Times New Roman;serif" w:hAnsi="Times New Roman;serif"/>
          <w:b/>
          <w:sz w:val="20"/>
        </w:rPr>
        <w:t xml:space="preserve">Advancing lunresertib (RP-6306), a first-in-class, oral PKMYT1 inhibitor, for the treatment of molecularly select advanced solid tumors as a monotherapy and in combinations in multiple clinical studies. </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Announced clinical proof of concept for lunresertib, including monotherapy data from the Phase 1 MYTHIC clinical trial and early insights from ongoing combination trials in June 2023. Achieved primary endpoints of safety and tolerability and proposed dose and schedule. The tolerability profile of lunresertib monotherapy appears favorable and differentiated from other clinical cell cycle inhibitors, as lunresertib treatment does not result in significant myelotoxicity nor diarrhea. No grade 4 toxicity was observed with lunresertib, while grade 3 treatment emergent adverse events of interest included rash (7.9%), anemia (6.3%) and nausea or vomiting (1.6%). The dose limiting toxicity was reversible rash, alleviated with dose modifications and simple supportive measures. Two proposed dose/schedules were identified – 240mg daily continuously and 80-100mg BID intermittent weekly – to offer maximum flexibility in combination studies. </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Preliminary anti-tumor activity was observed for monotherapy, including moderate tumor shrinkages and a confirmed partial response per RECIST 1.1 criteria in a patient with metastatic recurrent uterine carcinosarcoma. </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Early clinical responses per RECIST 1.1 criteria have been observed with lunresertib and combinations with gemcitabine, camonsertib, and FOLFIRI in multiple tumor types and genotypes. </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We are collaborating with Princess Margaret Cancer Center to initiate clinical testing, as part of an investigator-sponsored trial (IST) of a fourth lunresertib combination with carboplatin and paclitaxel for the treatment of recurrent gynecological malignancies, with first patient dosing expected this year. </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are also collaborating with the Canadian Cancer Trials Group in an ongoing basket Phase 2 IST that is enrolling patients with selected, advanced cancers receiving lunresertib as combination with gemcitabine (NCT05605509), and in a second active study that will evaluate lunresertib in combination with gemcitabine in patients with CDK4/6 inhibitor treated ER+/HER2- metastatic breast cancer (NCT05601440).</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 xml:space="preserve">In August 2023, the U.S. Food and Drug Administration (FDA) granted Fast Track designation (FTD) to lunresertib in combination with camonsertib for the treatment of adult patients with CCNE1 amplified, or FBXW7 or PPP2R1A mutated endometrial cancer previously treated with a platinum-containing regimen and immune checkpoint inhibitor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when indicated. FTD is intended to facilitate the development and expedite the review of drugs to treat serious conditions and fulfill an unmet medical need, enabling drugs to reach patients earlier.</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We expect to present further Phase 1 MYTHIC Module 2 combination data with camonsertib at a medical conference in the fourth quarter of this year. </w:t>
      </w:r>
    </w:p>
    <w:p>
      <w:pPr>
        <w:pStyle w:val="TextBody"/>
        <w:bidi w:val="0"/>
        <w:spacing w:before="120" w:after="0"/>
        <w:jc w:val="both"/>
        <w:rPr/>
      </w:pPr>
      <w:r>
        <w:rPr/>
        <w:t>•</w:t>
      </w:r>
    </w:p>
    <w:p>
      <w:pPr>
        <w:pStyle w:val="TextBody"/>
        <w:bidi w:val="0"/>
        <w:spacing w:before="120" w:after="0"/>
        <w:jc w:val="both"/>
        <w:rPr>
          <w:rFonts w:ascii="Times New Roman;serif" w:hAnsi="Times New Roman;serif"/>
          <w:b/>
          <w:sz w:val="20"/>
        </w:rPr>
      </w:pPr>
      <w:r>
        <w:rPr>
          <w:rFonts w:ascii="Times New Roman;serif" w:hAnsi="Times New Roman;serif"/>
          <w:b/>
          <w:sz w:val="20"/>
        </w:rPr>
        <w:t xml:space="preserve">Advancing preclinical programs into clinical development. </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RP-1664 IND-enabling studies, which began in the first quarter of 2023, remain ongoing with potential for the program to enter the clinic in early 2024. </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Initiated IND-enabling studies for the newly designated Polθ inhibitor RP-3467 in June 2023. RP-3467 has shown greater potency in preclinical studies compared to RP-2119, our first Polθ inhibitor designated in 2022, and has potential to enter the clinic in 2024. The research term of our Polθ collaboration with Ono Pharmaceutical Company Ltd., as previously extended, expired on July 31, 2023. With the termination of the Ono Agreement, our Polθ program, including RP-3467, is wholly-owned by Repare.</w:t>
      </w:r>
    </w:p>
    <w:p>
      <w:pPr>
        <w:pStyle w:val="TextBody"/>
        <w:bidi w:val="0"/>
        <w:spacing w:before="120" w:after="0"/>
        <w:jc w:val="both"/>
        <w:rPr/>
      </w:pPr>
      <w:r>
        <w:rPr/>
        <w:t>•</w:t>
      </w:r>
    </w:p>
    <w:p>
      <w:pPr>
        <w:pStyle w:val="TextBody"/>
        <w:bidi w:val="0"/>
        <w:spacing w:before="120" w:after="0"/>
        <w:jc w:val="both"/>
        <w:rPr>
          <w:rFonts w:ascii="Times New Roman;serif" w:hAnsi="Times New Roman;serif"/>
          <w:b/>
          <w:sz w:val="20"/>
        </w:rPr>
      </w:pPr>
      <w:r>
        <w:rPr>
          <w:rFonts w:ascii="Times New Roman;serif" w:hAnsi="Times New Roman;serif"/>
          <w:b/>
          <w:sz w:val="20"/>
        </w:rPr>
        <w:t>We intend to host an R&amp;D day focused on our ongoing pre-clinical programs and our overall pipeline in the fourth quarter of this year.</w:t>
      </w:r>
    </w:p>
    <w:p>
      <w:pPr>
        <w:pStyle w:val="TextBody"/>
        <w:bidi w:val="0"/>
        <w:spacing w:before="120" w:after="0"/>
        <w:jc w:val="both"/>
        <w:rPr/>
      </w:pPr>
      <w:r>
        <w:rPr/>
        <w:t>•</w:t>
      </w:r>
    </w:p>
    <w:p>
      <w:pPr>
        <w:pStyle w:val="TextBody"/>
        <w:bidi w:val="0"/>
        <w:spacing w:before="120" w:after="283"/>
        <w:jc w:val="both"/>
        <w:rPr>
          <w:rFonts w:ascii="Times New Roman;serif" w:hAnsi="Times New Roman;serif"/>
          <w:b/>
          <w:sz w:val="20"/>
        </w:rPr>
      </w:pPr>
      <w:r>
        <w:rPr>
          <w:rFonts w:ascii="Times New Roman;serif" w:hAnsi="Times New Roman;serif"/>
          <w:b/>
          <w:sz w:val="20"/>
        </w:rPr>
        <w:t>In May 2023, Bristol Myers Squibb exercised its option for a third druggable target and separately triggered a $1.0 million payment for a previously exercised druggable target option.</w:t>
      </w:r>
    </w:p>
    <w:p>
      <w:pPr>
        <w:pStyle w:val="TextBody"/>
        <w:bidi w:val="0"/>
        <w:spacing w:before="360" w:after="0"/>
        <w:jc w:val="both"/>
        <w:rPr>
          <w:rFonts w:ascii="Times New Roman" w:hAnsi="Times New Roman"/>
          <w:sz w:val="20"/>
        </w:rPr>
      </w:pPr>
      <w:r>
        <w:rPr>
          <w:rFonts w:ascii="Times New Roman;serif" w:hAnsi="Times New Roman;serif"/>
          <w:b/>
          <w:sz w:val="20"/>
        </w:rPr>
        <w:t>Components of Results of Operations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To date, we have not recognized any revenue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pStyle w:val="TextBody"/>
        <w:bidi w:val="0"/>
        <w:spacing w:before="240" w:after="240"/>
        <w:jc w:val="both"/>
        <w:rPr>
          <w:rFonts w:ascii="Times New Roman;serif" w:hAnsi="Times New Roman;serif"/>
          <w:b w:val="false"/>
          <w:sz w:val="20"/>
        </w:rPr>
      </w:pPr>
      <w:r>
        <w:rPr>
          <w:rFonts w:ascii="Times New Roman;serif" w:hAnsi="Times New Roman;serif"/>
          <w:b w:val="false"/>
          <w:sz w:val="20"/>
        </w:rPr>
        <w:t>The following table presents revenue from collaboration agreements:</w:t>
      </w:r>
    </w:p>
    <w:tbl>
      <w:tblPr>
        <w:tblW w:w="9397" w:type="dxa"/>
        <w:jc w:val="left"/>
        <w:tblInd w:w="0" w:type="dxa"/>
        <w:tblLayout w:type="fixed"/>
        <w:tblCellMar>
          <w:top w:w="28" w:type="dxa"/>
          <w:left w:w="28" w:type="dxa"/>
          <w:bottom w:w="28" w:type="dxa"/>
          <w:right w:w="28" w:type="dxa"/>
        </w:tblCellMar>
      </w:tblPr>
      <w:tblGrid>
        <w:gridCol w:w="4996"/>
        <w:gridCol w:w="146"/>
        <w:gridCol w:w="211"/>
        <w:gridCol w:w="676"/>
        <w:gridCol w:w="146"/>
        <w:gridCol w:w="146"/>
        <w:gridCol w:w="211"/>
        <w:gridCol w:w="421"/>
        <w:gridCol w:w="146"/>
        <w:gridCol w:w="146"/>
        <w:gridCol w:w="211"/>
        <w:gridCol w:w="676"/>
        <w:gridCol w:w="146"/>
        <w:gridCol w:w="146"/>
        <w:gridCol w:w="211"/>
        <w:gridCol w:w="571"/>
        <w:gridCol w:w="191"/>
      </w:tblGrid>
      <w:tr>
        <w:trPr/>
        <w:tc>
          <w:tcPr>
            <w:tcW w:w="4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06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49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Roche Collaboration and License Agreement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49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Bristol Myers Squibb Collaboration and License Agreement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1,087</w:t>
            </w:r>
          </w:p>
        </w:tc>
        <w:tc>
          <w:tcPr>
            <w:tcW w:w="191" w:type="dxa"/>
            <w:tcBorders/>
            <w:vAlign w:val="center"/>
          </w:tcPr>
          <w:p>
            <w:pPr>
              <w:pStyle w:val="TableContents"/>
              <w:bidi w:val="0"/>
              <w:spacing w:before="0" w:after="0"/>
              <w:ind w:left="0" w:right="0" w:hanging="0"/>
              <w:jc w:val="left"/>
              <w:rPr/>
            </w:pPr>
            <w:r>
              <w:rPr/>
              <w:t> </w:t>
            </w:r>
          </w:p>
        </w:tc>
      </w:tr>
      <w:tr>
        <w:trPr/>
        <w:tc>
          <w:tcPr>
            <w:tcW w:w="49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Ono Collaboration Agreement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9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30,249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Collaboration and License Agreement with Hoffmann-La Roche Inc. and F. Hoffmann-La Roche Ltd</w:t>
      </w:r>
    </w:p>
    <w:p>
      <w:pPr>
        <w:pStyle w:val="TextBody"/>
        <w:bidi w:val="0"/>
        <w:spacing w:before="120" w:after="0"/>
        <w:jc w:val="both"/>
        <w:rPr>
          <w:rFonts w:ascii="Times New Roman" w:hAnsi="Times New Roman"/>
          <w:sz w:val="20"/>
        </w:rPr>
      </w:pPr>
      <w:r>
        <w:rPr>
          <w:rFonts w:ascii="Times New Roman;serif" w:hAnsi="Times New Roman;serif"/>
          <w:b w:val="false"/>
          <w:sz w:val="20"/>
        </w:rPr>
        <w:t>On June 1, 2022, we entered into a collaboration and license agreement, or the Roche Agreement, with Roche regarding the development and commercialization of our product candidate camonsertib (also known as RP-3500 or RG6526) and specified other ATR inhibitors, which we refer to as the Licensed Products. The transaction was subject to clearance under the Hart-Scott-Rodino Antitrust Improvements Act of 1976 and other customary closing conditions, which were met on July 13, 2022.</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Under the Roche Agreement, we granted Roche a worldwide, perpetual, exclusive, sublicensable license to develop, manufacture, and commercialize the Licensed Products. Roche assumes all subsequent development of camonsertib with the potential to expand development into additional tumors and multiple combination studies. We have agreed to complete specified ongoing clinical trials in accordance with the development plan in the Roche Agreement, as well as ongoing investigator sponsored trials, or together, the Continuing Trials, at our expense. We also retained the right to conduct specified clinical trials of camonsertib in combination with our PKMYT1 compound (also known as lunresertib).</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Roche Agreement was subsequently amended in October 2022 to extend the timeline to negotiate in good faith the parties’ rights and obligations with respect to the Repare Trials, as defined in the Roche Agreement, and to clarify indications included in the development plan that are subject to milestones.</w:t>
      </w:r>
    </w:p>
    <w:p>
      <w:pPr>
        <w:pStyle w:val="TextBody"/>
        <w:bidi w:val="0"/>
        <w:spacing w:before="240" w:after="0"/>
        <w:jc w:val="both"/>
        <w:rPr>
          <w:rFonts w:ascii="Times New Roman" w:hAnsi="Times New Roman"/>
          <w:sz w:val="20"/>
        </w:rPr>
      </w:pPr>
      <w:r>
        <w:rPr>
          <w:rFonts w:ascii="Times New Roman;serif" w:hAnsi="Times New Roman;serif"/>
          <w:b w:val="false"/>
          <w:sz w:val="20"/>
        </w:rPr>
        <w:t>Under the terms of the Roche Agreement, we received an upfront payment of $125 million in July 2022, and are eligible to receive up to $1.172 billion in potential clinical, regulatory, commercial and sales milestones, including up to $55 million in potential near-term</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payments, and royalties on global net sales ranging from high-single-digits to high-teens. The Roche Agreement also provides us with the ability to opt-in to a 50/50 U.S. co-development and profit share arrangement, including participation in U.S. co-promotion if U.S. regulatory approval is received. If we choose to exercise its co-development and profit share option, we will continue to be eligible to receive certain clinical, regulatory, commercial and sales milestone payments, in addition to full ex-U.S. royalties.</w:t>
      </w:r>
    </w:p>
    <w:p>
      <w:pPr>
        <w:pStyle w:val="TextBody"/>
        <w:bidi w:val="0"/>
        <w:spacing w:before="240" w:after="240"/>
        <w:jc w:val="both"/>
        <w:rPr>
          <w:rFonts w:ascii="Times New Roman;serif" w:hAnsi="Times New Roman;serif"/>
          <w:b w:val="false"/>
          <w:sz w:val="20"/>
        </w:rPr>
      </w:pPr>
      <w:r>
        <w:rPr>
          <w:rFonts w:ascii="Times New Roman;serif" w:hAnsi="Times New Roman;serif"/>
          <w:b w:val="false"/>
          <w:sz w:val="20"/>
        </w:rPr>
        <w:t>We determined that the transaction price at the onset of the Roche Agreement was $134.6 million, being (i) the total non-refundable upfront payment received of $125.0 million, (ii) the additional $4.0 million payment received, negotiated with Roche for revisions to the clinical development plan under the Roche Agreement as agreed at the time of the effective date of the Roche Agreement, and (iii) the $5.6 million received for the transfer of clinical trial materials.</w:t>
      </w:r>
    </w:p>
    <w:p>
      <w:pPr>
        <w:pStyle w:val="TextBody"/>
        <w:bidi w:val="0"/>
        <w:spacing w:before="240" w:after="240"/>
        <w:jc w:val="both"/>
        <w:rPr>
          <w:rFonts w:ascii="Times New Roman" w:hAnsi="Times New Roman"/>
          <w:sz w:val="20"/>
        </w:rPr>
      </w:pPr>
      <w:r>
        <w:rPr>
          <w:rFonts w:ascii="Times New Roman;serif" w:hAnsi="Times New Roman;serif"/>
          <w:b w:val="false"/>
          <w:sz w:val="20"/>
        </w:rPr>
        <w:t>In February 2023, the Company received a further payment of $4.0 million negotiated with Roche for additional revisions to the clinical development plan. The Company determined that the scope and the price of the contract had increased as a result of these additional changes and thus reflected a contract modification under ASC 606. The additional services were assessed to be not distinct from the ongoing performance obligation related to the completion of the Continuing Trials but distinct from the other performance obligations. No adjustment was therefore made to the two previously completed performance obligations, being the combined licenses and the transfer of clinical trial materials. The transaction price was updated for the additional consideration of $4.0 million, which has been allocated to the completion of the Continuing Trials performance obligation. An adjustment to revenue previously recognized based on updated measures of progress related to the completion of the Continuing Trials has been recognized on a cumulative catch-up basis in the first quarter of 2023.</w:t>
      </w:r>
      <w:r>
        <w:rPr>
          <w:rFonts w:ascii="Times New Roman" w:hAnsi="Times New Roman"/>
          <w:sz w:val="20"/>
        </w:rPr>
        <w:t xml:space="preserve"> </w:t>
      </w:r>
    </w:p>
    <w:tbl>
      <w:tblPr>
        <w:tblW w:w="4723" w:type="dxa"/>
        <w:jc w:val="left"/>
        <w:tblInd w:w="0" w:type="dxa"/>
        <w:tblLayout w:type="fixed"/>
        <w:tblCellMar>
          <w:top w:w="28" w:type="dxa"/>
          <w:left w:w="28" w:type="dxa"/>
          <w:bottom w:w="28" w:type="dxa"/>
          <w:right w:w="28" w:type="dxa"/>
        </w:tblCellMar>
      </w:tblPr>
      <w:tblGrid>
        <w:gridCol w:w="2806"/>
        <w:gridCol w:w="146"/>
        <w:gridCol w:w="293"/>
        <w:gridCol w:w="1087"/>
        <w:gridCol w:w="3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Performance obligation</w:t>
            </w:r>
          </w:p>
        </w:tc>
        <w:tc>
          <w:tcPr>
            <w:tcW w:w="146" w:type="dxa"/>
            <w:tcBorders/>
            <w:vAlign w:val="center"/>
          </w:tcPr>
          <w:p>
            <w:pPr>
              <w:pStyle w:val="TableContents"/>
              <w:bidi w:val="0"/>
              <w:spacing w:before="0" w:after="0"/>
              <w:ind w:left="0" w:right="0" w:hanging="0"/>
              <w:jc w:val="center"/>
              <w:rPr/>
            </w:pPr>
            <w:r>
              <w:rPr/>
              <w:t> </w:t>
            </w:r>
          </w:p>
        </w:tc>
        <w:tc>
          <w:tcPr>
            <w:tcW w:w="13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Transaction price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38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Combined licenses</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105,327</w:t>
            </w:r>
          </w:p>
        </w:tc>
        <w:tc>
          <w:tcPr>
            <w:tcW w:w="391"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Completion of Continuing Trials</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10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30,585</w:t>
            </w:r>
          </w:p>
        </w:tc>
        <w:tc>
          <w:tcPr>
            <w:tcW w:w="391"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Transfer of clinical trial materials</w:t>
            </w:r>
          </w:p>
        </w:tc>
        <w:tc>
          <w:tcPr>
            <w:tcW w:w="146" w:type="dxa"/>
            <w:tcBorders/>
            <w:vAlign w:val="center"/>
          </w:tcPr>
          <w:p>
            <w:pPr>
              <w:pStyle w:val="TableContents"/>
              <w:bidi w:val="0"/>
              <w:spacing w:before="0" w:after="0"/>
              <w:ind w:left="0" w:right="0" w:hanging="0"/>
              <w:jc w:val="left"/>
              <w:rPr/>
            </w:pPr>
            <w:r>
              <w:rPr/>
              <w:t> </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8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transaction price</w:t>
            </w:r>
          </w:p>
        </w:tc>
        <w:tc>
          <w:tcPr>
            <w:tcW w:w="146" w:type="dxa"/>
            <w:tcBorders/>
            <w:vAlign w:val="center"/>
          </w:tcPr>
          <w:p>
            <w:pPr>
              <w:pStyle w:val="TableContents"/>
              <w:bidi w:val="0"/>
              <w:spacing w:before="0" w:after="0"/>
              <w:ind w:left="0" w:right="0" w:hanging="0"/>
              <w:jc w:val="left"/>
              <w:rPr/>
            </w:pPr>
            <w:r>
              <w:rPr/>
              <w:t> </w:t>
            </w:r>
          </w:p>
        </w:tc>
        <w:tc>
          <w:tcPr>
            <w:tcW w:w="2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138,626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pPr>
      <w:r>
        <w:rPr/>
        <w:t> </w:t>
      </w:r>
    </w:p>
    <w:tbl>
      <w:tblPr>
        <w:tblW w:w="9043" w:type="dxa"/>
        <w:jc w:val="left"/>
        <w:tblInd w:w="0" w:type="dxa"/>
        <w:tblLayout w:type="fixed"/>
        <w:tblCellMar>
          <w:top w:w="28" w:type="dxa"/>
          <w:left w:w="28" w:type="dxa"/>
          <w:bottom w:w="28" w:type="dxa"/>
          <w:right w:w="28" w:type="dxa"/>
        </w:tblCellMar>
      </w:tblPr>
      <w:tblGrid>
        <w:gridCol w:w="6046"/>
        <w:gridCol w:w="146"/>
        <w:gridCol w:w="585"/>
        <w:gridCol w:w="1875"/>
        <w:gridCol w:w="391"/>
      </w:tblGrid>
      <w:tr>
        <w:trPr/>
        <w:tc>
          <w:tcPr>
            <w:tcW w:w="6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4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Deferred revenue pertaining to the Roche Agreement</w:t>
            </w:r>
          </w:p>
        </w:tc>
        <w:tc>
          <w:tcPr>
            <w:tcW w:w="146" w:type="dxa"/>
            <w:tcBorders/>
            <w:vAlign w:val="center"/>
          </w:tcPr>
          <w:p>
            <w:pPr>
              <w:pStyle w:val="TableContents"/>
              <w:bidi w:val="0"/>
              <w:spacing w:before="0" w:after="0"/>
              <w:ind w:left="0" w:right="0" w:hanging="0"/>
              <w:jc w:val="left"/>
              <w:rPr/>
            </w:pPr>
            <w:r>
              <w:rPr/>
              <w:t> </w:t>
            </w:r>
          </w:p>
        </w:tc>
        <w:tc>
          <w:tcPr>
            <w:tcW w:w="24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Completion of Continuing Trials</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17,957</w:t>
            </w:r>
          </w:p>
        </w:tc>
        <w:tc>
          <w:tcPr>
            <w:tcW w:w="391" w:type="dxa"/>
            <w:tcBorders/>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Increase in collaboration revenue receivable</w:t>
            </w:r>
          </w:p>
        </w:tc>
        <w:tc>
          <w:tcPr>
            <w:tcW w:w="14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pPr>
            <w:r>
              <w:rPr/>
              <w:t> </w:t>
            </w:r>
          </w:p>
        </w:tc>
        <w:tc>
          <w:tcPr>
            <w:tcW w:w="18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4,000</w:t>
            </w:r>
          </w:p>
        </w:tc>
        <w:tc>
          <w:tcPr>
            <w:tcW w:w="391" w:type="dxa"/>
            <w:tcBorders/>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Recognition as revenue, as the result of performance obligations satisfied</w:t>
            </w:r>
          </w:p>
        </w:tc>
        <w:tc>
          <w:tcPr>
            <w:tcW w:w="146" w:type="dxa"/>
            <w:tcBorders/>
            <w:vAlign w:val="center"/>
          </w:tcPr>
          <w:p>
            <w:pPr>
              <w:pStyle w:val="TableContents"/>
              <w:bidi w:val="0"/>
              <w:spacing w:before="0" w:after="0"/>
              <w:ind w:left="0" w:right="0" w:hanging="0"/>
              <w:jc w:val="left"/>
              <w:rPr/>
            </w:pPr>
            <w:r>
              <w:rPr/>
              <w:t> </w:t>
            </w:r>
          </w:p>
        </w:tc>
        <w:tc>
          <w:tcPr>
            <w:tcW w:w="5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5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16,645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Recognition as revenue, as the result of performance obligations satisfied</w:t>
            </w:r>
          </w:p>
        </w:tc>
        <w:tc>
          <w:tcPr>
            <w:tcW w:w="146" w:type="dxa"/>
            <w:tcBorders/>
            <w:vAlign w:val="center"/>
          </w:tcPr>
          <w:p>
            <w:pPr>
              <w:pStyle w:val="TableContents"/>
              <w:bidi w:val="0"/>
              <w:spacing w:before="0" w:after="0"/>
              <w:ind w:left="0" w:right="0" w:hanging="0"/>
              <w:jc w:val="left"/>
              <w:rPr/>
            </w:pPr>
            <w:r>
              <w:rPr/>
              <w:t> </w:t>
            </w:r>
          </w:p>
        </w:tc>
        <w:tc>
          <w:tcPr>
            <w:tcW w:w="5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June 30, 2023</w:t>
            </w:r>
          </w:p>
        </w:tc>
        <w:tc>
          <w:tcPr>
            <w:tcW w:w="146" w:type="dxa"/>
            <w:tcBorders/>
            <w:vAlign w:val="center"/>
          </w:tcPr>
          <w:p>
            <w:pPr>
              <w:pStyle w:val="TableContents"/>
              <w:bidi w:val="0"/>
              <w:spacing w:before="0" w:after="0"/>
              <w:ind w:left="0" w:right="0" w:hanging="0"/>
              <w:jc w:val="left"/>
              <w:rPr/>
            </w:pPr>
            <w:r>
              <w:rPr/>
              <w:t> </w:t>
            </w:r>
          </w:p>
        </w:tc>
        <w:tc>
          <w:tcPr>
            <w:tcW w:w="5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11,820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Classified as short-term</w:t>
            </w:r>
          </w:p>
        </w:tc>
        <w:tc>
          <w:tcPr>
            <w:tcW w:w="14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11,125</w:t>
            </w:r>
          </w:p>
        </w:tc>
        <w:tc>
          <w:tcPr>
            <w:tcW w:w="391" w:type="dxa"/>
            <w:tcBorders/>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Classified as long-term</w:t>
            </w:r>
          </w:p>
        </w:tc>
        <w:tc>
          <w:tcPr>
            <w:tcW w:w="14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pPr>
            <w:r>
              <w:rPr/>
              <w:t> </w:t>
            </w:r>
          </w:p>
        </w:tc>
        <w:tc>
          <w:tcPr>
            <w:tcW w:w="18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695</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recognized $4.8 million and $10.1 million as revenue for the three and six months ended June 30, 2023, respectively, and nil for the three and six months ended June 30, 2022, in recognition of research and development services performed towards the completion of the Continuing Trials under the Roche Agreement.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As of June 30, 2023, there was $11.8 million (December 31, 2022 - $18.0 million) of deferred revenue related to the Roche Agreement, of which $11.1 million (December 31, 2022 - $15.3 million) was classified as current and $0.7 million (December 31, 2022 - $2.7 million) was classified as non-current in the condensed consolidated balance sheet based on the period the services to complete the Continuing Trials are expected to be performed.</w:t>
      </w:r>
    </w:p>
    <w:p>
      <w:pPr>
        <w:pStyle w:val="TextBody"/>
        <w:bidi w:val="0"/>
        <w:spacing w:before="360" w:after="0"/>
        <w:jc w:val="both"/>
        <w:rPr>
          <w:rFonts w:ascii="Times New Roman" w:hAnsi="Times New Roman"/>
          <w:sz w:val="20"/>
        </w:rPr>
      </w:pPr>
      <w:r>
        <w:rPr>
          <w:rFonts w:ascii="Times New Roman;serif" w:hAnsi="Times New Roman;serif"/>
          <w:b w:val="false"/>
          <w:i/>
          <w:sz w:val="20"/>
        </w:rPr>
        <w:t>Collaboration and License Agreement with Bristol-Myers Squibb Company</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In May 2020, we entered into a collaboration and license agreement, or the BMS Agreement, with the Bristol Myers Squibb Company, or Bristol Myers Squibb, pursuant to which we and Bristol Myers Squibb have agreed to collaborate in the research and development of potential new product candidates for the treatment of cancer. We are providing Bristol Myers Squibb access to a selected number of our existing screening campaigns and novel campaigns. We are responsible for carrying out early-stage research activities directed to identifying potential targets for potential licensing by Bristol Myers Squibb. The collaboration consists of programs directed to both druggable targets and to targets commonly considered undruggable to traditional small molecule approaches. In the event that Bristol Myers Squibb elects to obtain an exclusive license for the subsequent development, manufacturing and commercialization of a program, Bristol Myers Squibb will then be solely responsible for all such worldwide activities.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The BMS Agreement was subsequently amended in July, September and November 2020 to include additional campaigns to the list of existing campaigns from which Bristol Myers Squibb may select campaigns under the BMS Agreement and to enable unblinding of a Bristol Myers Squibb alliance manager in order to streamline the collaboration process. The BMS Agreement was also amended in May 2023 to extend review periods for specified targets.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As part of the BMS Agreement, Bristol Myers Squibb paid us an initial upfront fee of $50.0 million and made an equity investment of $15.0 million in our company. We will also be eligible to receive up to $3.0 billion in total milestones across all potential programs. Such milestones consist of $301.0 million in total milestones per program subject upon the achievement of certain specified research, development, regulatory and commercial milestones.</w:t>
      </w:r>
    </w:p>
    <w:p>
      <w:pPr>
        <w:pStyle w:val="TextBody"/>
        <w:bidi w:val="0"/>
        <w:spacing w:before="240" w:after="240"/>
        <w:jc w:val="both"/>
        <w:rPr>
          <w:rFonts w:ascii="Times New Roman" w:hAnsi="Times New Roman"/>
          <w:sz w:val="20"/>
        </w:rPr>
      </w:pPr>
      <w:r>
        <w:rPr>
          <w:rFonts w:ascii="Times New Roman;serif" w:hAnsi="Times New Roman;serif"/>
          <w:b w:val="false"/>
          <w:sz w:val="20"/>
        </w:rPr>
        <w:t>The $50.0 million upfront payment was recorded as deferred revenue on our consolidated balance sheet and is expected to be partially recognized at the point in time when option licenses are exercised by Bristol Myers Squibb, with the remainder being recognized on a proportional performance basis over the period of service for research services.</w:t>
      </w:r>
      <w:r>
        <w:rPr>
          <w:rFonts w:ascii="Times New Roman" w:hAnsi="Times New Roman"/>
          <w:sz w:val="20"/>
        </w:rPr>
        <w:t xml:space="preserve"> </w:t>
      </w:r>
    </w:p>
    <w:tbl>
      <w:tblPr>
        <w:tblW w:w="5173" w:type="dxa"/>
        <w:jc w:val="left"/>
        <w:tblInd w:w="0" w:type="dxa"/>
        <w:tblLayout w:type="fixed"/>
        <w:tblCellMar>
          <w:top w:w="28" w:type="dxa"/>
          <w:left w:w="28" w:type="dxa"/>
          <w:bottom w:w="28" w:type="dxa"/>
          <w:right w:w="28" w:type="dxa"/>
        </w:tblCellMar>
      </w:tblPr>
      <w:tblGrid>
        <w:gridCol w:w="3256"/>
        <w:gridCol w:w="146"/>
        <w:gridCol w:w="328"/>
        <w:gridCol w:w="1052"/>
        <w:gridCol w:w="3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5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Performance obligation</w:t>
            </w:r>
          </w:p>
        </w:tc>
        <w:tc>
          <w:tcPr>
            <w:tcW w:w="146" w:type="dxa"/>
            <w:tcBorders/>
            <w:vAlign w:val="center"/>
          </w:tcPr>
          <w:p>
            <w:pPr>
              <w:pStyle w:val="TableContents"/>
              <w:bidi w:val="0"/>
              <w:spacing w:before="0" w:after="0"/>
              <w:ind w:left="0" w:right="0" w:hanging="0"/>
              <w:jc w:val="center"/>
              <w:rPr/>
            </w:pPr>
            <w:r>
              <w:rPr/>
              <w:t> </w:t>
            </w:r>
          </w:p>
        </w:tc>
        <w:tc>
          <w:tcPr>
            <w:tcW w:w="13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Transaction price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38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3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activities</w:t>
            </w:r>
          </w:p>
        </w:tc>
        <w:tc>
          <w:tcPr>
            <w:tcW w:w="14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6,405</w:t>
            </w:r>
          </w:p>
        </w:tc>
        <w:tc>
          <w:tcPr>
            <w:tcW w:w="391" w:type="dxa"/>
            <w:tcBorders/>
            <w:vAlign w:val="center"/>
          </w:tcPr>
          <w:p>
            <w:pPr>
              <w:pStyle w:val="TableContents"/>
              <w:bidi w:val="0"/>
              <w:spacing w:before="0" w:after="0"/>
              <w:ind w:left="0" w:right="0" w:hanging="0"/>
              <w:jc w:val="left"/>
              <w:rPr/>
            </w:pPr>
            <w:r>
              <w:rPr/>
              <w:t> </w:t>
            </w:r>
          </w:p>
        </w:tc>
      </w:tr>
      <w:tr>
        <w:trPr/>
        <w:tc>
          <w:tcPr>
            <w:tcW w:w="3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to license druggable targets</w:t>
            </w:r>
          </w:p>
        </w:tc>
        <w:tc>
          <w:tcPr>
            <w:tcW w:w="14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31,148</w:t>
            </w:r>
          </w:p>
        </w:tc>
        <w:tc>
          <w:tcPr>
            <w:tcW w:w="391" w:type="dxa"/>
            <w:tcBorders/>
            <w:vAlign w:val="center"/>
          </w:tcPr>
          <w:p>
            <w:pPr>
              <w:pStyle w:val="TableContents"/>
              <w:bidi w:val="0"/>
              <w:spacing w:before="0" w:after="0"/>
              <w:ind w:left="0" w:right="0" w:hanging="0"/>
              <w:jc w:val="left"/>
              <w:rPr/>
            </w:pPr>
            <w:r>
              <w:rPr/>
              <w:t> </w:t>
            </w:r>
          </w:p>
        </w:tc>
      </w:tr>
      <w:tr>
        <w:trPr/>
        <w:tc>
          <w:tcPr>
            <w:tcW w:w="3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to license undruggable targets</w:t>
            </w:r>
          </w:p>
        </w:tc>
        <w:tc>
          <w:tcPr>
            <w:tcW w:w="146" w:type="dxa"/>
            <w:tcBorders/>
            <w:vAlign w:val="center"/>
          </w:tcPr>
          <w:p>
            <w:pPr>
              <w:pStyle w:val="TableContents"/>
              <w:bidi w:val="0"/>
              <w:spacing w:before="0" w:after="0"/>
              <w:ind w:left="0" w:right="0" w:hanging="0"/>
              <w:jc w:val="left"/>
              <w:rPr/>
            </w:pPr>
            <w:r>
              <w:rPr/>
              <w:t> </w:t>
            </w:r>
          </w:p>
        </w:tc>
        <w:tc>
          <w:tcPr>
            <w:tcW w:w="3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transaction price</w:t>
            </w:r>
          </w:p>
        </w:tc>
        <w:tc>
          <w:tcPr>
            <w:tcW w:w="146" w:type="dxa"/>
            <w:tcBorders/>
            <w:vAlign w:val="center"/>
          </w:tcPr>
          <w:p>
            <w:pPr>
              <w:pStyle w:val="TableContents"/>
              <w:bidi w:val="0"/>
              <w:spacing w:before="0" w:after="0"/>
              <w:ind w:left="0" w:right="0" w:hanging="0"/>
              <w:jc w:val="left"/>
              <w:rPr/>
            </w:pPr>
            <w:r>
              <w:rPr/>
              <w:t> </w:t>
            </w:r>
          </w:p>
        </w:tc>
        <w:tc>
          <w:tcPr>
            <w:tcW w:w="3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pPr>
      <w:r>
        <w:rPr/>
        <w:t> </w:t>
      </w:r>
    </w:p>
    <w:tbl>
      <w:tblPr>
        <w:tblW w:w="10205" w:type="dxa"/>
        <w:jc w:val="left"/>
        <w:tblInd w:w="0" w:type="dxa"/>
        <w:tblLayout w:type="fixed"/>
        <w:tblCellMar>
          <w:top w:w="28" w:type="dxa"/>
          <w:left w:w="28" w:type="dxa"/>
          <w:bottom w:w="28" w:type="dxa"/>
          <w:right w:w="28" w:type="dxa"/>
        </w:tblCellMar>
      </w:tblPr>
      <w:tblGrid>
        <w:gridCol w:w="3287"/>
        <w:gridCol w:w="146"/>
        <w:gridCol w:w="288"/>
        <w:gridCol w:w="862"/>
        <w:gridCol w:w="166"/>
        <w:gridCol w:w="409"/>
        <w:gridCol w:w="1428"/>
        <w:gridCol w:w="166"/>
        <w:gridCol w:w="465"/>
        <w:gridCol w:w="1499"/>
        <w:gridCol w:w="146"/>
        <w:gridCol w:w="211"/>
        <w:gridCol w:w="736"/>
        <w:gridCol w:w="396"/>
      </w:tblGrid>
      <w:tr>
        <w:trPr/>
        <w:tc>
          <w:tcPr>
            <w:tcW w:w="3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287"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Deferred revenue pertaining to the BMS Agreement</w:t>
            </w:r>
          </w:p>
        </w:tc>
        <w:tc>
          <w:tcPr>
            <w:tcW w:w="146" w:type="dxa"/>
            <w:tcBorders/>
            <w:vAlign w:val="center"/>
          </w:tcPr>
          <w:p>
            <w:pPr>
              <w:pStyle w:val="TableContents"/>
              <w:bidi w:val="0"/>
              <w:spacing w:before="0" w:after="0"/>
              <w:ind w:left="0" w:right="0" w:hanging="0"/>
              <w:jc w:val="left"/>
              <w:rPr/>
            </w:pPr>
            <w:r>
              <w:rPr/>
              <w:t> </w:t>
            </w:r>
          </w:p>
        </w:tc>
        <w:tc>
          <w:tcPr>
            <w:tcW w:w="11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Research activities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Options to license druggable targets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Options to license undruggable targets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76" w:type="dxa"/>
            <w:gridSpan w:val="11"/>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6" w:type="dxa"/>
            <w:tcBorders/>
            <w:vAlign w:val="center"/>
          </w:tcPr>
          <w:p>
            <w:pPr>
              <w:pStyle w:val="TableContents"/>
              <w:bidi w:val="0"/>
              <w:spacing w:before="0" w:after="0"/>
              <w:ind w:left="0" w:right="0" w:hanging="0"/>
              <w:jc w:val="center"/>
              <w:rPr/>
            </w:pPr>
            <w:r>
              <w:rPr/>
              <w:t> </w:t>
            </w:r>
          </w:p>
        </w:tc>
      </w:tr>
      <w:tr>
        <w:trPr/>
        <w:tc>
          <w:tcPr>
            <w:tcW w:w="32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2,448</w:t>
            </w:r>
          </w:p>
        </w:tc>
        <w:tc>
          <w:tcPr>
            <w:tcW w:w="16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12,459</w:t>
            </w:r>
          </w:p>
        </w:tc>
        <w:tc>
          <w:tcPr>
            <w:tcW w:w="16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27,354</w:t>
            </w:r>
          </w:p>
        </w:tc>
        <w:tc>
          <w:tcPr>
            <w:tcW w:w="396" w:type="dxa"/>
            <w:tcBorders/>
            <w:vAlign w:val="center"/>
          </w:tcPr>
          <w:p>
            <w:pPr>
              <w:pStyle w:val="TableContents"/>
              <w:bidi w:val="0"/>
              <w:spacing w:before="0" w:after="0"/>
              <w:ind w:left="0" w:right="0" w:firstLine="200"/>
              <w:jc w:val="left"/>
              <w:rPr/>
            </w:pPr>
            <w:r>
              <w:rPr/>
              <w:t> </w:t>
            </w:r>
          </w:p>
        </w:tc>
      </w:tr>
      <w:tr>
        <w:trPr/>
        <w:tc>
          <w:tcPr>
            <w:tcW w:w="328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Recognition as revenue, as the result of performance obligations</w:t>
              <w:br/>
              <w:t>   satisfied</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12,459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26,988</w:t>
            </w:r>
          </w:p>
        </w:tc>
        <w:tc>
          <w:tcPr>
            <w:tcW w:w="39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28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Increase in collaboration revenue receivable</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4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w:t>
            </w:r>
          </w:p>
        </w:tc>
        <w:tc>
          <w:tcPr>
            <w:tcW w:w="16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pPr>
            <w:r>
              <w:rPr/>
              <w:t> </w:t>
            </w:r>
          </w:p>
        </w:tc>
        <w:tc>
          <w:tcPr>
            <w:tcW w:w="14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w:t>
            </w:r>
          </w:p>
        </w:tc>
        <w:tc>
          <w:tcPr>
            <w:tcW w:w="396" w:type="dxa"/>
            <w:tcBorders/>
            <w:vAlign w:val="center"/>
          </w:tcPr>
          <w:p>
            <w:pPr>
              <w:pStyle w:val="TableContents"/>
              <w:bidi w:val="0"/>
              <w:spacing w:before="0" w:after="0"/>
              <w:ind w:left="0" w:right="0" w:firstLine="200"/>
              <w:jc w:val="left"/>
              <w:rPr/>
            </w:pPr>
            <w:r>
              <w:rPr/>
              <w:t> </w:t>
            </w:r>
          </w:p>
        </w:tc>
      </w:tr>
      <w:tr>
        <w:trPr/>
        <w:tc>
          <w:tcPr>
            <w:tcW w:w="328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Recognition as revenue, as the result of performance obligations</w:t>
              <w:br/>
              <w:t>   satisfied</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(14,951</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June 30, 2023</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13,287</w:t>
            </w:r>
          </w:p>
        </w:tc>
        <w:tc>
          <w:tcPr>
            <w:tcW w:w="39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28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Classified as short-term</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840</w:t>
            </w:r>
          </w:p>
        </w:tc>
        <w:tc>
          <w:tcPr>
            <w:tcW w:w="16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13,287</w:t>
            </w:r>
          </w:p>
        </w:tc>
        <w:tc>
          <w:tcPr>
            <w:tcW w:w="396" w:type="dxa"/>
            <w:tcBorders/>
            <w:vAlign w:val="center"/>
          </w:tcPr>
          <w:p>
            <w:pPr>
              <w:pStyle w:val="TableContents"/>
              <w:bidi w:val="0"/>
              <w:spacing w:before="0" w:after="0"/>
              <w:ind w:left="0" w:right="0" w:firstLine="200"/>
              <w:jc w:val="left"/>
              <w:rPr/>
            </w:pPr>
            <w:r>
              <w:rPr/>
              <w:t> </w:t>
            </w:r>
          </w:p>
        </w:tc>
      </w:tr>
      <w:tr>
        <w:trPr/>
        <w:tc>
          <w:tcPr>
            <w:tcW w:w="328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Classified as long-term</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4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pPr>
            <w:r>
              <w:rPr/>
              <w:t> </w:t>
            </w:r>
          </w:p>
        </w:tc>
        <w:tc>
          <w:tcPr>
            <w:tcW w:w="14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6"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recognized $1.2 million and $0.7 million as revenue for the three months ended June 30, 2023 and 2022. respectively, and $1.6 million and $1.1 million for the six months ended June 30, 2023 and 2022, respectively, in recognition of deferred revenue for research activities performed under the BMS Agreement.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May 2023, Bristol Myers Squibb exercised its option for a druggable target and in June 2023, Bristol Myers Squibb waived its rights to exercise an option for a druggable target. As a result, we recognized $12.7 million as revenue related to druggable targets for the three and six months ended June 30, 2023 (nil for the three and six months ended June 30, 2022), including the option fee of $0.25 million which was received in July 2023.</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May 2023, Bristol Myers Squibb also triggered a $1.0 million further development election for a previously exercised druggable target. As such, we recognized this specified research milestone as revenue during the three and six months ended June 30, 2023 (nil for the three and six months ended June 30, 2022), which was received in July 2023.</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As of June 30, 2023, there was $13.3 million (December 31, 2022 - $27.4 million) of deferred revenue related to the BMS Agreement, which was classified as current in the condensed consolidated balance sheet based on the period the services are expected to be performed, the expected timing of potential option exercises for undruggable targets, and the expected expiry of the BMS Agreement.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 w:hAnsi="Times New Roman"/>
          <w:sz w:val="20"/>
        </w:rPr>
      </w:pPr>
      <w:r>
        <w:rPr>
          <w:rFonts w:ascii="Times New Roman;serif" w:hAnsi="Times New Roman;serif"/>
          <w:b w:val="false"/>
          <w:i/>
          <w:sz w:val="20"/>
        </w:rPr>
        <w:t>Collaboration Agreement with Ono Pharmaceutical Company Ltd.</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January 2019, we entered into a research services, license and collaboration agreement, or the Ono Agreement, with Ono Pharmaceutical Company Ltd., or Ono, pursuant to which we and Ono agreed to collaborate in the research of potential product candidates targeting Polθ and the development of our small molecule Polθ inhibitor program. Pursuant to the terms of the agreement, we received initial upfront payments of approximately $8.1 million. These upfront payments were recorded as deferred revenue on our consolidated balance sheet as per our revenue recognition accounting policy and were to be recognized as revenue at the point in time when a product candidate was licensed to Ono pursuant to the terms of the agreement.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October 2021 and December 2022, we achieved specified research triggers amounting to ¥100 million ($0.9 million) and ¥200 million ($1.5 million), respectively, as research service payments provided for in the Ono Agreement. The ¥200 million ($1.5 million) was included in the collaboration revenue receivable at December 31, 2022 and was subsequently received in January 2023. These amounts were added to the transaction price as the consideration was no longer constrained.</w:t>
      </w:r>
    </w:p>
    <w:p>
      <w:pPr>
        <w:pStyle w:val="TextBody"/>
        <w:bidi w:val="0"/>
        <w:spacing w:before="240" w:after="0"/>
        <w:jc w:val="both"/>
        <w:rPr>
          <w:rFonts w:ascii="Times New Roman" w:hAnsi="Times New Roman"/>
          <w:sz w:val="20"/>
        </w:rPr>
      </w:pPr>
      <w:r>
        <w:rPr>
          <w:rFonts w:ascii="Times New Roman;serif" w:hAnsi="Times New Roman;serif"/>
          <w:b w:val="false"/>
          <w:sz w:val="20"/>
        </w:rPr>
        <w:t>In October 2021, we and Ono entered into an amendment to the Ono Agreement whereby the research term, as defined in the Ono Agreement, was extended by one year. In January 2023, we and Ono entered into a second amendment to the Ono Agreement whereby the Research Term, as defined in the Ono Agreement, was extended until July 31, 2023.</w:t>
      </w:r>
      <w:r>
        <w:rPr>
          <w:rFonts w:ascii="Times New Roman" w:hAnsi="Times New Roman"/>
          <w:sz w:val="20"/>
        </w:rPr>
        <w:t xml:space="preserve"> </w:t>
      </w:r>
    </w:p>
    <w:p>
      <w:pPr>
        <w:pStyle w:val="TextBody"/>
        <w:bidi w:val="0"/>
        <w:spacing w:before="240" w:after="240"/>
        <w:jc w:val="both"/>
        <w:rPr>
          <w:rFonts w:ascii="Times New Roman" w:hAnsi="Times New Roman"/>
          <w:sz w:val="20"/>
        </w:rPr>
      </w:pPr>
      <w:r>
        <w:rPr>
          <w:rFonts w:ascii="Times New Roman;serif" w:hAnsi="Times New Roman;serif"/>
          <w:b w:val="false"/>
          <w:sz w:val="20"/>
        </w:rPr>
        <w:t>In June 2023, Repare and Ono determined not to further extend the Term of the Ono Agreement. As a result, no product candidate will be licensed to Ono pursuant to the terms of Agreement. We recognized $10.5 million as revenue for the three and six months ended June 30, 2023 (nil for the three and six months ended June 30, 2022) with regards to the performance obligation under the Ono Agreement. In July 2023, Ono provided us with a formal notice to terminate the Ono Agreement without cause as defined in the Ono Agreement. As a result of this termination, all rights to the Polθ program have reverted to Repare.</w:t>
      </w:r>
      <w:r>
        <w:rPr>
          <w:rFonts w:ascii="Times New Roman" w:hAnsi="Times New Roman"/>
          <w:sz w:val="20"/>
        </w:rPr>
        <w:t xml:space="preserve"> </w:t>
      </w:r>
    </w:p>
    <w:tbl>
      <w:tblPr>
        <w:tblW w:w="8038" w:type="dxa"/>
        <w:jc w:val="left"/>
        <w:tblInd w:w="0" w:type="dxa"/>
        <w:tblLayout w:type="fixed"/>
        <w:tblCellMar>
          <w:top w:w="28" w:type="dxa"/>
          <w:left w:w="28" w:type="dxa"/>
          <w:bottom w:w="28" w:type="dxa"/>
          <w:right w:w="28" w:type="dxa"/>
        </w:tblCellMar>
      </w:tblPr>
      <w:tblGrid>
        <w:gridCol w:w="6046"/>
        <w:gridCol w:w="146"/>
        <w:gridCol w:w="324"/>
        <w:gridCol w:w="1131"/>
        <w:gridCol w:w="391"/>
      </w:tblGrid>
      <w:tr>
        <w:trPr/>
        <w:tc>
          <w:tcPr>
            <w:tcW w:w="6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4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Deferred revenue pertaining to the Ono Agreement</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Research activities</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10,473</w:t>
            </w:r>
          </w:p>
        </w:tc>
        <w:tc>
          <w:tcPr>
            <w:tcW w:w="391" w:type="dxa"/>
            <w:tcBorders/>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Recognition as revenue, as the result of performance obligations satisfied</w:t>
            </w:r>
          </w:p>
        </w:tc>
        <w:tc>
          <w:tcPr>
            <w:tcW w:w="146" w:type="dxa"/>
            <w:tcBorders/>
            <w:vAlign w:val="center"/>
          </w:tcPr>
          <w:p>
            <w:pPr>
              <w:pStyle w:val="TableContents"/>
              <w:bidi w:val="0"/>
              <w:spacing w:before="0" w:after="0"/>
              <w:ind w:left="0" w:right="0" w:hanging="0"/>
              <w:jc w:val="left"/>
              <w:rPr/>
            </w:pPr>
            <w:r>
              <w:rPr/>
              <w:t> </w:t>
            </w:r>
          </w:p>
        </w:tc>
        <w:tc>
          <w:tcPr>
            <w:tcW w:w="3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3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10,473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Recognition as revenue, as the result of performance obligations satisfied</w:t>
            </w:r>
          </w:p>
        </w:tc>
        <w:tc>
          <w:tcPr>
            <w:tcW w:w="146" w:type="dxa"/>
            <w:tcBorders/>
            <w:vAlign w:val="center"/>
          </w:tcPr>
          <w:p>
            <w:pPr>
              <w:pStyle w:val="TableContents"/>
              <w:bidi w:val="0"/>
              <w:spacing w:before="0" w:after="0"/>
              <w:ind w:left="0" w:right="0" w:hanging="0"/>
              <w:jc w:val="left"/>
              <w:rPr/>
            </w:pPr>
            <w:r>
              <w:rPr/>
              <w:t> </w:t>
            </w:r>
          </w:p>
        </w:tc>
        <w:tc>
          <w:tcPr>
            <w:tcW w:w="3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(10,473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June 30, 2023</w:t>
            </w:r>
          </w:p>
        </w:tc>
        <w:tc>
          <w:tcPr>
            <w:tcW w:w="146" w:type="dxa"/>
            <w:tcBorders/>
            <w:vAlign w:val="center"/>
          </w:tcPr>
          <w:p>
            <w:pPr>
              <w:pStyle w:val="TableContents"/>
              <w:bidi w:val="0"/>
              <w:spacing w:before="0" w:after="0"/>
              <w:ind w:left="0" w:right="0" w:hanging="0"/>
              <w:jc w:val="left"/>
              <w:rPr/>
            </w:pPr>
            <w:r>
              <w:rPr/>
              <w:t> </w:t>
            </w:r>
          </w:p>
        </w:tc>
        <w:tc>
          <w:tcPr>
            <w:tcW w:w="3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both"/>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Research and development expenses consist primarily of costs incurred for our research activities, including our drug discovery efforts and the development of our product candidates, partially offset by fully refundable Canadian research and development tax credits. We expense research and development costs as incurred, which include:</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external research and development expenses incurred under agreements with contract research organizations, or CROs, as well as investigative sites and consultants that conduct our clinical trials, preclinical studies and other scientific development services;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employee-related expenses, including salaries, bonuses, benefits, share-based compensation, and other related costs for those employees involved in research and development efforts;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costs related to manufacturing material for our preclinical studies and clinical trials, including fees paid to contract manufacturing organizations, or CMOs;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laboratory supplies and research materials; </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 xml:space="preserve">upfront, milestone and maintenance fees incurred under license, acquisition and other third-party agreements;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costs related to compliance with regulatory requirements; and </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 xml:space="preserve">facilities, depreciation, scientific advisory board and other allocated expenses, which include direct and allocated expenses for rent, maintenance of facilities and equipment, insurance, equipment and software. </w:t>
      </w:r>
    </w:p>
    <w:p>
      <w:pPr>
        <w:pStyle w:val="TextBody"/>
        <w:bidi w:val="0"/>
        <w:spacing w:before="240" w:after="0"/>
        <w:jc w:val="both"/>
        <w:rPr>
          <w:rFonts w:ascii="Times New Roman" w:hAnsi="Times New Roman"/>
          <w:sz w:val="20"/>
        </w:rPr>
      </w:pPr>
      <w:r>
        <w:rPr>
          <w:rFonts w:ascii="Times New Roman;serif" w:hAnsi="Times New Roman;serif"/>
          <w:b w:val="false"/>
          <w:sz w:val="20"/>
        </w:rPr>
        <w:t>Costs for certain activities are recognized based on an evaluation of the progress to completion of specific tasks using data such as information provided to us by our vendors and analyzing the progress of our studies or other services performed. Significant judgment and estimates are made in determining the accrued expense or prepaid balances at the end of any reporting period.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characterize research and development costs incurred prior to the identification of a product candidate as discovery costs. We characterize costs incurred once a product candidate has been identified as development costs.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direct external research and development expenses consist primarily of fees paid to outside consultants, CROs, CMOs and research laboratories in connection with our preclinical development, process development, manufacturing and clinical development activities. Our direct external research and development expenses also include fees incurred under license, acquisition, and option agreements. We track these external research and development costs on a program-by-program basis once we have identified a product candidate.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activities as well as for managing our preclinical development, process development, manufacturing, and clinical development activities.</w:t>
      </w:r>
      <w:r>
        <w:rPr>
          <w:rFonts w:ascii="Times New Roman" w:hAnsi="Times New Roman"/>
          <w:sz w:val="20"/>
        </w:rPr>
        <w:t xml:space="preserve"> </w:t>
      </w:r>
    </w:p>
    <w:p>
      <w:pPr>
        <w:pStyle w:val="TextBody"/>
        <w:bidi w:val="0"/>
        <w:spacing w:before="240" w:after="240"/>
        <w:jc w:val="both"/>
        <w:rPr>
          <w:rFonts w:ascii="Times New Roman;serif" w:hAnsi="Times New Roman;serif"/>
          <w:b w:val="false"/>
          <w:sz w:val="20"/>
        </w:rPr>
      </w:pPr>
      <w:r>
        <w:rPr>
          <w:rFonts w:ascii="Times New Roman;serif" w:hAnsi="Times New Roman;serif"/>
          <w:b w:val="false"/>
          <w:sz w:val="20"/>
        </w:rPr>
        <w:t>The following table summarizes our research and development costs:</w:t>
      </w:r>
    </w:p>
    <w:tbl>
      <w:tblPr>
        <w:tblW w:w="8792" w:type="dxa"/>
        <w:jc w:val="left"/>
        <w:tblInd w:w="0" w:type="dxa"/>
        <w:tblLayout w:type="fixed"/>
        <w:tblCellMar>
          <w:top w:w="28" w:type="dxa"/>
          <w:left w:w="28" w:type="dxa"/>
          <w:bottom w:w="28" w:type="dxa"/>
          <w:right w:w="28" w:type="dxa"/>
        </w:tblCellMar>
      </w:tblPr>
      <w:tblGrid>
        <w:gridCol w:w="3571"/>
        <w:gridCol w:w="146"/>
        <w:gridCol w:w="211"/>
        <w:gridCol w:w="676"/>
        <w:gridCol w:w="166"/>
        <w:gridCol w:w="146"/>
        <w:gridCol w:w="211"/>
        <w:gridCol w:w="676"/>
        <w:gridCol w:w="166"/>
        <w:gridCol w:w="146"/>
        <w:gridCol w:w="211"/>
        <w:gridCol w:w="676"/>
        <w:gridCol w:w="166"/>
        <w:gridCol w:w="146"/>
        <w:gridCol w:w="211"/>
        <w:gridCol w:w="676"/>
        <w:gridCol w:w="5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48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591" w:type="dxa"/>
            <w:tcBorders/>
            <w:vAlign w:val="center"/>
          </w:tcPr>
          <w:p>
            <w:pPr>
              <w:pStyle w:val="TableContents"/>
              <w:bidi w:val="0"/>
              <w:spacing w:before="0" w:after="0"/>
              <w:ind w:left="0" w:right="0" w:hanging="0"/>
              <w:jc w:val="center"/>
              <w:rPr/>
            </w:pPr>
            <w:r>
              <w:rPr/>
              <w:t> </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Discovery costs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Direct external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5,335</w:t>
            </w:r>
          </w:p>
        </w:tc>
        <w:tc>
          <w:tcPr>
            <w:tcW w:w="591" w:type="dxa"/>
            <w:tcBorders/>
            <w:vAlign w:val="center"/>
          </w:tcPr>
          <w:p>
            <w:pPr>
              <w:pStyle w:val="TableContents"/>
              <w:bidi w:val="0"/>
              <w:spacing w:before="0" w:after="0"/>
              <w:ind w:left="0" w:right="0" w:firstLine="200"/>
              <w:jc w:val="lef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Laboratory supplies and research materials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2,407</w:t>
            </w:r>
          </w:p>
        </w:tc>
        <w:tc>
          <w:tcPr>
            <w:tcW w:w="591" w:type="dxa"/>
            <w:tcBorders/>
            <w:vAlign w:val="center"/>
          </w:tcPr>
          <w:p>
            <w:pPr>
              <w:pStyle w:val="TableContents"/>
              <w:bidi w:val="0"/>
              <w:spacing w:before="0" w:after="0"/>
              <w:ind w:left="0" w:right="0" w:firstLine="200"/>
              <w:jc w:val="lef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Personnel related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6,001</w:t>
            </w:r>
          </w:p>
        </w:tc>
        <w:tc>
          <w:tcPr>
            <w:tcW w:w="591" w:type="dxa"/>
            <w:tcBorders/>
            <w:vAlign w:val="center"/>
          </w:tcPr>
          <w:p>
            <w:pPr>
              <w:pStyle w:val="TableContents"/>
              <w:bidi w:val="0"/>
              <w:spacing w:before="0" w:after="0"/>
              <w:ind w:left="0" w:right="0" w:firstLine="200"/>
              <w:jc w:val="lef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Facilities related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779</w:t>
            </w:r>
          </w:p>
        </w:tc>
        <w:tc>
          <w:tcPr>
            <w:tcW w:w="591" w:type="dxa"/>
            <w:tcBorders/>
            <w:vAlign w:val="center"/>
          </w:tcPr>
          <w:p>
            <w:pPr>
              <w:pStyle w:val="TableContents"/>
              <w:bidi w:val="0"/>
              <w:spacing w:before="0" w:after="0"/>
              <w:ind w:left="0" w:right="0" w:firstLine="200"/>
              <w:jc w:val="lef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16,600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Development</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Direct external costs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357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Camonsertib program*</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13,071</w:t>
            </w:r>
          </w:p>
        </w:tc>
        <w:tc>
          <w:tcPr>
            <w:tcW w:w="591" w:type="dxa"/>
            <w:tcBorders/>
            <w:vAlign w:val="center"/>
          </w:tcPr>
          <w:p>
            <w:pPr>
              <w:pStyle w:val="TableContents"/>
              <w:bidi w:val="0"/>
              <w:spacing w:before="0" w:after="0"/>
              <w:ind w:left="0" w:right="0" w:firstLine="400"/>
              <w:jc w:val="left"/>
              <w:rPr/>
            </w:pPr>
            <w:r>
              <w:rPr/>
              <w:t> </w:t>
            </w:r>
          </w:p>
        </w:tc>
      </w:tr>
      <w:tr>
        <w:trPr/>
        <w:tc>
          <w:tcPr>
            <w:tcW w:w="357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Lunresertib program*</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12,153</w:t>
            </w:r>
          </w:p>
        </w:tc>
        <w:tc>
          <w:tcPr>
            <w:tcW w:w="591" w:type="dxa"/>
            <w:tcBorders/>
            <w:vAlign w:val="center"/>
          </w:tcPr>
          <w:p>
            <w:pPr>
              <w:pStyle w:val="TableContents"/>
              <w:bidi w:val="0"/>
              <w:spacing w:before="0" w:after="0"/>
              <w:ind w:left="0" w:right="0" w:firstLine="400"/>
              <w:jc w:val="left"/>
              <w:rPr/>
            </w:pPr>
            <w:r>
              <w:rPr/>
              <w:t> </w:t>
            </w:r>
          </w:p>
        </w:tc>
      </w:tr>
      <w:tr>
        <w:trPr/>
        <w:tc>
          <w:tcPr>
            <w:tcW w:w="357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RP-1664 program</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357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RP-3467 and Polθ program</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1,019</w:t>
            </w:r>
          </w:p>
        </w:tc>
        <w:tc>
          <w:tcPr>
            <w:tcW w:w="591" w:type="dxa"/>
            <w:tcBorders/>
            <w:vAlign w:val="center"/>
          </w:tcPr>
          <w:p>
            <w:pPr>
              <w:pStyle w:val="TableContents"/>
              <w:bidi w:val="0"/>
              <w:spacing w:before="0" w:after="0"/>
              <w:ind w:left="0" w:right="0" w:firstLine="200"/>
              <w:jc w:val="lef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Personnel related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13,293</w:t>
            </w:r>
          </w:p>
        </w:tc>
        <w:tc>
          <w:tcPr>
            <w:tcW w:w="591" w:type="dxa"/>
            <w:tcBorders/>
            <w:vAlign w:val="center"/>
          </w:tcPr>
          <w:p>
            <w:pPr>
              <w:pStyle w:val="TableContents"/>
              <w:bidi w:val="0"/>
              <w:spacing w:before="0" w:after="0"/>
              <w:ind w:left="0" w:right="0" w:firstLine="200"/>
              <w:jc w:val="lef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Facilities related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w:t>
            </w:r>
          </w:p>
        </w:tc>
        <w:tc>
          <w:tcPr>
            <w:tcW w:w="591" w:type="dxa"/>
            <w:tcBorders/>
            <w:vAlign w:val="center"/>
          </w:tcPr>
          <w:p>
            <w:pPr>
              <w:pStyle w:val="TableContents"/>
              <w:bidi w:val="0"/>
              <w:spacing w:before="0" w:after="0"/>
              <w:ind w:left="0" w:right="0" w:firstLine="200"/>
              <w:jc w:val="left"/>
              <w:rPr/>
            </w:pPr>
            <w:r>
              <w:rPr/>
              <w:t> </w:t>
            </w:r>
          </w:p>
        </w:tc>
      </w:tr>
      <w:tr>
        <w:trPr/>
        <w:tc>
          <w:tcPr>
            <w:tcW w:w="35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51,917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42,059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R&amp;D tax credits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31,475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57,933</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*Certain amounts have been reclassified for presentation purposes.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We anticipate that our expenses will increase substantially, particularly due to the numerous risks and uncertainties associated with developing product candidates, including the uncertainty of:</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the scope, rate of progress, and expenses of our ongoing research activities as well as any preclinical studies, clinical trials and other research and development activities;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establishing an appropriate safety profile;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successful enrollment in and completion of clinical trials;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whether our product candidates show safety and efficacy in our clinical trials;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receipt of marketing approvals from applicable regulatory authorities;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establishing commercial manufacturing capabilities or making arrangements with third-party manufacturers;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obtaining and maintaining patent and trade secret protection and regulatory exclusivity for our product candidates;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commercializing product candidates, if and when approved, whether alone or in collaboration with others; and </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 xml:space="preserve">continued acceptable safety profile of products following any regulatory approval. </w:t>
      </w:r>
    </w:p>
    <w:p>
      <w:pPr>
        <w:pStyle w:val="TextBody"/>
        <w:bidi w:val="0"/>
        <w:spacing w:before="240" w:after="0"/>
        <w:jc w:val="both"/>
        <w:rPr>
          <w:rFonts w:ascii="Times New Roman" w:hAnsi="Times New Roman"/>
          <w:sz w:val="20"/>
        </w:rPr>
      </w:pPr>
      <w:r>
        <w:rPr>
          <w:rFonts w:ascii="Times New Roman;serif" w:hAnsi="Times New Roman;serif"/>
          <w:b w:val="false"/>
          <w:sz w:val="20"/>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U.S. Food and Drug Administration, or the FDA, the European Medicines Agency, or EMA, or another regulatory authority were to delay our planned start of clinical trials or require us to conduct clinical trials or other testing beyond those that we currently expect or if we experience significant delays in enrollment in any of our ongoing and planned clinical trials, we could be required to expend significant additional financial resources and time on the completion of clinical development of that product candidate.</w:t>
      </w:r>
      <w:r>
        <w:rPr>
          <w:rFonts w:ascii="Times New Roman" w:hAnsi="Times New Roman"/>
          <w:sz w:val="20"/>
        </w:rPr>
        <w:t xml:space="preserve"> </w:t>
      </w:r>
    </w:p>
    <w:p>
      <w:pPr>
        <w:pStyle w:val="TextBody"/>
        <w:bidi w:val="0"/>
        <w:spacing w:before="360" w:after="0"/>
        <w:jc w:val="both"/>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General and administrative expense consists primarily of employee related costs, including salaries, bonuses, benefits, share-based compensation and other related costs, as well as expenses for outside professional services, including legal, accounting and audit services and other consulting fees, rent expense, directors and officers insurance expenses, investor and public relations expenses and other general administrative expenses.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anticipate that our general and administrative expenses will increase in the future as we increase our headcount to support our continued research activities and development of our product candidates. We also anticipate that we will continue to incur significant accounting, audit, legal, regulatory, compliance and directors and officers insurance costs as well as investor and public relations expenses associated with operating as a public company.</w:t>
      </w:r>
    </w:p>
    <w:p>
      <w:pPr>
        <w:pStyle w:val="TextBody"/>
        <w:bidi w:val="0"/>
        <w:spacing w:before="360" w:after="0"/>
        <w:jc w:val="both"/>
        <w:rPr>
          <w:rFonts w:ascii="Times New Roman" w:hAnsi="Times New Roman"/>
          <w:sz w:val="20"/>
        </w:rPr>
      </w:pPr>
      <w:r>
        <w:rPr>
          <w:rFonts w:ascii="Times New Roman;serif" w:hAnsi="Times New Roman;serif"/>
          <w:b/>
          <w:i/>
          <w:sz w:val="20"/>
        </w:rPr>
        <w:t>Other Income (Expense), Net</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Other income (expense), net consists primarily of realized and unrealized gains and losses on foreign exchange, interest income earned on cash and cash equivalents and marketable securities, and other expenses such as interest and bank charges.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Realized and unrealized gains and losses on foreign exchange consist of realized and unrealized gains and losses from holding cash and foreign currency denominated other receivables, accounts payable, accrued expenses and other current liabilities as well as operating lease liabilities.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20" w:after="0"/>
        <w:jc w:val="both"/>
        <w:rPr>
          <w:rFonts w:ascii="Times New Roman;serif" w:hAnsi="Times New Roman;serif"/>
          <w:b/>
          <w:i/>
          <w:sz w:val="20"/>
        </w:rPr>
      </w:pPr>
      <w:r>
        <w:rPr>
          <w:rFonts w:ascii="Times New Roman;serif" w:hAnsi="Times New Roman;serif"/>
          <w:b/>
          <w:i/>
          <w:sz w:val="20"/>
        </w:rPr>
        <w:t>Comparison of the Three Months Ended June 30, 2023 and 2022</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following table summarizes our results of operations for the three months ended June 30, 2023 and 2022:</w:t>
      </w:r>
    </w:p>
    <w:p>
      <w:pPr>
        <w:pStyle w:val="TextBody"/>
        <w:bidi w:val="0"/>
        <w:spacing w:before="0" w:after="0"/>
        <w:jc w:val="both"/>
        <w:rPr/>
      </w:pPr>
      <w:r>
        <w:rPr/>
        <w:t> </w:t>
      </w:r>
    </w:p>
    <w:tbl>
      <w:tblPr>
        <w:tblW w:w="8643" w:type="dxa"/>
        <w:jc w:val="left"/>
        <w:tblInd w:w="0" w:type="dxa"/>
        <w:tblLayout w:type="fixed"/>
        <w:tblCellMar>
          <w:top w:w="28" w:type="dxa"/>
          <w:left w:w="28" w:type="dxa"/>
          <w:bottom w:w="28" w:type="dxa"/>
          <w:right w:w="28" w:type="dxa"/>
        </w:tblCellMar>
      </w:tblPr>
      <w:tblGrid>
        <w:gridCol w:w="4681"/>
        <w:gridCol w:w="146"/>
        <w:gridCol w:w="211"/>
        <w:gridCol w:w="736"/>
        <w:gridCol w:w="166"/>
        <w:gridCol w:w="146"/>
        <w:gridCol w:w="211"/>
        <w:gridCol w:w="736"/>
        <w:gridCol w:w="166"/>
        <w:gridCol w:w="146"/>
        <w:gridCol w:w="211"/>
        <w:gridCol w:w="676"/>
        <w:gridCol w:w="41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46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405"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vAlign w:val="center"/>
          </w:tcPr>
          <w:p>
            <w:pPr>
              <w:pStyle w:val="TableContents"/>
              <w:bidi w:val="0"/>
              <w:spacing w:before="0" w:after="0"/>
              <w:ind w:left="0" w:right="0" w:hanging="0"/>
              <w:jc w:val="center"/>
              <w:rPr/>
            </w:pPr>
            <w:r>
              <w:rPr/>
              <w:t> </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firstLine="200"/>
              <w:jc w:val="center"/>
              <w:rPr/>
            </w:pPr>
            <w:r>
              <w:rPr/>
              <w:t> </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Collaboration agreements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29,570</w:t>
            </w:r>
          </w:p>
        </w:tc>
        <w:tc>
          <w:tcPr>
            <w:tcW w:w="411" w:type="dxa"/>
            <w:tcBorders/>
            <w:vAlign w:val="center"/>
          </w:tcPr>
          <w:p>
            <w:pPr>
              <w:pStyle w:val="TableContents"/>
              <w:bidi w:val="0"/>
              <w:spacing w:before="0" w:after="0"/>
              <w:ind w:left="0" w:right="0" w:hanging="0"/>
              <w:jc w:val="left"/>
              <w:rPr/>
            </w:pPr>
            <w:r>
              <w:rPr/>
              <w:t> </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 net of tax credits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2,313</w:t>
            </w:r>
          </w:p>
        </w:tc>
        <w:tc>
          <w:tcPr>
            <w:tcW w:w="411" w:type="dxa"/>
            <w:tcBorders/>
            <w:vAlign w:val="center"/>
          </w:tcPr>
          <w:p>
            <w:pPr>
              <w:pStyle w:val="TableContents"/>
              <w:bidi w:val="0"/>
              <w:spacing w:before="0" w:after="0"/>
              <w:ind w:left="0" w:right="0" w:firstLine="200"/>
              <w:jc w:val="left"/>
              <w:rPr/>
            </w:pPr>
            <w:r>
              <w:rPr/>
              <w:t> </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26,476</w:t>
            </w:r>
          </w:p>
        </w:tc>
        <w:tc>
          <w:tcPr>
            <w:tcW w:w="411" w:type="dxa"/>
            <w:tcBorders/>
            <w:vAlign w:val="center"/>
          </w:tcPr>
          <w:p>
            <w:pPr>
              <w:pStyle w:val="TableContents"/>
              <w:bidi w:val="0"/>
              <w:spacing w:before="0" w:after="0"/>
              <w:ind w:left="0" w:right="0" w:hanging="0"/>
              <w:jc w:val="left"/>
              <w:rPr/>
            </w:pPr>
            <w:r>
              <w:rPr/>
              <w:t> </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Realized and unrealized (loss) gain on foreign exchange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2,945</w:t>
            </w:r>
          </w:p>
        </w:tc>
        <w:tc>
          <w:tcPr>
            <w:tcW w:w="411" w:type="dxa"/>
            <w:tcBorders/>
            <w:vAlign w:val="center"/>
          </w:tcPr>
          <w:p>
            <w:pPr>
              <w:pStyle w:val="TableContents"/>
              <w:bidi w:val="0"/>
              <w:spacing w:before="0" w:after="0"/>
              <w:ind w:left="0" w:right="0" w:firstLine="200"/>
              <w:jc w:val="left"/>
              <w:rPr/>
            </w:pPr>
            <w:r>
              <w:rPr/>
              <w:t> </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29,224</w:t>
            </w:r>
          </w:p>
        </w:tc>
        <w:tc>
          <w:tcPr>
            <w:tcW w:w="411" w:type="dxa"/>
            <w:tcBorders/>
            <w:vAlign w:val="center"/>
          </w:tcPr>
          <w:p>
            <w:pPr>
              <w:pStyle w:val="TableContents"/>
              <w:bidi w:val="0"/>
              <w:spacing w:before="0" w:after="0"/>
              <w:ind w:left="0" w:right="0" w:firstLine="200"/>
              <w:jc w:val="left"/>
              <w:rPr/>
            </w:pPr>
            <w:r>
              <w:rPr/>
              <w:t> </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26,147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Revenue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Revenue was $30.2 million for the three months ended June 30, 2023, compared to $0.7 million for three months ended June 30, 2022. The increase of $29.5 million was due to an increase of:</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$14.2 million in revenue associated with the BMS Agreement mainly for the deferred revenue allocated to the performance obligations for two options to license druggable targets;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$10.5 million in deferred revenue recognized with the Ono Agreement as a result of discussions we held with Ono in the second quarter of 2023 leading to a determination not to further extend the Term of the Ono Agreement;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$4.8 million in deferred revenue recognized with the Roche Agreement as the agreement became effective in July 2022.</w:t>
      </w:r>
    </w:p>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Research and Development Expenses, Net of Tax Credits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Research and development expenses were $33.8 million for the three months ended June 30, 2023, compared to $31.5 million for the three months ended June 30, 2022. The increase of $2.3 million was primarily due to:</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 $1.3 million increase in direct external costs as a result of a $4.1 million increase in costs with the advancement of clinical trials for Lunresertib and IND-enabling studies for RP-1664 and Polθ, which was offset by a $1.8 million decrease in costs with the transition of the Camonsertib program to Roche and $1.0 million lower discovery related costs;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 $1.4 million increase in personnel-related costs, including a $0.9 million increase in share-based compensation;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a $0.4 million decrease in other research and material expenses.</w:t>
      </w:r>
    </w:p>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General and Administrative Expenses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General and administrative expenses were $8.7 million for the three months ended June 30, 2023, compared to $7.9 million for the three months ended June 30, 2022. The increase of $0.8 million in general and administrative expenses consisted of:</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a $1.2 million increase in personnel related costs, including a $0.6 million increase in share-based compensation;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 $0.3 million increase in other general and administrative costs including IT costs;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a $0.7 million decrease in our D&amp;O insurance premium due to lower renewal premiums.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Other Income (Expense), Net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Other income, net was $3.4 million and $0.7 million for the three months ended June 30, 2023 and 2022, respectively. The increase of $2.7 million was primarily attributable to higher sums invested in cash and cash equivalents and marketable securities as well as higher interest rates.</w:t>
      </w:r>
    </w:p>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Income Tax Expense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income tax expense of $3.1 million for the three months ended June 30, 2023 primarily reflected the taxable income in our U.S. subsidiary partially offset by federal and state research and development tax credits, as well as the non-recognition of any tax benefit related to our net deferred tax assets.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income tax expense of nil for the three months ended June 30, 2022 primarily reflected U.S. federal and state research and development tax credits generated, offset by taxable income in our U.S. subsidiary.</w:t>
      </w:r>
    </w:p>
    <w:p>
      <w:pPr>
        <w:pStyle w:val="TextBody"/>
        <w:bidi w:val="0"/>
        <w:spacing w:before="360" w:after="0"/>
        <w:jc w:val="both"/>
        <w:rPr>
          <w:rFonts w:ascii="Times New Roman;serif" w:hAnsi="Times New Roman;serif"/>
          <w:b/>
          <w:i/>
          <w:sz w:val="20"/>
        </w:rPr>
      </w:pPr>
      <w:r>
        <w:rPr>
          <w:rFonts w:ascii="Times New Roman;serif" w:hAnsi="Times New Roman;serif"/>
          <w:b/>
          <w:i/>
          <w:sz w:val="20"/>
        </w:rPr>
        <w:t>Comparison of the Six Months Ended June 30, 2023 and 2022</w:t>
      </w:r>
    </w:p>
    <w:p>
      <w:pPr>
        <w:pStyle w:val="TextBody"/>
        <w:bidi w:val="0"/>
        <w:spacing w:before="120" w:after="360"/>
        <w:jc w:val="both"/>
        <w:rPr>
          <w:rFonts w:ascii="Times New Roman;serif" w:hAnsi="Times New Roman;serif"/>
          <w:b w:val="false"/>
          <w:sz w:val="20"/>
        </w:rPr>
      </w:pPr>
      <w:r>
        <w:rPr>
          <w:rFonts w:ascii="Times New Roman;serif" w:hAnsi="Times New Roman;serif"/>
          <w:b w:val="false"/>
          <w:sz w:val="20"/>
        </w:rPr>
        <w:t>The following table summarizes our results of operations for the six months ended June 30, 2023 and 2022:</w:t>
      </w:r>
    </w:p>
    <w:tbl>
      <w:tblPr>
        <w:tblW w:w="8643" w:type="dxa"/>
        <w:jc w:val="left"/>
        <w:tblInd w:w="0" w:type="dxa"/>
        <w:tblLayout w:type="fixed"/>
        <w:tblCellMar>
          <w:top w:w="28" w:type="dxa"/>
          <w:left w:w="28" w:type="dxa"/>
          <w:bottom w:w="28" w:type="dxa"/>
          <w:right w:w="28" w:type="dxa"/>
        </w:tblCellMar>
      </w:tblPr>
      <w:tblGrid>
        <w:gridCol w:w="4681"/>
        <w:gridCol w:w="146"/>
        <w:gridCol w:w="211"/>
        <w:gridCol w:w="736"/>
        <w:gridCol w:w="166"/>
        <w:gridCol w:w="146"/>
        <w:gridCol w:w="211"/>
        <w:gridCol w:w="736"/>
        <w:gridCol w:w="166"/>
        <w:gridCol w:w="146"/>
        <w:gridCol w:w="211"/>
        <w:gridCol w:w="676"/>
        <w:gridCol w:w="41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46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405"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vAlign w:val="center"/>
          </w:tcPr>
          <w:p>
            <w:pPr>
              <w:pStyle w:val="TableContents"/>
              <w:bidi w:val="0"/>
              <w:spacing w:before="0" w:after="0"/>
              <w:ind w:left="0" w:right="0" w:hanging="0"/>
              <w:jc w:val="center"/>
              <w:rPr/>
            </w:pPr>
            <w:r>
              <w:rPr/>
              <w:t> </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firstLine="200"/>
              <w:jc w:val="center"/>
              <w:rPr/>
            </w:pPr>
            <w:r>
              <w:rPr/>
              <w:t> </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Collaboration agreements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34,840</w:t>
            </w:r>
          </w:p>
        </w:tc>
        <w:tc>
          <w:tcPr>
            <w:tcW w:w="411" w:type="dxa"/>
            <w:tcBorders/>
            <w:vAlign w:val="center"/>
          </w:tcPr>
          <w:p>
            <w:pPr>
              <w:pStyle w:val="TableContents"/>
              <w:bidi w:val="0"/>
              <w:spacing w:before="0" w:after="0"/>
              <w:ind w:left="0" w:right="0" w:hanging="0"/>
              <w:jc w:val="left"/>
              <w:rPr/>
            </w:pPr>
            <w:r>
              <w:rPr/>
              <w:t> </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firstLine="200"/>
              <w:jc w:val="left"/>
              <w:rPr/>
            </w:pPr>
            <w:r>
              <w:rPr/>
              <w:t> </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 net of tax credits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7,685</w:t>
            </w:r>
          </w:p>
        </w:tc>
        <w:tc>
          <w:tcPr>
            <w:tcW w:w="411" w:type="dxa"/>
            <w:tcBorders/>
            <w:vAlign w:val="center"/>
          </w:tcPr>
          <w:p>
            <w:pPr>
              <w:pStyle w:val="TableContents"/>
              <w:bidi w:val="0"/>
              <w:spacing w:before="0" w:after="0"/>
              <w:ind w:left="0" w:right="0" w:firstLine="200"/>
              <w:jc w:val="left"/>
              <w:rPr/>
            </w:pPr>
            <w:r>
              <w:rPr/>
              <w:t> </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82,866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74,650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(73,563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26,624</w:t>
            </w:r>
          </w:p>
        </w:tc>
        <w:tc>
          <w:tcPr>
            <w:tcW w:w="411" w:type="dxa"/>
            <w:tcBorders/>
            <w:vAlign w:val="center"/>
          </w:tcPr>
          <w:p>
            <w:pPr>
              <w:pStyle w:val="TableContents"/>
              <w:bidi w:val="0"/>
              <w:spacing w:before="0" w:after="0"/>
              <w:ind w:left="0" w:right="0" w:hanging="0"/>
              <w:jc w:val="left"/>
              <w:rPr/>
            </w:pPr>
            <w:r>
              <w:rPr/>
              <w:t> </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firstLine="200"/>
              <w:jc w:val="left"/>
              <w:rPr/>
            </w:pPr>
            <w:r>
              <w:rPr/>
              <w:t> </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Realized and unrealized (loss) gain on foreign exchange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6,243</w:t>
            </w:r>
          </w:p>
        </w:tc>
        <w:tc>
          <w:tcPr>
            <w:tcW w:w="411" w:type="dxa"/>
            <w:tcBorders/>
            <w:vAlign w:val="center"/>
          </w:tcPr>
          <w:p>
            <w:pPr>
              <w:pStyle w:val="TableContents"/>
              <w:bidi w:val="0"/>
              <w:spacing w:before="0" w:after="0"/>
              <w:ind w:left="0" w:right="0" w:firstLine="200"/>
              <w:jc w:val="left"/>
              <w:rPr/>
            </w:pPr>
            <w:r>
              <w:rPr/>
              <w:t> </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(72,785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32,624</w:t>
            </w:r>
          </w:p>
        </w:tc>
        <w:tc>
          <w:tcPr>
            <w:tcW w:w="411" w:type="dxa"/>
            <w:tcBorders/>
            <w:vAlign w:val="center"/>
          </w:tcPr>
          <w:p>
            <w:pPr>
              <w:pStyle w:val="TableContents"/>
              <w:bidi w:val="0"/>
              <w:spacing w:before="0" w:after="0"/>
              <w:ind w:left="0" w:right="0" w:firstLine="200"/>
              <w:jc w:val="left"/>
              <w:rPr/>
            </w:pPr>
            <w:r>
              <w:rPr/>
              <w:t> </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(46,887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(72,850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25,963</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Revenue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Revenue was $35.9 million for the three months ended June 30, 2023, compared to $1.1 million for three months ended June 30, 2022. The increase of $34.8 million was due to an increase of:</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$14.2 million associated with the BMS Agreement mainly for the deferred revenue allocated to the performance obligations for two options to license druggable targets;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$10.5 million in deferred revenue recognized with the Ono Agreement as a result of discussions we held with Ono in the second quarter of 2023 leading to a determination not to further extend the Term of the Ono Agreement;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$10.1 million in deferred revenue recognized with the Roche Agreement as the agreement became effective in July 2022.</w:t>
      </w:r>
    </w:p>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Research and Development Expenses, Net of Tax Credits</w:t>
      </w:r>
    </w:p>
    <w:p>
      <w:pPr>
        <w:pStyle w:val="TextBody"/>
        <w:bidi w:val="0"/>
        <w:spacing w:before="120" w:after="0"/>
        <w:jc w:val="both"/>
        <w:rPr>
          <w:rFonts w:ascii="Times New Roman" w:hAnsi="Times New Roman"/>
          <w:sz w:val="20"/>
        </w:rPr>
      </w:pPr>
      <w:r>
        <w:rPr>
          <w:rFonts w:ascii="Times New Roman;serif" w:hAnsi="Times New Roman;serif"/>
          <w:b w:val="false"/>
          <w:sz w:val="20"/>
        </w:rPr>
        <w:t>Research and development expenses were $65.6 million for the six months ended June 30, 2023, compared to $57.9 million for the six months ended June 30, 2022. The increase of $7.7 million was primarily due to:</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a $4.4 million increase in direct external costs as a result of a $7.5 million increase in costs with the advancement of clinical trials for Lunresertib and IND-enabling studies for RP-1664 and Polθ, which was offset by a $1.4 million decrease in costs with the transition of the Camonsertib program to Roche and $1.7 million lower discovery related costs;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 $4.1 million increase in personnel-related costs, including a $1.8 million increase in share-based compensation;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a $0.8 million decrease in other research and material expenses.</w:t>
      </w:r>
    </w:p>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General and Administrative Expenses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General and administrative expenses were $17.2 million for the six months ended June 30, 2023, compared to $16.7 million for the six months ended June 30, 2022. The increase of $0.5 million in general and administrative expenses consisted of:</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 $2.1 million increase in personnel related costs, including a $1.0 million increase in share-based compensation;</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a $0.3 million increase in other general and administrative costs including IT and travel costs;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 $1.3 million decrease in our D&amp;O insurance premium due to lower renewal premiums;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a $0.6 million decrease in professional fees associated with the collaboration and license agreement with Roche signed in 2022.</w:t>
      </w:r>
    </w:p>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Other Income (Expense), Net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Other income, net was $6.8 million and $0.8 million for the six months ended June 30, 2023 and 2022, respectively. The increase of $6.0 million was primarily attributable to higher sums invested in cash and cash equivalents and marketable securities as well as higher interest rates.</w:t>
      </w:r>
    </w:p>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Income Tax Expense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income tax expense of $6.7 million for the six months ended June 30, 2023 primarily reflected the taxable income in our U.S. subsidiary partially offset by federal and state research and development tax credits, as well as the non-recognition of any tax benefit related to our net deferred tax assets.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income tax expense of $0.1 million for the six months ended June 30, 2022 primarily reflected U.S. federal and state research and development tax credits generated, offset by taxable income in our U.S. subsidiary.</w:t>
      </w:r>
    </w:p>
    <w:p>
      <w:pPr>
        <w:pStyle w:val="TextBody"/>
        <w:bidi w:val="0"/>
        <w:spacing w:before="360" w:after="0"/>
        <w:jc w:val="both"/>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Since our inception, we have not recognized any revenue from product sales and have incurred operating losses and negative cash flows from our operations. We have not yet commercialized any product and we do not expect to generate revenue from sales of any products for several years, if at all. On June 2020, we completed our IPO whereby we issued an aggregate of 12,650,000 common shares, which includes the exercise in full of the underwriters’ option to purchase up to an additional 1,650,000 common shares, at a public offering price of $20.00 per share. The aggregate net proceeds received by us from the IPO were $232.0 million, after deducting underwriting commissions, and offering expenses of $3.2 million. In November 2021, we completed a follow-on offering whereby we issued 4,600,000 common shares, including the exercise in full by the underwriters of their option to purchase up to 600,000 additional common shares, at a public offering price of $22.00 per share, for net proceeds of $94.3 million, after deducting underwriting commissions as well as offering expenses of $0.8 million.</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August 2022, we entered into a Common Shares Sale Agreement, or the Sales Agreement, with Cowen and Company, LLC as sales agent, pursuant to which we may issue and sell common shares from time to time, or the ATM Shares. The ATM Shares to be sold under the Sales Agreement, if any, will be issued and sold pursuant to our shelf registration statement on Form S-3 (File No. 333-257668), up to a maximum aggregate amount of $125.0 million. No shares have been issued under the Sales Agreement as of the date of this Quarterly Report on Form 10-Q.</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Prior to our IPO, we had funded our operations primarily through equity financings, having raised an aggregate of approximately $135.2 million of gross proceeds from the sale of our preferred shares and $15.0 million of gross proceeds from the issuance of a warrant to acquire our common shares. We have also received initial upfront and additional payments of approximately $60.5 million in the aggregate from partnerships with Ono for our Polθ inhibitor program and Bristol Myers Squibb for research and development of potential new product candidates for the treatment of cancer. In June 2022, we entered into a collaboration and license agreement with Roche for camonsertib and have received initial payments under the terms of the collaboration in the aggregate amount of $138.6 million.</w:t>
      </w:r>
    </w:p>
    <w:p>
      <w:pPr>
        <w:pStyle w:val="TextBody"/>
        <w:bidi w:val="0"/>
        <w:spacing w:before="240" w:after="0"/>
        <w:jc w:val="both"/>
        <w:rPr>
          <w:rFonts w:ascii="Times New Roman" w:hAnsi="Times New Roman"/>
          <w:sz w:val="20"/>
        </w:rPr>
      </w:pPr>
      <w:r>
        <w:rPr>
          <w:rFonts w:ascii="Times New Roman;serif" w:hAnsi="Times New Roman;serif"/>
          <w:b w:val="false"/>
          <w:sz w:val="20"/>
        </w:rPr>
        <w:t>We expect to incur significant expenses and operating losses for the foreseeable future as we advance our product candidates through preclinical and clinical development, seek regulatory approval and pursue commercialization of any approved product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candidates and we will continue to incur additional costs associated with operating as a public company. We expect that our research and development and general and administrative costs will increase in connection with our planned research and development activities.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Beginning in 2022, the Tax Cuts and Jobs Act of 2017 eliminates the option to deduct U.S.-based research and development expenditures in the current fiscal year and requires taxpayers to amortize them over five years pursuant to Internal Revenue Code Section 174. This provision increased our 2023 and 2022 cash payments of income taxes significantly as compared to 2021. Although Congress is considering legislation that would defer the amortization requirement to later years, we have no assurance that the provision will be repealed or otherwise modified. If the requirement is not modified, it will materially reduce our cash flows. Changes in our tax provisions or an increase in our tax liabilities, whether due to changes in applicable laws and regulations or our interpretation or application thereof, could have a material adverse effect on our financial position, results of operations and/or cash flows.</w:t>
      </w:r>
    </w:p>
    <w:p>
      <w:pPr>
        <w:pStyle w:val="TextBody"/>
        <w:bidi w:val="0"/>
        <w:spacing w:before="240" w:after="0"/>
        <w:jc w:val="both"/>
        <w:rPr>
          <w:rFonts w:ascii="Times New Roman" w:hAnsi="Times New Roman"/>
          <w:sz w:val="20"/>
        </w:rPr>
      </w:pPr>
      <w:r>
        <w:rPr>
          <w:rFonts w:ascii="Times New Roman;serif" w:hAnsi="Times New Roman;serif"/>
          <w:b w:val="false"/>
          <w:sz w:val="20"/>
        </w:rPr>
        <w:t>As of June 30, 2023, our cash and cash equivalents and marketable securities on hand was $280.7 million. We believe that our existing cash and cash equivalents and marketable securities on hand will be sufficient to fund our anticipated operating and capital expenditure requirements into 2026. We have based this estimate on assumptions that may prove to be wrong, and we could exhaust our capital resources sooner than we expect. If we receive regulatory approval for any of our product candidates, we expect to incur significant commercialization expenses related to product manufacturing, sales, marketing, and distribution, depending on where we choose to commercialize. We may also require additional capital to pursue in-licenses or acquisitions of other product candidates.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Because of the numerous risks and uncertainties associated with research, development, and commercialization of our product candidates, we are unable to estimate the exact amount of our working capital requirements. Our future capital requirements will depend on many factors, including:</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initiation, timing, costs, progress and results of our product candidates, including our ongoing Phase 1 clinical trials of lunresertib;</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the progress of preclinical development and possible clinical trials of our current earlier-stage programs;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the scope, progress, results and costs of our research programs and preclinical development of any additional product candidates that we may pursue;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the development requirements of other product candidates that we may pursue;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our headcount growth and associated costs as we expand our research and development and establish a commercial infrastructure;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the timing and amount of milestone and royalty payments that we are required to make or eligible to receive under our current or future collaboration agreements, including the Roche Agreement;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the outcome, timing and cost of meeting regulatory requirements established by the FDA, EMA and other regulatory authorities;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the costs and timing of future commercialization activities, including product manufacturing, marketing, sales and distribution, for any of our product candidates for which we or our collaborators receive marketing approval;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the cost of expanding, maintaining and enforcing our intellectual property portfolio, including filing, prosecuting, defending and enforcing our patent claims and other intellectual property rights;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the cost of defending potential intellectual property disputes, including patent infringement actions brought by third parties against us or any of our product candidates;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the effect of competing technological and market developments;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the cost and timing of completion of commercial-scale manufacturing activities;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the extent to which we partner our programs, acquire or in-license other product candidates and technologies or enter into additional strategic collaborations;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the revenue, if any, received from commercial sales of camonsertib, lunresertib and any future product candidates for which we or our collaborators receive marketing approval; and </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 xml:space="preserve">the costs of operating as a public company. </w:t>
      </w:r>
    </w:p>
    <w:p>
      <w:pPr>
        <w:pStyle w:val="TextBody"/>
        <w:bidi w:val="0"/>
        <w:spacing w:before="240" w:after="0"/>
        <w:jc w:val="both"/>
        <w:rPr>
          <w:rFonts w:ascii="Times New Roman" w:hAnsi="Times New Roman"/>
          <w:sz w:val="20"/>
        </w:rPr>
      </w:pPr>
      <w:r>
        <w:rPr>
          <w:rFonts w:ascii="Times New Roman;serif" w:hAnsi="Times New Roman;serif"/>
          <w:b w:val="false"/>
          <w:sz w:val="20"/>
        </w:rPr>
        <w:t>Until such time, if ever, as we can generate substantial product revenues to support our cost structure, we expect to finance our cash needs through a combination of equity offerings, debt financings, collaborations and other similar arrangements. To the extent that we raise additional capital through the sale of equity or convertible debt securities, the ownership interest of our shareholders will be 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could be diluted, and the terms of these securities may include liquidation or other preferences that adversely affect the rights of our common shareholders.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shares.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pStyle w:val="TextBody"/>
        <w:bidi w:val="0"/>
        <w:spacing w:before="360" w:after="0"/>
        <w:jc w:val="both"/>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i/>
          <w:sz w:val="20"/>
        </w:rPr>
        <w:t>Comparison of the Six Months Ended June 30, 2023 and 2022</w:t>
      </w:r>
      <w:r>
        <w:rPr>
          <w:rFonts w:ascii="Times New Roman" w:hAnsi="Times New Roman"/>
          <w:sz w:val="20"/>
        </w:rPr>
        <w:t xml:space="preserve"> </w:t>
      </w:r>
    </w:p>
    <w:p>
      <w:pPr>
        <w:pStyle w:val="TextBody"/>
        <w:bidi w:val="0"/>
        <w:spacing w:before="120" w:after="240"/>
        <w:jc w:val="both"/>
        <w:rPr>
          <w:rFonts w:ascii="Times New Roman" w:hAnsi="Times New Roman"/>
          <w:sz w:val="20"/>
        </w:rPr>
      </w:pPr>
      <w:r>
        <w:rPr>
          <w:rFonts w:ascii="Times New Roman;serif" w:hAnsi="Times New Roman;serif"/>
          <w:b w:val="false"/>
          <w:sz w:val="20"/>
        </w:rPr>
        <w:t>The following table summarizes our cash flows for each of the periods presented:</w:t>
      </w:r>
      <w:r>
        <w:rPr>
          <w:rFonts w:ascii="Times New Roman" w:hAnsi="Times New Roman"/>
          <w:sz w:val="20"/>
        </w:rPr>
        <w:t xml:space="preserve"> </w:t>
      </w:r>
    </w:p>
    <w:tbl>
      <w:tblPr>
        <w:tblW w:w="8163" w:type="dxa"/>
        <w:jc w:val="left"/>
        <w:tblInd w:w="0" w:type="dxa"/>
        <w:tblLayout w:type="fixed"/>
        <w:tblCellMar>
          <w:top w:w="28" w:type="dxa"/>
          <w:left w:w="28" w:type="dxa"/>
          <w:bottom w:w="28" w:type="dxa"/>
          <w:right w:w="28" w:type="dxa"/>
        </w:tblCellMar>
      </w:tblPr>
      <w:tblGrid>
        <w:gridCol w:w="4201"/>
        <w:gridCol w:w="146"/>
        <w:gridCol w:w="211"/>
        <w:gridCol w:w="736"/>
        <w:gridCol w:w="166"/>
        <w:gridCol w:w="146"/>
        <w:gridCol w:w="211"/>
        <w:gridCol w:w="736"/>
        <w:gridCol w:w="166"/>
        <w:gridCol w:w="146"/>
        <w:gridCol w:w="211"/>
        <w:gridCol w:w="676"/>
        <w:gridCol w:w="4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405"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(66,132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(58,199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(7,933</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22,570</w:t>
            </w:r>
          </w:p>
        </w:tc>
        <w:tc>
          <w:tcPr>
            <w:tcW w:w="411" w:type="dxa"/>
            <w:tcBorders/>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411" w:type="dxa"/>
            <w:tcBorders/>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exchange rate fluctuations on cash held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2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(43,977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(58,593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14,616</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both"/>
        <w:rPr>
          <w:rFonts w:ascii="Times New Roman" w:hAnsi="Times New Roman"/>
          <w:sz w:val="20"/>
        </w:rPr>
      </w:pPr>
      <w:r>
        <w:rPr>
          <w:rFonts w:ascii="Times New Roman;serif" w:hAnsi="Times New Roman;serif"/>
          <w:b w:val="false"/>
          <w:i/>
          <w:sz w:val="20"/>
        </w:rPr>
        <w:t>Operating Activities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Net cash used in operating activities was $66.1 million for the six months ended June 30, 2023, reflecting a net loss of $46.9 million, a net change of $29.7 million in our net operating assets offset by non-cash charges of $10.5 million. The non-cash charges primarily consist of share-based compensation for option and restricted share unit grants to employees, as well as depreciation expense, and non-cash lease expense offset by the net accretion of marketable securities. The change in our net operating assets was primarily due to a $30.7 million decrease in deferred revenue recognized during the six months ended June 30, 2023.</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Net cash used in operating activities was $58.2 million for the six months ended June 30, 2022, reflecting a net loss of $72.9 million, offset by a net change of $5.7 million in net operating assets and non-cash charges of $8.9 million. The non-cash charges primarily consist of share-based compensation for option grants to employees, as well as depreciation expense, and non-cash lease expense offset by deferred taxes. The change in our net operating assets was primarily due to an increase of $3.3 million in accrued expenses and other current liabilities, and a decrease of $3.1 million in prepaid expenses.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$7.9 million increase in cash used in operating activities for the six months ended June 30, 2023 compared to the six months ended June 30, 2022 is primarily due to increases in our research and development expenses as we advance our various programs and in income taxes paid offset by receipts related to our collaboration agreements and interest income.</w:t>
      </w:r>
    </w:p>
    <w:p>
      <w:pPr>
        <w:pStyle w:val="TextBody"/>
        <w:bidi w:val="0"/>
        <w:spacing w:before="360" w:after="0"/>
        <w:jc w:val="both"/>
        <w:rPr>
          <w:rFonts w:ascii="Times New Roman" w:hAnsi="Times New Roman"/>
          <w:sz w:val="20"/>
        </w:rPr>
      </w:pPr>
      <w:r>
        <w:rPr>
          <w:rFonts w:ascii="Times New Roman;serif" w:hAnsi="Times New Roman;serif"/>
          <w:b w:val="false"/>
          <w:i/>
          <w:sz w:val="20"/>
        </w:rPr>
        <w:t>Investing Activities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Net cash provided by investing activities was $21.7 million for the six months ended June 30, 2023 and resulted primarily from the purchases of marketable securities and property and equipment offset by proceeds on maturities of marketable securities.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Net cash used in investing activities was $0.9 million for the six months ended June 30, 2022 and resulted primarily from the proceeds on maturities of marketable securities offset by the purchases of marketable securities and property and equipment.</w:t>
      </w:r>
    </w:p>
    <w:p>
      <w:pPr>
        <w:pStyle w:val="TextBody"/>
        <w:bidi w:val="0"/>
        <w:spacing w:before="360" w:after="0"/>
        <w:jc w:val="both"/>
        <w:rPr>
          <w:rFonts w:ascii="Times New Roman" w:hAnsi="Times New Roman"/>
          <w:sz w:val="20"/>
        </w:rPr>
      </w:pPr>
      <w:r>
        <w:rPr>
          <w:rFonts w:ascii="Times New Roman;serif" w:hAnsi="Times New Roman;serif"/>
          <w:b w:val="false"/>
          <w:i/>
          <w:sz w:val="20"/>
        </w:rPr>
        <w:t>Financing Activities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Net cash provided by financing activities was $0.5 million consisting of net proceeds from the issuance of common shares under the ESPP for the six months ended June 30, 2023.</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Net cash provided by financing activities was $0.4 million consisting of net proceeds from the exercise of stock options and issuance of common shares under the ESPP for the six months ended June 30, 2022.</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 w:hAnsi="Times New Roman"/>
          <w:sz w:val="20"/>
        </w:rPr>
      </w:pPr>
      <w:r>
        <w:rPr>
          <w:rFonts w:ascii="Times New Roman;serif" w:hAnsi="Times New Roman;serif"/>
          <w:b/>
          <w:sz w:val="20"/>
        </w:rPr>
        <w:t>Material Cash Requirements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There were no material changes to our material cash requirements during the six months ended June 30, 2023 from those described under “Management’s Discussion and Analysis of Financial Condition and Results of Operations” in the Annual Report.</w:t>
      </w:r>
    </w:p>
    <w:p>
      <w:pPr>
        <w:pStyle w:val="TextBody"/>
        <w:bidi w:val="0"/>
        <w:spacing w:before="360" w:after="0"/>
        <w:jc w:val="both"/>
        <w:rPr>
          <w:rFonts w:ascii="Times New Roman" w:hAnsi="Times New Roman"/>
          <w:sz w:val="20"/>
        </w:rPr>
      </w:pPr>
      <w:r>
        <w:rPr>
          <w:rFonts w:ascii="Times New Roman;serif" w:hAnsi="Times New Roman;serif"/>
          <w:b/>
          <w:sz w:val="20"/>
        </w:rPr>
        <w:t>Critical Accounting Estimates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This management’s discussion and analysis is based on our unaudited condensed consolidated financial statements, which have been prepared in accordance with U.S. generally accepted accounting principles. The preparation of these unaudited condensed consolidated financial statements requires us to make judgments and estimates that affect the reported amounts of assets and liabilities, the disclosure of contingent assets and liabilities at the date of the unaudited condensed consolidated financial statements and the reported amounts of expenses during the reported periods.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There have been no significant changes to our critical accounting estimates from those described in “Management’s Discussion and Analysis of Financial Condition and Results of Operations” included in the Annual Report.</w:t>
      </w:r>
    </w:p>
    <w:p>
      <w:pPr>
        <w:pStyle w:val="TextBody"/>
        <w:bidi w:val="0"/>
        <w:spacing w:before="360" w:after="0"/>
        <w:jc w:val="both"/>
        <w:rPr>
          <w:rFonts w:ascii="Times New Roman" w:hAnsi="Times New Roman"/>
          <w:sz w:val="20"/>
        </w:rPr>
      </w:pPr>
      <w:r>
        <w:rPr>
          <w:rFonts w:ascii="Times New Roman;serif" w:hAnsi="Times New Roman;serif"/>
          <w:b/>
          <w:sz w:val="20"/>
        </w:rPr>
        <w:t>Recently Adopted Accounting Pronouncements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See Note 2 to our annual consolidated financial statements included in the Annual Report for a description of recent accounting pronouncements applicable to our financial statements.</w:t>
      </w:r>
    </w:p>
    <w:p>
      <w:pPr>
        <w:pStyle w:val="TextBody"/>
        <w:bidi w:val="0"/>
        <w:spacing w:before="360" w:after="0"/>
        <w:jc w:val="both"/>
        <w:rPr>
          <w:rFonts w:ascii="Times New Roman" w:hAnsi="Times New Roman"/>
          <w:sz w:val="20"/>
        </w:rPr>
      </w:pPr>
      <w:r>
        <w:rPr>
          <w:rFonts w:ascii="Times New Roman;serif" w:hAnsi="Times New Roman;serif"/>
          <w:b/>
          <w:sz w:val="20"/>
        </w:rPr>
        <w:t>Filer Status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Because the market value of the Company’s common shares held by non-affiliates was between $250 million and $700 million as of June 30, 2023 and its revenue for the year ended December 31, 2022 was more than $100 million, the Company will be deemed an accelerated filer under the Exchange Act as of December 31, 2023. In addition, the Company will lose its status as a “smaller reporting company” and no longer be eligible to rely on the scaled disclosure exemptions available to smaller reporting companies starting with its first quarterly report in 2024.</w:t>
      </w:r>
    </w:p>
    <w:p>
      <w:pPr>
        <w:pStyle w:val="TextBody"/>
        <w:bidi w:val="0"/>
        <w:spacing w:before="360" w:after="0"/>
        <w:jc w:val="both"/>
        <w:rPr>
          <w:rFonts w:ascii="Times New Roman;serif" w:hAnsi="Times New Roman;serif"/>
          <w:b/>
          <w:sz w:val="20"/>
        </w:rPr>
      </w:pPr>
      <w:bookmarkStart w:id="11" w:name="item_3_quantitative_qualitative_disclosu"/>
      <w:bookmarkEnd w:id="11"/>
      <w:r>
        <w:rPr>
          <w:rFonts w:ascii="Times New Roman;serif" w:hAnsi="Times New Roman;serif"/>
          <w:b/>
          <w:sz w:val="20"/>
        </w:rPr>
        <w:t>Item 3. Quantitative and Qualitative Disclosures About Market Risk.</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Under SEC rules and regulations, because we are considered to be a “smaller reporting company,” we are not required to provide the information required by this item in this report.</w:t>
      </w:r>
    </w:p>
    <w:p>
      <w:pPr>
        <w:pStyle w:val="TextBody"/>
        <w:bidi w:val="0"/>
        <w:spacing w:before="360" w:after="0"/>
        <w:jc w:val="both"/>
        <w:rPr>
          <w:rFonts w:ascii="Times New Roman" w:hAnsi="Times New Roman"/>
          <w:sz w:val="20"/>
        </w:rPr>
      </w:pPr>
      <w:bookmarkStart w:id="12" w:name="item_4_controls_procedures"/>
      <w:bookmarkEnd w:id="12"/>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bidi w:val="0"/>
        <w:spacing w:before="120" w:after="0"/>
        <w:jc w:val="both"/>
        <w:rPr>
          <w:rFonts w:ascii="Times New Roman" w:hAnsi="Times New Roman"/>
          <w:sz w:val="20"/>
        </w:rPr>
      </w:pPr>
      <w:r>
        <w:rPr>
          <w:rFonts w:ascii="Times New Roman;serif" w:hAnsi="Times New Roman;serif"/>
          <w:b/>
          <w:sz w:val="20"/>
        </w:rPr>
        <w:t>Evaluation of Disclosure Controls and Procedures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maintain “disclosure controls and procedures,” as defined in Rule 13a-15(e) and Rule 15d-15(e) under the Securities Exchange Act of 1934, as amended,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management, with the participation of our Chief Executive Officer and our Chief Financial Officer, has evaluated the effectiveness of our disclosure controls and procedures as of June 30, 2023. Based upon that evaluation, our Chief Executive Officer and Chief Financial Officer have concluded that, as of such date, our disclosure controls and procedures are effective.</w:t>
      </w:r>
    </w:p>
    <w:p>
      <w:pPr>
        <w:pStyle w:val="TextBody"/>
        <w:bidi w:val="0"/>
        <w:spacing w:before="360" w:after="0"/>
        <w:jc w:val="both"/>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There were no changes in our internal control over financial reporting (as defined in Rule 13a-15(f) and 15d-15(f) under the Exchange Act that occurred during the period covered by this Quarterly Report on Form 10-Q that have materially affected, or are reasonably likely to materially affect, our internal control over financial reporting.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serif" w:hAnsi="Times New Roman;serif"/>
          <w:b/>
          <w:sz w:val="20"/>
        </w:rPr>
      </w:pPr>
      <w:r>
        <w:rPr>
          <w:rFonts w:ascii="Times New Roman;serif" w:hAnsi="Times New Roman;serif"/>
          <w:b/>
          <w:sz w:val="20"/>
        </w:rPr>
        <w:t>Inherent Limitations on Effectiveness of Controls</w:t>
      </w:r>
    </w:p>
    <w:p>
      <w:pPr>
        <w:pStyle w:val="TextBody"/>
        <w:bidi w:val="0"/>
        <w:spacing w:before="120" w:after="0"/>
        <w:jc w:val="both"/>
        <w:rPr>
          <w:rFonts w:ascii="Times New Roman" w:hAnsi="Times New Roman"/>
          <w:sz w:val="20"/>
        </w:rPr>
      </w:pPr>
      <w:r>
        <w:rPr>
          <w:rFonts w:ascii="Times New Roman;serif" w:hAnsi="Times New Roman;serif"/>
          <w:b w:val="false"/>
          <w:sz w:val="20"/>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w:t>
      </w:r>
      <w:r>
        <w:rPr>
          <w:rFonts w:ascii="Times New Roman" w:hAnsi="Times New Roman"/>
          <w:sz w:val="20"/>
        </w:rPr>
        <w:t xml:space="preserve"> </w:t>
      </w:r>
      <w:r>
        <w:rPr>
          <w:rFonts w:ascii="Times New Roman;serif" w:hAnsi="Times New Roman;serif"/>
          <w:b w:val="false"/>
          <w:sz w:val="20"/>
        </w:rPr>
        <w:t>provide absolute assurance that misstatements due to error or fraud will not occur or that all control issues and instances of fraud, if any, have been detected.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3" w:name="part_iior_information"/>
      <w:bookmarkEnd w:id="13"/>
      <w:r>
        <w:rPr>
          <w:rFonts w:ascii="Times New Roman;serif" w:hAnsi="Times New Roman;serif"/>
          <w:b/>
          <w:sz w:val="20"/>
        </w:rPr>
        <w:t>PART II—OTHER</w:t>
      </w:r>
      <w:bookmarkStart w:id="14" w:name="part_iior"/>
      <w:bookmarkEnd w:id="14"/>
      <w:r>
        <w:rPr>
          <w:rFonts w:ascii="Times New Roman" w:hAnsi="Times New Roman"/>
          <w:sz w:val="20"/>
        </w:rPr>
        <w:t xml:space="preserve"> </w:t>
      </w:r>
      <w:r>
        <w:rPr>
          <w:rFonts w:ascii="Times New Roman;serif" w:hAnsi="Times New Roman;serif"/>
          <w:b/>
          <w:sz w:val="20"/>
        </w:rPr>
        <w:t>INFORMATION</w:t>
      </w:r>
    </w:p>
    <w:p>
      <w:pPr>
        <w:pStyle w:val="TextBody"/>
        <w:bidi w:val="0"/>
        <w:spacing w:before="240" w:after="0"/>
        <w:jc w:val="both"/>
        <w:rPr>
          <w:rFonts w:ascii="Times New Roman;serif" w:hAnsi="Times New Roman;serif"/>
          <w:b/>
          <w:sz w:val="20"/>
        </w:rPr>
      </w:pPr>
      <w:bookmarkStart w:id="15" w:name="item_1_legal_proceedings"/>
      <w:bookmarkEnd w:id="15"/>
      <w:r>
        <w:rPr>
          <w:rFonts w:ascii="Times New Roman;serif" w:hAnsi="Times New Roman;serif"/>
          <w:b/>
          <w:sz w:val="20"/>
        </w:rPr>
        <w:t>Item 1. Legal Proceedings.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pStyle w:val="TextBody"/>
        <w:bidi w:val="0"/>
        <w:spacing w:before="360" w:after="0"/>
        <w:jc w:val="both"/>
        <w:rPr>
          <w:rFonts w:ascii="Times New Roman;serif" w:hAnsi="Times New Roman;serif"/>
          <w:b/>
          <w:sz w:val="20"/>
        </w:rPr>
      </w:pPr>
      <w:bookmarkStart w:id="16" w:name="item_1a_risk_factors"/>
      <w:bookmarkEnd w:id="16"/>
      <w:r>
        <w:rPr>
          <w:rFonts w:ascii="Times New Roman;serif" w:hAnsi="Times New Roman;serif"/>
          <w:b/>
          <w:sz w:val="20"/>
        </w:rPr>
        <w:t>Item 1A. Risk Factors.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Investing in our common shares involves a high degree of risk. In addition to the other information set forth in this Quarterly Report on Form 10-Q, you should carefully consider the risks described in the Annual Report, including the disclosure therein under Part I, Item 1A, "Risk Factors,” before deciding whether to invest in our common shares. These are not the only risks facing our business. Other risks and uncertainties that we are not currently aware of or that we currently consider immaterial also may materially adversely affect our business, financial condition and future results. Risks we have identified but currently consider immaterial could still also materially adversely affect our business, financial condition and future results of operations if our assumptions about those risks are incorrect or if circumstances change.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There were no material changes during the period covered in this report to the risk factors previously disclosed in Part I, Item 1A of the Annual Report, except as follows:</w:t>
      </w:r>
    </w:p>
    <w:p>
      <w:pPr>
        <w:pStyle w:val="TextBody"/>
        <w:bidi w:val="0"/>
        <w:spacing w:before="240" w:after="0"/>
        <w:jc w:val="both"/>
        <w:rPr>
          <w:rFonts w:ascii="Times New Roman" w:hAnsi="Times New Roman"/>
          <w:sz w:val="20"/>
        </w:rPr>
      </w:pPr>
      <w:r>
        <w:rPr>
          <w:rFonts w:ascii="Times New Roman;serif" w:hAnsi="Times New Roman;serif"/>
          <w:b/>
          <w:i/>
          <w:sz w:val="20"/>
        </w:rPr>
        <w:t>Enacted and future healthcare legislation may increase the difficulty and cost for us to progress our clinical programs and obtain marketing approval of and commercialize our product candidates and may affect the prices we may set.</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the United States and other jurisdictions, there have been, and we expect there will continue to be, a number of legislative and regulatory changes and proposed changes to the healthcare system that could affect our future results of operations. For example, in March 2010, the Patient Protection and Affordable Care Act, or the ACA, was enacted, which substantially changed the way healthcare is financed by both governmental and private insurers. Among the provisions of the ACA, those of greatest importance to the pharmaceutical and biotechnology industries include the following:</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a new methodology by which rebates owed by manufacturers under the Medicaid Drug Rebate Program are calculated for drugs that are inhaled, infused, instilled, implanted or injected;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expansion of eligibility criteria for Medicaid programs by, among other things, allowing states to offer Medicaid coverage to certain individuals with income at or below 133% of the federal poverty level, thereby potentially increasing a manufacturer’s Medicaid rebate liability;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a licensure framework for follow on biologic products;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 new Patient-Centered Outcomes Research Institute to oversee, identify priorities in, and conduct comparative clinical effectiveness research, along with funding for such research;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 xml:space="preserve">establishment of a Center for Medicare &amp; Medicaid Innovation at CMS to test innovative payment and service delivery models to lower Medicare and Medicaid spending, potentially including prescription drug spending. </w:t>
      </w:r>
    </w:p>
    <w:p>
      <w:pPr>
        <w:pStyle w:val="TextBody"/>
        <w:bidi w:val="0"/>
        <w:spacing w:before="240" w:after="0"/>
        <w:jc w:val="both"/>
        <w:rPr>
          <w:rFonts w:ascii="Times New Roman" w:hAnsi="Times New Roman"/>
          <w:sz w:val="20"/>
        </w:rPr>
      </w:pPr>
      <w:r>
        <w:rPr>
          <w:rFonts w:ascii="Times New Roman;serif" w:hAnsi="Times New Roman;serif"/>
          <w:b w:val="false"/>
          <w:sz w:val="20"/>
        </w:rPr>
        <w:t>There have been judicial, Congressional and executive branch challenges to certain aspects of the ACA. For example, on June 17, 2021, the U.S. Supreme Court dismissed a challenge on procedural grounds that argued the ACA is unconstitutional in its entirety because the “individual mandate” was repealed by Congress. Moreover,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“donut-hole” under the Medicare Part D program beginning in 2025 by significantly lowering the beneficiary maximum out-of-pocket cost and through a newly established manufacturer discount program. It is possible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that the ACA will be subject to judicial or Congressional challenges in the future. It is also unclear how any such challenges and other litigation, and further healthcare reform measures of the Biden administration will impact the ACA and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until 2032 unless additional action is taken by Congress.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(1) directs HHS to negotiate the price of certain single source drugs and biologics covered under Medicare and (2) imposes rebates under Medicare Part B and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will take effect progressively starting in fiscal year 2023, although the Medicare drug price negotiation program is currently subject to legal challenges. It is currently unclear how the IRA will be implemented, but it is likely to have a significant impact on the pharmaceutical industry. Further,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pStyle w:val="TextBody"/>
        <w:bidi w:val="0"/>
        <w:spacing w:before="360" w:after="0"/>
        <w:jc w:val="both"/>
        <w:rPr>
          <w:rFonts w:ascii="Times New Roman" w:hAnsi="Times New Roman"/>
          <w:sz w:val="20"/>
        </w:rPr>
      </w:pPr>
      <w:r>
        <w:rPr>
          <w:rFonts w:ascii="Times New Roman;serif" w:hAnsi="Times New Roman;serif"/>
          <w:b/>
          <w:i/>
          <w:sz w:val="20"/>
        </w:rPr>
        <w:t>We will no longer qualify as a “smaller reporting company” and, as a result, we will no longer be able to avail ourselves of certain reduced reporting requirements applicable to emerging growth companies or smaller reporting companies starting with our first quarterly report in 2024.</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are currently a “smaller reporting company” and we may take advantage of certain of the scaled disclosures available to smaller reporting companies. However, based on the market value of our common stock held by non-affiliates as of June 30, 2023, we will no longer be eligible to rely on the scaled disclosure exemptions available to smaller reporting companies starting with our quarterly report on Form 10-Q for the quarter ending March 31, 2024.</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As a result of our loss of “smaller reporting company” status, it is possible that investors have found or will continue to find our common shares less attractive in light of the fact that we have relied on certain of these exemptions. If some investors find our common shares less attractive as a result, there may be a less active trading market for our common shares and our share price may be more volatile. We also expect that the loss of our “smaller reporting company” status and compliance with additional requirements will increase our legal and financial compliance costs. In addition, any failure to comply with additional requirements in a timely manner, or at all, could have an adverse effect on our business and results of operations and could cause a decline in the price of our common stock.</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serif" w:hAnsi="Times New Roman;serif"/>
          <w:b/>
          <w:i/>
          <w:sz w:val="20"/>
        </w:rPr>
      </w:pPr>
      <w:r>
        <w:rPr>
          <w:rFonts w:ascii="Times New Roman;serif" w:hAnsi="Times New Roman;serif"/>
          <w:b/>
          <w:i/>
          <w:sz w:val="20"/>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are subject to the reporting requirements of the Securities Exchange Act of 1934, as amended, or the Exchange Act, the Sarbanes-Oxley Act of 2002, or the Sarbanes-Oxley Act, as amended and the rules and regulations of The Nasdaq Global Market. Pursuant to Section 404(a) of the Sarbanes-Oxley Act, we are now required to perform system and process evaluation and testing of our internal control over financial reporting to allow our management to report on the effectiveness of our internal control over financial reporting. Furthermore, because the market value of our common shares held by non-affiliates was between $250 million and $700 million as of June 30, 2022 and our revenue for the year ended December 31, 2022 was more than $100 million, we will be deemed an “accelerated filer” under the Exchange Act as of December 31, 2023. While we will be eligible to rely on certain scaled disclosure exemptions available to smaller reporting companies until our first quarterly report in 2024, we will be required to comply with Section 404(b) of the Sarbanes Oxley Act starting with our Annual Report on Form 10-K for the year ending December 31, 2023. Section 404(b) of the Sarbanes-Oxley Act requires our independent registered public accounting firm to issue an annual report that addresses the effectiveness of our internal control over financial reporting. Preparing such attestation report and the cost of compliance with reporting requirements that we have not previously implemented will increase our expenses and require significant management time.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During the evaluation and testing process, if we identify one or more material weaknesses in our internal control over financial reporting, we will be unable to assert that our internal control over financial reporting is effective. Further, we may in the future discover weaknesses in our system of internal financial and accounting controls and procedures that could result in a material misstatement of our financial statements. Moreover, our internal controls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If we are unable to assert that our internal control over financial reporting is effective, investors could lose confidence in the reliability of our financial statements, the market price of our common shares could decline and we could be subject to sanctions or investigations by The Nasdaq Global Market, the SEC or other regulatory authorities.</w:t>
      </w:r>
    </w:p>
    <w:p>
      <w:pPr>
        <w:pStyle w:val="TextBody"/>
        <w:bidi w:val="0"/>
        <w:spacing w:before="360" w:after="0"/>
        <w:jc w:val="both"/>
        <w:rPr>
          <w:rFonts w:ascii="Times New Roman;serif" w:hAnsi="Times New Roman;serif"/>
          <w:b/>
          <w:sz w:val="20"/>
        </w:rPr>
      </w:pPr>
      <w:bookmarkStart w:id="17" w:name="item_2_unregistered_sales_equity_securit"/>
      <w:bookmarkEnd w:id="17"/>
      <w:r>
        <w:rPr>
          <w:rFonts w:ascii="Times New Roman;serif" w:hAnsi="Times New Roman;serif"/>
          <w:b/>
          <w:sz w:val="20"/>
        </w:rPr>
        <w:t>Item 2. Unregistered Sales of Equity Securities and Use of Proceeds.</w:t>
      </w:r>
    </w:p>
    <w:p>
      <w:pPr>
        <w:pStyle w:val="TextBody"/>
        <w:bidi w:val="0"/>
        <w:spacing w:before="120" w:after="0"/>
        <w:jc w:val="both"/>
        <w:rPr>
          <w:rFonts w:ascii="Times New Roman" w:hAnsi="Times New Roman"/>
          <w:sz w:val="20"/>
        </w:rPr>
      </w:pPr>
      <w:r>
        <w:rPr>
          <w:rFonts w:ascii="Times New Roman;serif" w:hAnsi="Times New Roman;serif"/>
          <w:b/>
          <w:sz w:val="20"/>
        </w:rPr>
        <w:t>(a) Recent Sales of Unregistered Securities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bidi w:val="0"/>
        <w:spacing w:before="360" w:after="0"/>
        <w:jc w:val="both"/>
        <w:rPr>
          <w:rFonts w:ascii="Times New Roman" w:hAnsi="Times New Roman"/>
          <w:sz w:val="20"/>
        </w:rPr>
      </w:pPr>
      <w:r>
        <w:rPr>
          <w:rFonts w:ascii="Times New Roman;serif" w:hAnsi="Times New Roman;serif"/>
          <w:b/>
          <w:sz w:val="20"/>
        </w:rPr>
        <w:t>(b) Issuer Purchases of Equity Securities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both"/>
        <w:rPr>
          <w:rFonts w:ascii="Times New Roman" w:hAnsi="Times New Roman"/>
          <w:sz w:val="20"/>
        </w:rPr>
      </w:pPr>
      <w:bookmarkStart w:id="18" w:name="item_3_defaults_upon_senior_securities"/>
      <w:bookmarkEnd w:id="18"/>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both"/>
        <w:rPr>
          <w:rFonts w:ascii="Times New Roman;serif" w:hAnsi="Times New Roman;serif"/>
          <w:b/>
          <w:sz w:val="20"/>
        </w:rPr>
      </w:pPr>
      <w:bookmarkStart w:id="19" w:name="item_4_mine_safety_disclosures"/>
      <w:bookmarkEnd w:id="19"/>
      <w:r>
        <w:rPr>
          <w:rFonts w:ascii="Times New Roman;serif" w:hAnsi="Times New Roman;serif"/>
          <w:b/>
          <w:sz w:val="20"/>
        </w:rPr>
        <w:t>Item 4. Mine Safety Disclosures.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360" w:after="0"/>
        <w:jc w:val="both"/>
        <w:rPr>
          <w:rFonts w:ascii="Times New Roman" w:hAnsi="Times New Roman"/>
          <w:sz w:val="20"/>
        </w:rPr>
      </w:pPr>
      <w:bookmarkStart w:id="20" w:name="item_5_or_information"/>
      <w:bookmarkEnd w:id="20"/>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bookmarkStart w:id="21" w:name="item_6_exhibits"/>
      <w:bookmarkEnd w:id="21"/>
      <w:r>
        <w:rPr>
          <w:rFonts w:ascii="Times New Roman;serif" w:hAnsi="Times New Roman;serif"/>
          <w:b/>
          <w:sz w:val="20"/>
        </w:rPr>
        <w:t>Item 6. Exhibits.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854"/>
        <w:gridCol w:w="146"/>
        <w:gridCol w:w="5350"/>
        <w:gridCol w:w="146"/>
        <w:gridCol w:w="856"/>
        <w:gridCol w:w="146"/>
        <w:gridCol w:w="851"/>
        <w:gridCol w:w="146"/>
        <w:gridCol w:w="736"/>
        <w:gridCol w:w="146"/>
        <w:gridCol w:w="828"/>
      </w:tblGrid>
      <w:tr>
        <w:trPr/>
        <w:tc>
          <w:tcPr>
            <w:tcW w:w="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8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09"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Incorporated by Reference</w:t>
            </w:r>
          </w:p>
        </w:tc>
      </w:tr>
      <w:tr>
        <w:trPr/>
        <w:tc>
          <w:tcPr>
            <w:tcW w:w="8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Exhibit</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3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Schedule</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File</w:t>
            </w:r>
          </w:p>
          <w:p>
            <w:pPr>
              <w:pStyle w:val="TableContents"/>
              <w:pBdr>
                <w:bottom w:val="single" w:sz="4" w:space="1" w:color="000000"/>
              </w:pBdr>
              <w:bidi w:val="0"/>
              <w:spacing w:before="0" w:after="0"/>
              <w:ind w:left="0" w:right="0" w:hanging="0"/>
              <w:jc w:val="center"/>
              <w:rPr>
                <w:rFonts w:ascii="Times New Roman;serif" w:hAnsi="Times New Roman;serif"/>
                <w:b/>
                <w:sz w:val="20"/>
              </w:rPr>
            </w:pPr>
            <w:r>
              <w:rPr>
                <w:rFonts w:ascii="Times New Roman;serif" w:hAnsi="Times New Roman;serif"/>
                <w:b/>
                <w:sz w:val="20"/>
              </w:rPr>
              <w:t>Number</w:t>
            </w:r>
          </w:p>
        </w:tc>
        <w:tc>
          <w:tcPr>
            <w:tcW w:w="146" w:type="dxa"/>
            <w:tcBorders/>
            <w:vAlign w:val="center"/>
          </w:tcPr>
          <w:p>
            <w:pPr>
              <w:pStyle w:val="TableContents"/>
              <w:bidi w:val="0"/>
              <w:spacing w:before="0" w:after="0"/>
              <w:ind w:left="0" w:right="0" w:hanging="0"/>
              <w:jc w:val="center"/>
              <w:rPr/>
            </w:pPr>
            <w:r>
              <w:rPr/>
              <w:t> </w:t>
            </w:r>
          </w:p>
        </w:tc>
        <w:tc>
          <w:tcPr>
            <w:tcW w:w="736" w:type="dxa"/>
            <w:tcBorders/>
            <w:tcMar>
              <w:top w:w="0" w:type="dxa"/>
              <w:left w:w="0" w:type="dxa"/>
              <w:bottom w:w="0" w:type="dxa"/>
              <w:right w:w="0" w:type="dxa"/>
            </w:tcMar>
            <w:vAlign w:val="center"/>
          </w:tcPr>
          <w:p>
            <w:pPr>
              <w:pStyle w:val="TableContents"/>
              <w:pBdr>
                <w:bottom w:val="single" w:sz="4" w:space="1" w:color="000000"/>
              </w:pBdr>
              <w:bidi w:val="0"/>
              <w:spacing w:before="0" w:after="0"/>
              <w:ind w:left="0" w:right="0" w:hanging="0"/>
              <w:jc w:val="center"/>
              <w:rPr>
                <w:rFonts w:ascii="Times New Roman;serif" w:hAnsi="Times New Roman;serif"/>
                <w:b/>
                <w:sz w:val="20"/>
              </w:rPr>
            </w:pPr>
            <w:r>
              <w:rPr>
                <w:rFonts w:ascii="Times New Roman;serif" w:hAnsi="Times New Roman;serif"/>
                <w:b/>
                <w:sz w:val="20"/>
              </w:rPr>
              <w:t>Exhibit</w:t>
            </w:r>
          </w:p>
        </w:tc>
        <w:tc>
          <w:tcPr>
            <w:tcW w:w="146" w:type="dxa"/>
            <w:tcBorders/>
            <w:vAlign w:val="center"/>
          </w:tcPr>
          <w:p>
            <w:pPr>
              <w:pStyle w:val="TableContents"/>
              <w:bidi w:val="0"/>
              <w:spacing w:before="0" w:after="0"/>
              <w:ind w:left="0" w:right="0" w:hanging="0"/>
              <w:jc w:val="center"/>
              <w:rPr/>
            </w:pPr>
            <w:r>
              <w:rPr/>
              <w:t> </w:t>
            </w:r>
          </w:p>
        </w:tc>
        <w:tc>
          <w:tcPr>
            <w:tcW w:w="828" w:type="dxa"/>
            <w:tcBorders/>
            <w:tcMar>
              <w:top w:w="0" w:type="dxa"/>
              <w:left w:w="0" w:type="dxa"/>
              <w:bottom w:w="0" w:type="dxa"/>
              <w:right w:w="0" w:type="dxa"/>
            </w:tcMar>
            <w:vAlign w:val="center"/>
          </w:tcPr>
          <w:p>
            <w:pPr>
              <w:pStyle w:val="TableContents"/>
              <w:pBdr>
                <w:bottom w:val="single" w:sz="4" w:space="1" w:color="000000"/>
              </w:pBdr>
              <w:bidi w:val="0"/>
              <w:spacing w:before="0" w:after="0"/>
              <w:ind w:left="0" w:right="0" w:hanging="0"/>
              <w:jc w:val="center"/>
              <w:rPr>
                <w:rFonts w:ascii="Times New Roman;serif" w:hAnsi="Times New Roman;serif"/>
                <w:b/>
                <w:sz w:val="20"/>
              </w:rPr>
            </w:pPr>
            <w:r>
              <w:rPr>
                <w:rFonts w:ascii="Times New Roman;serif" w:hAnsi="Times New Roman;serif"/>
                <w:b/>
                <w:sz w:val="20"/>
              </w:rPr>
              <w:t>Filing Date</w:t>
            </w:r>
          </w:p>
        </w:tc>
      </w:tr>
      <w:tr>
        <w:trPr/>
        <w:tc>
          <w:tcPr>
            <w:tcW w:w="8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left"/>
              <w:rPr/>
            </w:pPr>
            <w:r>
              <w:rPr/>
              <w:t> </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center"/>
              <w:rPr/>
            </w:pPr>
            <w:hyperlink r:id="rId2">
              <w:r>
                <w:rPr>
                  <w:rStyle w:val="InternetLink"/>
                  <w:rFonts w:ascii="Times New Roman;serif" w:hAnsi="Times New Roman;serif"/>
                  <w:b w:val="false"/>
                  <w:sz w:val="20"/>
                </w:rPr>
                <w:t>3.1</w:t>
              </w:r>
            </w:hyperlink>
          </w:p>
        </w:tc>
        <w:tc>
          <w:tcPr>
            <w:tcW w:w="146" w:type="dxa"/>
            <w:tcBorders/>
            <w:vAlign w:val="center"/>
          </w:tcPr>
          <w:p>
            <w:pPr>
              <w:pStyle w:val="TableContents"/>
              <w:bidi w:val="0"/>
              <w:spacing w:before="0" w:after="0"/>
              <w:ind w:left="0" w:right="0" w:hanging="0"/>
              <w:jc w:val="left"/>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rPr>
                <w:t>Articles of Continuance of Repare Therapeutics Inc.</w:t>
              </w:r>
            </w:hyperlink>
          </w:p>
        </w:tc>
        <w:tc>
          <w:tcPr>
            <w:tcW w:w="146" w:type="dxa"/>
            <w:tcBorders/>
            <w:vAlign w:val="center"/>
          </w:tcPr>
          <w:p>
            <w:pPr>
              <w:pStyle w:val="TableContents"/>
              <w:bidi w:val="0"/>
              <w:spacing w:before="0" w:after="0"/>
              <w:ind w:left="0" w:right="0" w:hanging="0"/>
              <w:jc w:val="left"/>
              <w:rPr/>
            </w:pPr>
            <w:r>
              <w:rPr/>
              <w:t> </w:t>
            </w:r>
          </w:p>
        </w:tc>
        <w:tc>
          <w:tcPr>
            <w:tcW w:w="8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vAlign w:val="center"/>
          </w:tcPr>
          <w:p>
            <w:pPr>
              <w:pStyle w:val="TableContents"/>
              <w:bidi w:val="0"/>
              <w:spacing w:before="0" w:after="0"/>
              <w:ind w:left="0" w:right="0" w:hanging="0"/>
              <w:jc w:val="left"/>
              <w:rPr/>
            </w:pPr>
            <w:r>
              <w:rPr/>
              <w:t> </w:t>
            </w:r>
          </w:p>
        </w:tc>
        <w:tc>
          <w:tcPr>
            <w:tcW w:w="85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001-39335</w:t>
            </w:r>
          </w:p>
        </w:tc>
        <w:tc>
          <w:tcPr>
            <w:tcW w:w="146" w:type="dxa"/>
            <w:tcBorders/>
            <w:vAlign w:val="center"/>
          </w:tcPr>
          <w:p>
            <w:pPr>
              <w:pStyle w:val="TableContents"/>
              <w:bidi w:val="0"/>
              <w:spacing w:before="0" w:after="0"/>
              <w:ind w:left="0" w:right="0" w:hanging="0"/>
              <w:jc w:val="left"/>
              <w:rPr/>
            </w:pPr>
            <w:r>
              <w:rPr/>
              <w:t> </w:t>
            </w:r>
          </w:p>
        </w:tc>
        <w:tc>
          <w:tcPr>
            <w:tcW w:w="7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left"/>
              <w:rPr/>
            </w:pPr>
            <w:r>
              <w:rPr/>
              <w:t> </w:t>
            </w:r>
          </w:p>
        </w:tc>
        <w:tc>
          <w:tcPr>
            <w:tcW w:w="82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June 23, 2020</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center"/>
              <w:rPr/>
            </w:pPr>
            <w:hyperlink r:id="rId4">
              <w:r>
                <w:rPr>
                  <w:rStyle w:val="InternetLink"/>
                  <w:rFonts w:ascii="Times New Roman;serif" w:hAnsi="Times New Roman;serif"/>
                  <w:b w:val="false"/>
                  <w:sz w:val="20"/>
                </w:rPr>
                <w:t>3.2</w:t>
              </w:r>
            </w:hyperlink>
          </w:p>
        </w:tc>
        <w:tc>
          <w:tcPr>
            <w:tcW w:w="146" w:type="dxa"/>
            <w:tcBorders/>
            <w:vAlign w:val="center"/>
          </w:tcPr>
          <w:p>
            <w:pPr>
              <w:pStyle w:val="TableContents"/>
              <w:bidi w:val="0"/>
              <w:spacing w:before="0" w:after="0"/>
              <w:ind w:left="0" w:right="0" w:hanging="0"/>
              <w:jc w:val="left"/>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20"/>
                </w:rPr>
                <w:t>Amended and Restated Bylaws of Repare Therapeutics Inc.</w:t>
              </w:r>
            </w:hyperlink>
          </w:p>
        </w:tc>
        <w:tc>
          <w:tcPr>
            <w:tcW w:w="146" w:type="dxa"/>
            <w:tcBorders/>
            <w:vAlign w:val="center"/>
          </w:tcPr>
          <w:p>
            <w:pPr>
              <w:pStyle w:val="TableContents"/>
              <w:bidi w:val="0"/>
              <w:spacing w:before="0" w:after="0"/>
              <w:ind w:left="0" w:right="0" w:hanging="0"/>
              <w:jc w:val="left"/>
              <w:rPr/>
            </w:pPr>
            <w:r>
              <w:rPr/>
              <w:t> </w:t>
            </w:r>
          </w:p>
        </w:tc>
        <w:tc>
          <w:tcPr>
            <w:tcW w:w="8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vAlign w:val="center"/>
          </w:tcPr>
          <w:p>
            <w:pPr>
              <w:pStyle w:val="TableContents"/>
              <w:bidi w:val="0"/>
              <w:spacing w:before="0" w:after="0"/>
              <w:ind w:left="0" w:right="0" w:hanging="0"/>
              <w:jc w:val="left"/>
              <w:rPr/>
            </w:pPr>
            <w:r>
              <w:rPr/>
              <w:t> </w:t>
            </w:r>
          </w:p>
        </w:tc>
        <w:tc>
          <w:tcPr>
            <w:tcW w:w="85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001-39335</w:t>
            </w:r>
          </w:p>
        </w:tc>
        <w:tc>
          <w:tcPr>
            <w:tcW w:w="146" w:type="dxa"/>
            <w:tcBorders/>
            <w:vAlign w:val="center"/>
          </w:tcPr>
          <w:p>
            <w:pPr>
              <w:pStyle w:val="TableContents"/>
              <w:bidi w:val="0"/>
              <w:spacing w:before="0" w:after="0"/>
              <w:ind w:left="0" w:right="0" w:hanging="0"/>
              <w:jc w:val="left"/>
              <w:rPr/>
            </w:pPr>
            <w:r>
              <w:rPr/>
              <w:t> </w:t>
            </w:r>
          </w:p>
        </w:tc>
        <w:tc>
          <w:tcPr>
            <w:tcW w:w="7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left"/>
              <w:rPr/>
            </w:pPr>
            <w:r>
              <w:rPr/>
              <w:t> </w:t>
            </w:r>
          </w:p>
        </w:tc>
        <w:tc>
          <w:tcPr>
            <w:tcW w:w="82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June 23, 2020</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w:t>
            </w:r>
          </w:p>
        </w:tc>
        <w:tc>
          <w:tcPr>
            <w:tcW w:w="146" w:type="dxa"/>
            <w:tcBorders/>
            <w:vAlign w:val="center"/>
          </w:tcPr>
          <w:p>
            <w:pPr>
              <w:pStyle w:val="TableContents"/>
              <w:bidi w:val="0"/>
              <w:spacing w:before="0" w:after="0"/>
              <w:ind w:left="0" w:right="0" w:hanging="0"/>
              <w:jc w:val="left"/>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rptx-ex10_1.htm">
              <w:r>
                <w:rPr>
                  <w:rStyle w:val="InternetLink"/>
                  <w:rFonts w:ascii="Times New Roman;serif" w:hAnsi="Times New Roman;serif"/>
                  <w:b w:val="false"/>
                  <w:sz w:val="20"/>
                  <w:u w:val="single"/>
                </w:rPr>
                <w:t>Fourth Amendment to Collaboration and License Agreement by and between the registrant and Repare Therapeutics USA Inc. and Bristol-Myers Squibb Company, dated May 12, 2023.</w:t>
              </w:r>
            </w:hyperlink>
          </w:p>
        </w:tc>
        <w:tc>
          <w:tcPr>
            <w:tcW w:w="146" w:type="dxa"/>
            <w:tcBorders/>
            <w:vAlign w:val="center"/>
          </w:tcPr>
          <w:p>
            <w:pPr>
              <w:pStyle w:val="TableContents"/>
              <w:bidi w:val="0"/>
              <w:spacing w:before="0" w:after="0"/>
              <w:ind w:left="0" w:right="0" w:hanging="0"/>
              <w:jc w:val="left"/>
              <w:rPr/>
            </w:pPr>
            <w:r>
              <w:rPr/>
              <w:t> </w:t>
            </w:r>
          </w:p>
        </w:tc>
        <w:tc>
          <w:tcPr>
            <w:tcW w:w="85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10.2*+</w:t>
            </w:r>
          </w:p>
        </w:tc>
        <w:tc>
          <w:tcPr>
            <w:tcW w:w="146" w:type="dxa"/>
            <w:tcBorders/>
            <w:vAlign w:val="center"/>
          </w:tcPr>
          <w:p>
            <w:pPr>
              <w:pStyle w:val="TableContents"/>
              <w:bidi w:val="0"/>
              <w:spacing w:before="0" w:after="0"/>
              <w:ind w:left="0" w:right="0" w:hanging="0"/>
              <w:jc w:val="center"/>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rptx-ex10_2.htm">
              <w:r>
                <w:rPr>
                  <w:rStyle w:val="InternetLink"/>
                  <w:rFonts w:ascii="Times New Roman;serif" w:hAnsi="Times New Roman;serif"/>
                  <w:b w:val="false"/>
                  <w:sz w:val="20"/>
                  <w:u w:val="single"/>
                </w:rPr>
                <w:t>Amendment to Employment Agreement</w:t>
              </w:r>
            </w:hyperlink>
          </w:p>
        </w:tc>
        <w:tc>
          <w:tcPr>
            <w:tcW w:w="146" w:type="dxa"/>
            <w:tcBorders/>
            <w:vAlign w:val="center"/>
          </w:tcPr>
          <w:p>
            <w:pPr>
              <w:pStyle w:val="TableContents"/>
              <w:bidi w:val="0"/>
              <w:spacing w:before="0" w:after="0"/>
              <w:ind w:left="0" w:right="0" w:hanging="0"/>
              <w:jc w:val="center"/>
              <w:rPr/>
            </w:pPr>
            <w:r>
              <w:rPr/>
              <w:t> </w:t>
            </w:r>
          </w:p>
        </w:tc>
        <w:tc>
          <w:tcPr>
            <w:tcW w:w="85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0"/>
              <w:ind w:left="0" w:right="0" w:hanging="0"/>
              <w:jc w:val="left"/>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rptx-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left"/>
              <w:rPr/>
            </w:pPr>
            <w:r>
              <w:rPr/>
              <w:t> </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left"/>
              <w:rPr/>
            </w:pPr>
            <w:r>
              <w:rPr/>
              <w:t> </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31.2**</w:t>
            </w:r>
          </w:p>
        </w:tc>
        <w:tc>
          <w:tcPr>
            <w:tcW w:w="146" w:type="dxa"/>
            <w:tcBorders/>
            <w:vAlign w:val="center"/>
          </w:tcPr>
          <w:p>
            <w:pPr>
              <w:pStyle w:val="TableContents"/>
              <w:bidi w:val="0"/>
              <w:spacing w:before="0" w:after="0"/>
              <w:ind w:left="0" w:right="0" w:hanging="0"/>
              <w:jc w:val="left"/>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rptx-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left"/>
              <w:rPr/>
            </w:pPr>
            <w:r>
              <w:rPr/>
              <w:t> </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left"/>
              <w:rPr/>
            </w:pPr>
            <w:r>
              <w:rPr/>
              <w:t> </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32.1+</w:t>
            </w:r>
          </w:p>
        </w:tc>
        <w:tc>
          <w:tcPr>
            <w:tcW w:w="146" w:type="dxa"/>
            <w:tcBorders/>
            <w:vAlign w:val="center"/>
          </w:tcPr>
          <w:p>
            <w:pPr>
              <w:pStyle w:val="TableContents"/>
              <w:bidi w:val="0"/>
              <w:spacing w:before="0" w:after="0"/>
              <w:ind w:left="0" w:right="0" w:hanging="0"/>
              <w:jc w:val="left"/>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rptx-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left"/>
              <w:rPr/>
            </w:pPr>
            <w:r>
              <w:rPr/>
              <w:t> </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left"/>
              <w:rPr/>
            </w:pPr>
            <w:r>
              <w:rPr/>
              <w:t> </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32.2+</w:t>
            </w:r>
          </w:p>
        </w:tc>
        <w:tc>
          <w:tcPr>
            <w:tcW w:w="146" w:type="dxa"/>
            <w:tcBorders/>
            <w:vAlign w:val="center"/>
          </w:tcPr>
          <w:p>
            <w:pPr>
              <w:pStyle w:val="TableContents"/>
              <w:bidi w:val="0"/>
              <w:spacing w:before="0" w:after="0"/>
              <w:ind w:left="0" w:right="0" w:hanging="0"/>
              <w:jc w:val="left"/>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rptx-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left"/>
              <w:rPr/>
            </w:pPr>
            <w:r>
              <w:rPr/>
              <w:t> </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left"/>
              <w:rPr/>
            </w:pPr>
            <w:r>
              <w:rPr/>
              <w:t> </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0"/>
              <w:ind w:left="0" w:right="0" w:hanging="0"/>
              <w:jc w:val="left"/>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left"/>
              <w:rPr/>
            </w:pPr>
            <w:r>
              <w:rPr/>
              <w:t> </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0"/>
              <w:ind w:left="0" w:right="0" w:hanging="0"/>
              <w:jc w:val="left"/>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left"/>
              <w:rPr/>
            </w:pPr>
            <w:r>
              <w:rPr/>
              <w:t> </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0"/>
              <w:ind w:left="0" w:right="0" w:hanging="0"/>
              <w:jc w:val="left"/>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left"/>
              <w:rPr/>
            </w:pPr>
            <w:r>
              <w:rPr/>
              <w:t> </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0"/>
              <w:ind w:left="0" w:right="0" w:hanging="0"/>
              <w:jc w:val="left"/>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left"/>
              <w:rPr/>
            </w:pPr>
            <w:r>
              <w:rPr/>
              <w:t> </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0"/>
              <w:ind w:left="0" w:right="0" w:hanging="0"/>
              <w:jc w:val="left"/>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left"/>
              <w:rPr/>
            </w:pPr>
            <w:r>
              <w:rPr/>
              <w:t> </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0"/>
              <w:ind w:left="0" w:right="0" w:hanging="0"/>
              <w:jc w:val="left"/>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left"/>
              <w:rPr/>
            </w:pPr>
            <w:r>
              <w:rPr/>
              <w:t> </w:t>
            </w:r>
          </w:p>
        </w:tc>
      </w:tr>
      <w:tr>
        <w:trPr/>
        <w:tc>
          <w:tcPr>
            <w:tcW w:w="85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535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Cover Page Interactive Data File (formatted as inline XBRL and contained in Exhibit 101)</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Certain schedules and exhibits to this exhibit have been omitted pursuant to Item 601(a)(5) of Regulation S-K. A copy of any omitted schedule and/or exhibit will be furnished to the SEC upon request.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2" w:name="signatures"/>
      <w:bookmarkEnd w:id="22"/>
      <w:r>
        <w:rPr>
          <w:rFonts w:ascii="Times New Roman;serif" w:hAnsi="Times New Roman;serif"/>
          <w:b/>
          <w:sz w:val="20"/>
        </w:rPr>
        <w:t>SIGNATURES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t> </w:t>
      </w:r>
    </w:p>
    <w:tbl>
      <w:tblPr>
        <w:tblW w:w="7672" w:type="dxa"/>
        <w:jc w:val="left"/>
        <w:tblInd w:w="0" w:type="dxa"/>
        <w:tblLayout w:type="fixed"/>
        <w:tblCellMar>
          <w:top w:w="28" w:type="dxa"/>
          <w:left w:w="28" w:type="dxa"/>
          <w:bottom w:w="28" w:type="dxa"/>
          <w:right w:w="28" w:type="dxa"/>
        </w:tblCellMar>
      </w:tblPr>
      <w:tblGrid>
        <w:gridCol w:w="1846"/>
        <w:gridCol w:w="109"/>
        <w:gridCol w:w="406"/>
        <w:gridCol w:w="53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1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REPARE THERAPEUTICS INC.</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3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Lloyd M. Segal</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Lloyd M. Segal</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3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Steve Forte</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Steve Forte</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Executive Vice President, Chief Financial Officer</w:t>
            </w:r>
          </w:p>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Officer and Principal Accounting Officer)</w:t>
            </w:r>
          </w:p>
        </w:tc>
      </w:tr>
    </w:tbl>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3" w:name="rptx-ex10_1.htm"/>
      <w:bookmarkStart w:id="24" w:name="ksrptxex10_1"/>
      <w:bookmarkEnd w:id="23"/>
      <w:bookmarkEnd w:id="24"/>
      <w:r>
        <w:rPr>
          <w:rFonts w:ascii="Times New Roman;serif" w:hAnsi="Times New Roman;serif"/>
          <w:b/>
          <w:sz w:val="20"/>
        </w:rPr>
        <w:t>Exhibit 10.1</w:t>
      </w:r>
      <w:r>
        <w:br w:type="page"/>
      </w:r>
    </w:p>
    <w:p>
      <w:pPr>
        <w:pStyle w:val="TextBody"/>
        <w:bidi w:val="0"/>
        <w:spacing w:before="0" w:after="0"/>
        <w:jc w:val="righ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CERTAIN CONFIDENTIAL INFORMATION CONTAINED IN THIS DOCUMENT, MARKED BY [***], HAS BEEN OMITTED BECAUSE REPARE THERAPEUTICS INC. HAS DETERMINED THE INFORMATION (I) IS NOT MATERIAL AND (II) WOULD LIKELY CAUSE COMPETITIVE HARM TO REPARE THERAPEUTICS INC. IF PUBLICLY DISCLOSED.</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u w:val="single"/>
        </w:rPr>
      </w:pPr>
      <w:r>
        <w:rPr>
          <w:rFonts w:ascii="Times New Roman;serif" w:hAnsi="Times New Roman;serif"/>
          <w:b w:val="false"/>
          <w:sz w:val="20"/>
          <w:u w:val="single"/>
        </w:rPr>
        <w:t>FOURTH AMENDMENTTO</w:t>
      </w:r>
    </w:p>
    <w:p>
      <w:pPr>
        <w:pStyle w:val="TextBody"/>
        <w:bidi w:val="0"/>
        <w:spacing w:before="0" w:after="0"/>
        <w:jc w:val="center"/>
        <w:rPr>
          <w:rFonts w:ascii="Times New Roman;serif" w:hAnsi="Times New Roman;serif"/>
          <w:b w:val="false"/>
          <w:sz w:val="20"/>
          <w:u w:val="single"/>
        </w:rPr>
      </w:pPr>
      <w:r>
        <w:rPr>
          <w:rFonts w:ascii="Times New Roman;serif" w:hAnsi="Times New Roman;serif"/>
          <w:b w:val="false"/>
          <w:sz w:val="20"/>
          <w:u w:val="single"/>
        </w:rPr>
        <w:t>COLLABORATION AND LICENSEAGREEMENT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This Fourth Amendment to Collaboration and License Agreement (this “</w:t>
      </w:r>
      <w:r>
        <w:rPr>
          <w:rFonts w:ascii="Times New Roman;serif" w:hAnsi="Times New Roman;serif"/>
          <w:b w:val="false"/>
          <w:sz w:val="20"/>
          <w:u w:val="single"/>
        </w:rPr>
        <w:t>Fourth Amendment</w:t>
      </w:r>
      <w:r>
        <w:rPr>
          <w:rFonts w:ascii="Times New Roman" w:hAnsi="Times New Roman"/>
          <w:sz w:val="20"/>
        </w:rPr>
        <w:t>”</w:t>
      </w:r>
      <w:r>
        <w:rPr>
          <w:rFonts w:ascii="Times New Roman;serif" w:hAnsi="Times New Roman;serif"/>
          <w:b w:val="false"/>
          <w:sz w:val="20"/>
        </w:rPr>
        <w:t>) is entered into as of May 16, 2023 (the “</w:t>
      </w:r>
      <w:r>
        <w:rPr>
          <w:rFonts w:ascii="Times New Roman;serif" w:hAnsi="Times New Roman;serif"/>
          <w:b w:val="false"/>
          <w:sz w:val="20"/>
          <w:u w:val="single"/>
        </w:rPr>
        <w:t>Fourth Amendment Effective Date</w:t>
      </w:r>
      <w:r>
        <w:rPr>
          <w:rFonts w:ascii="Times New Roman" w:hAnsi="Times New Roman"/>
          <w:sz w:val="20"/>
        </w:rPr>
        <w:t>”</w:t>
      </w:r>
      <w:r>
        <w:rPr>
          <w:rFonts w:ascii="Times New Roman;serif" w:hAnsi="Times New Roman;serif"/>
          <w:b w:val="false"/>
          <w:sz w:val="20"/>
        </w:rPr>
        <w:t>) by and between Repare Therapeutics Inc., a Canadian corporation with offices at 7210 Frederick-Banting, Suite 100, St. Laurent, Quebec, Canada H4S 2A1 (“</w:t>
      </w:r>
      <w:r>
        <w:rPr>
          <w:rFonts w:ascii="Times New Roman;serif" w:hAnsi="Times New Roman;serif"/>
          <w:b w:val="false"/>
          <w:sz w:val="20"/>
          <w:u w:val="single"/>
        </w:rPr>
        <w:t>Repare Inc.</w:t>
      </w:r>
      <w:r>
        <w:rPr>
          <w:rFonts w:ascii="Times New Roman" w:hAnsi="Times New Roman"/>
          <w:sz w:val="20"/>
        </w:rPr>
        <w:t>”</w:t>
      </w:r>
      <w:r>
        <w:rPr>
          <w:rFonts w:ascii="Times New Roman;serif" w:hAnsi="Times New Roman;serif"/>
          <w:b w:val="false"/>
          <w:sz w:val="20"/>
        </w:rPr>
        <w:t>) and Repare Therapeutics USA, Inc., a Delaware corporation with offices at 101 Main Street, Suite 1650, Cambridge, Massachusetts 02142 (“</w:t>
      </w:r>
      <w:r>
        <w:rPr>
          <w:rFonts w:ascii="Times New Roman;serif" w:hAnsi="Times New Roman;serif"/>
          <w:b w:val="false"/>
          <w:sz w:val="20"/>
          <w:u w:val="single"/>
        </w:rPr>
        <w:t>Repare USA</w:t>
      </w:r>
      <w:r>
        <w:rPr>
          <w:rFonts w:ascii="Times New Roman" w:hAnsi="Times New Roman"/>
          <w:sz w:val="20"/>
        </w:rPr>
        <w:t xml:space="preserve">” </w:t>
      </w:r>
      <w:r>
        <w:rPr>
          <w:rFonts w:ascii="Times New Roman;serif" w:hAnsi="Times New Roman;serif"/>
          <w:b w:val="false"/>
          <w:sz w:val="20"/>
        </w:rPr>
        <w:t>and, together with Repare Inc., “</w:t>
      </w:r>
      <w:r>
        <w:rPr>
          <w:rFonts w:ascii="Times New Roman;serif" w:hAnsi="Times New Roman;serif"/>
          <w:b w:val="false"/>
          <w:sz w:val="20"/>
          <w:u w:val="single"/>
        </w:rPr>
        <w:t>Repare</w:t>
      </w:r>
      <w:r>
        <w:rPr>
          <w:rFonts w:ascii="Times New Roman" w:hAnsi="Times New Roman"/>
          <w:sz w:val="20"/>
        </w:rPr>
        <w:t>”</w:t>
      </w:r>
      <w:r>
        <w:rPr>
          <w:rFonts w:ascii="Times New Roman;serif" w:hAnsi="Times New Roman;serif"/>
          <w:b w:val="false"/>
          <w:sz w:val="20"/>
        </w:rPr>
        <w:t>), on the one hand, and Bristol-Myers Squibb Company, a Delaware corporation with offices at 430 E. 29th Street, 14th Floor, New York, New York 10016 (“</w:t>
      </w:r>
      <w:r>
        <w:rPr>
          <w:rFonts w:ascii="Times New Roman;serif" w:hAnsi="Times New Roman;serif"/>
          <w:b w:val="false"/>
          <w:sz w:val="20"/>
          <w:u w:val="single"/>
        </w:rPr>
        <w:t>BMS</w:t>
      </w:r>
      <w:r>
        <w:rPr>
          <w:rFonts w:ascii="Times New Roman" w:hAnsi="Times New Roman"/>
          <w:sz w:val="20"/>
        </w:rPr>
        <w:t>”</w:t>
      </w:r>
      <w:r>
        <w:rPr>
          <w:rFonts w:ascii="Times New Roman;serif" w:hAnsi="Times New Roman;serif"/>
          <w:b w:val="false"/>
          <w:sz w:val="20"/>
        </w:rPr>
        <w:t>), on the other hand. BMS and Repare are each referred to herein by name or as a “</w:t>
      </w:r>
      <w:r>
        <w:rPr>
          <w:rFonts w:ascii="Times New Roman;serif" w:hAnsi="Times New Roman;serif"/>
          <w:b w:val="false"/>
          <w:sz w:val="20"/>
          <w:u w:val="single"/>
        </w:rPr>
        <w:t>Party</w:t>
      </w:r>
      <w:r>
        <w:rPr>
          <w:rFonts w:ascii="Times New Roman" w:hAnsi="Times New Roman"/>
          <w:sz w:val="20"/>
        </w:rPr>
        <w:t>”</w:t>
      </w:r>
      <w:r>
        <w:rPr>
          <w:rFonts w:ascii="Times New Roman;serif" w:hAnsi="Times New Roman;serif"/>
          <w:b w:val="false"/>
          <w:sz w:val="20"/>
        </w:rPr>
        <w:t>, or, collectively, as the “</w:t>
      </w:r>
      <w:r>
        <w:rPr>
          <w:rFonts w:ascii="Times New Roman;serif" w:hAnsi="Times New Roman;serif"/>
          <w:b w:val="false"/>
          <w:sz w:val="20"/>
          <w:u w:val="single"/>
        </w:rPr>
        <w:t>Parties</w:t>
      </w:r>
      <w:r>
        <w:rPr>
          <w:rFonts w:ascii="Times New Roman;serif" w:hAnsi="Times New Roman;serif"/>
          <w:b w:val="false"/>
          <w:sz w:val="20"/>
        </w:rPr>
        <w:t>.”</w:t>
      </w:r>
    </w:p>
    <w:p>
      <w:pPr>
        <w:pStyle w:val="TextBody"/>
        <w:bidi w:val="0"/>
        <w:spacing w:before="0" w:after="0"/>
        <w:jc w:val="both"/>
        <w:rPr>
          <w:rFonts w:ascii="Times New Roman" w:hAnsi="Times New Roman"/>
          <w:sz w:val="20"/>
        </w:rPr>
      </w:pPr>
      <w:r>
        <w:rPr>
          <w:rFonts w:ascii="Times New Roman;serif" w:hAnsi="Times New Roman;serif"/>
          <w:b w:val="false"/>
          <w:sz w:val="20"/>
        </w:rPr>
        <w:t>WHEREAS, Repare and BMS entered into that certain Collaboration and License Agreement as of May 26, 2020 (as amended, the “</w:t>
      </w:r>
      <w:r>
        <w:rPr>
          <w:rFonts w:ascii="Times New Roman;serif" w:hAnsi="Times New Roman;serif"/>
          <w:b w:val="false"/>
          <w:sz w:val="20"/>
          <w:u w:val="single"/>
        </w:rPr>
        <w:t>Agreement</w:t>
      </w:r>
      <w:r>
        <w:rPr>
          <w:rFonts w:ascii="Times New Roman" w:hAnsi="Times New Roman"/>
          <w:sz w:val="20"/>
        </w:rPr>
        <w:t>”</w:t>
      </w:r>
      <w:r>
        <w:rPr>
          <w:rFonts w:ascii="Times New Roman;serif" w:hAnsi="Times New Roman;serif"/>
          <w:b w:val="false"/>
          <w:sz w:val="20"/>
        </w:rPr>
        <w:t>);</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WHEREAS, the [***] is an Existing Repare Campaign that has been designated a Primary Campaign;</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WHEREAS, following Initial Screening for such Primary Campaign, Repare has identified certain Targets as showing promise for Synthetic Lethalityas Collaboration Targets with respect to such Primary Campaign;</w:t>
      </w:r>
    </w:p>
    <w:p>
      <w:pPr>
        <w:pStyle w:val="TextBody"/>
        <w:bidi w:val="0"/>
        <w:spacing w:before="0" w:after="0"/>
        <w:jc w:val="both"/>
        <w:rPr>
          <w:rFonts w:ascii="Times New Roman" w:hAnsi="Times New Roman"/>
          <w:sz w:val="20"/>
        </w:rPr>
      </w:pPr>
      <w:r>
        <w:rPr>
          <w:rFonts w:ascii="Times New Roman;serif" w:hAnsi="Times New Roman;serif"/>
          <w:b w:val="false"/>
          <w:sz w:val="20"/>
        </w:rPr>
        <w:t>WHEREAS, the Primary Target of the [***] Primary Campaign is [***] (“</w:t>
      </w:r>
      <w:r>
        <w:rPr>
          <w:rFonts w:ascii="Times New Roman;serif" w:hAnsi="Times New Roman;serif"/>
          <w:b w:val="false"/>
          <w:sz w:val="20"/>
          <w:u w:val="single"/>
        </w:rPr>
        <w:t>Target Y</w:t>
      </w:r>
      <w:r>
        <w:rPr>
          <w:rFonts w:ascii="Times New Roman" w:hAnsi="Times New Roman"/>
          <w:sz w:val="20"/>
        </w:rPr>
        <w:t>”</w:t>
      </w:r>
      <w:r>
        <w:rPr>
          <w:rFonts w:ascii="Times New Roman;serif" w:hAnsi="Times New Roman;serif"/>
          <w:b w:val="false"/>
          <w:sz w:val="20"/>
        </w:rPr>
        <w:t>) and the Secondary Target of the [***] Primary Campaign is [***] (“</w:t>
      </w:r>
      <w:r>
        <w:rPr>
          <w:rFonts w:ascii="Times New Roman;serif" w:hAnsi="Times New Roman;serif"/>
          <w:b w:val="false"/>
          <w:sz w:val="20"/>
          <w:u w:val="single"/>
        </w:rPr>
        <w:t>Target Z</w:t>
      </w:r>
      <w:r>
        <w:rPr>
          <w:rFonts w:ascii="Times New Roman" w:hAnsi="Times New Roman"/>
          <w:sz w:val="20"/>
        </w:rPr>
        <w:t>”</w:t>
      </w:r>
      <w:r>
        <w:rPr>
          <w:rFonts w:ascii="Times New Roman;serif" w:hAnsi="Times New Roman;serif"/>
          <w:b w:val="false"/>
          <w:sz w:val="20"/>
        </w:rPr>
        <w:t>); and</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WHEREAS, the Parties wish to amend the Agreement to extend the Primary Target Review Period and the Additional Target Review Period of the Collaboration Targets for the [***] Primary Campaign;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NOW, THEREFORE, the Parties, intending to be legally bound, hereby agree as follows:</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Capitalized terms used in this Fourth Amendment that are not defined herein shall have the meanings ascribed to them in the Agreement.</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Notwithstanding anything in the Agreement to the contrary: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BMS shall, [***], provide Repare with a Further Development Election for both Target Y and Target Z, but, subject to the remainder of this Fourth Amendment, BMS shall [***] after providing such Further Development Election;</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pPr>
      <w:r>
        <w:rPr>
          <w:rFonts w:ascii="Times New Roman;serif" w:hAnsi="Times New Roman;serif"/>
          <w:b w:val="false"/>
          <w:sz w:val="20"/>
        </w:rPr>
        <w:t>The Primary Target Review Period for Target Y and the Additional Target Review Period for Target Z are hereby extended [***] (the “</w:t>
      </w:r>
      <w:r>
        <w:rPr>
          <w:rFonts w:ascii="Times New Roman;serif" w:hAnsi="Times New Roman;serif"/>
          <w:b w:val="false"/>
          <w:sz w:val="20"/>
          <w:u w:val="single"/>
        </w:rPr>
        <w:t>New Review Period End Date</w:t>
      </w:r>
      <w:r>
        <w:rPr/>
        <w:t>”</w:t>
      </w:r>
      <w:r>
        <w:rPr>
          <w:rFonts w:ascii="Times New Roman;serif" w:hAnsi="Times New Roman;serif"/>
          <w:b w:val="false"/>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BMS shall have the right to perform Primary Target Chemistry activities for Target Y and Additional Target Chemistry activities for Target Z until the New Review Period End Date [***];</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pPr>
      <w:r>
        <w:rPr>
          <w:rFonts w:ascii="Times New Roman;serif" w:hAnsi="Times New Roman;serif"/>
          <w:b w:val="false"/>
          <w:sz w:val="20"/>
        </w:rPr>
        <w:t>If and when BMS or any of its Affiliates or Sublicensees achieves Lead Optimization Initiation for a Resulting Compound that is Directed to Target Y or Target Z (such achievement, a “</w:t>
      </w:r>
      <w:r>
        <w:rPr>
          <w:rFonts w:ascii="Times New Roman;serif" w:hAnsi="Times New Roman;serif"/>
          <w:b w:val="false"/>
          <w:sz w:val="20"/>
          <w:u w:val="single"/>
        </w:rPr>
        <w:t xml:space="preserve">First </w:t>
      </w:r>
      <w:r>
        <w:rPr>
          <w:rFonts w:ascii="Times New Roman;serif" w:hAnsi="Times New Roman;serif"/>
          <w:b w:val="false"/>
          <w:sz w:val="20"/>
        </w:rPr>
        <w:t xml:space="preserve">[***] </w:t>
      </w:r>
      <w:r>
        <w:rPr>
          <w:rFonts w:ascii="Times New Roman;serif" w:hAnsi="Times New Roman;serif"/>
          <w:b w:val="false"/>
          <w:sz w:val="20"/>
          <w:u w:val="single"/>
        </w:rPr>
        <w:t>Lead Optimization Initiation</w:t>
      </w:r>
      <w:r>
        <w:rPr/>
        <w:t>”</w:t>
      </w:r>
      <w:r>
        <w:rPr>
          <w:rFonts w:ascii="Times New Roman;serif" w:hAnsi="Times New Roman;serif"/>
          <w:b w:val="false"/>
          <w:sz w:val="20"/>
        </w:rPr>
        <w:t xml:space="preserve">), BMS shall, within [***] after such First [***] Lead Optimization Initiation, in addition to paying Repare a [***], either (i) notify Repare that it is no longer pursuing Development of Target Y or Target Z (in which case, such Target shall be deemed a Reverted Optioned Target) or (ii) pay Repare (A) a [***] for Target Y and Target Z [***] and (B) an [***]; </w:t>
      </w:r>
    </w:p>
    <w:p>
      <w:pPr>
        <w:pStyle w:val="TextBody"/>
        <w:bidi w:val="0"/>
        <w:spacing w:before="120" w:after="0"/>
        <w:jc w:val="left"/>
        <w:rPr>
          <w:rFonts w:ascii="Times New Roman" w:hAnsi="Times New Roman"/>
          <w:b w:val="false"/>
          <w:sz w:val="20"/>
        </w:rPr>
      </w:pPr>
      <w:r>
        <w:rPr>
          <w:rFonts w:ascii="Times New Roman" w:hAnsi="Times New Roman"/>
          <w:b w:val="false"/>
          <w:sz w:val="20"/>
        </w:rPr>
        <w: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If a First [***] Lead Optimization Initiation has not occurred by the New Review Period End Date, then BMS shall either (i) notify Repare that it is no longer pursuing Development of Target Y or Target Z (in which case, such Target shall be deemed a Reverted Optioned Target) or (ii) pay Repare [***] for Target Y and Target Z (in which case, BMS shall have the right to continue to perform Primary Target Chemistry activities for Target Y and Additional Target Chemistry activities for Target Z until the Additional Target Selection Deadline (as defined below) without [***]); and </w:t>
      </w:r>
    </w:p>
    <w:p>
      <w:pPr>
        <w:pStyle w:val="TextBody"/>
        <w:bidi w:val="0"/>
        <w:spacing w:before="120" w:after="0"/>
        <w:jc w:val="left"/>
        <w:rPr>
          <w:rFonts w:ascii="Times New Roman" w:hAnsi="Times New Roman"/>
          <w:b w:val="false"/>
          <w:sz w:val="20"/>
        </w:rPr>
      </w:pPr>
      <w:r>
        <w:rPr>
          <w:rFonts w:ascii="Times New Roman" w:hAnsi="Times New Roman"/>
          <w:b w:val="false"/>
          <w:sz w:val="20"/>
        </w:rPr>
        <w:t>f.</w:t>
      </w:r>
    </w:p>
    <w:p>
      <w:pPr>
        <w:pStyle w:val="TextBody"/>
        <w:bidi w:val="0"/>
        <w:spacing w:before="120" w:after="0"/>
        <w:jc w:val="left"/>
        <w:rPr/>
      </w:pPr>
      <w:r>
        <w:rPr>
          <w:rFonts w:ascii="Times New Roman;serif" w:hAnsi="Times New Roman;serif"/>
          <w:b w:val="false"/>
          <w:sz w:val="20"/>
        </w:rPr>
        <w:t>If a First [***] Lead Optimization Initiation has not occurred by the Additional Target Selection Deadline, then BMS shall either (i) notify Repare that it is no longer pursuing Development of Target Y or Target Z (in which case, such Target shall be deemed a Reverted Optioned Target) or (ii) pay Repare [***]. “</w:t>
      </w:r>
      <w:r>
        <w:rPr>
          <w:rFonts w:ascii="Times New Roman;serif" w:hAnsi="Times New Roman;serif"/>
          <w:b w:val="false"/>
          <w:sz w:val="20"/>
          <w:u w:val="single"/>
        </w:rPr>
        <w:t>Additional Target Selection Deadline</w:t>
      </w:r>
      <w:r>
        <w:rPr/>
        <w:t xml:space="preserve">” </w:t>
      </w:r>
      <w:r>
        <w:rPr>
          <w:rFonts w:ascii="Times New Roman;serif" w:hAnsi="Times New Roman;serif"/>
          <w:b w:val="false"/>
          <w:sz w:val="20"/>
        </w:rPr>
        <w:t xml:space="preserve">means [***] after the New Review Period End Date; except that, no earlier than [***] after the New Review Period End Date, BMS may request that Repare agree to extend the Additional Target Selection Deadline </w:t>
      </w:r>
    </w:p>
    <w:p>
      <w:pPr>
        <w:pStyle w:val="HorizontalLine"/>
        <w:pBdr>
          <w:bottom w:val="double" w:sz="2" w:space="0" w:color="808080"/>
        </w:pBdr>
        <w:bidi w:val="0"/>
        <w:spacing w:before="0" w:after="283"/>
        <w:jc w:val="left"/>
        <w:rPr/>
      </w:pPr>
      <w:r>
        <w:rPr/>
      </w:r>
    </w:p>
    <w:p>
      <w:pPr>
        <w:pStyle w:val="TextBody"/>
        <w:bidi w:val="0"/>
        <w:spacing w:before="120" w:after="0"/>
        <w:jc w:val="left"/>
        <w:rPr/>
      </w:pPr>
      <w:r>
        <w:rPr>
          <w:rFonts w:ascii="Times New Roman;serif" w:hAnsi="Times New Roman;serif"/>
          <w:b w:val="false"/>
          <w:sz w:val="20"/>
        </w:rPr>
        <w:t>until [***] after the New Review Period End Date, and, if BMS makes such a request, BMS shall provide Repare with an updated progress report with respect to Target Y and Target Z that satisfies the requirements of Section 2.10 of the Agreement (</w:t>
      </w:r>
      <w:r>
        <w:rPr>
          <w:rFonts w:ascii="Times New Roman;serif" w:hAnsi="Times New Roman;serif"/>
          <w:b w:val="false"/>
          <w:i/>
          <w:sz w:val="20"/>
        </w:rPr>
        <w:t>mutatis mutandis</w:t>
      </w:r>
      <w:r>
        <w:rPr>
          <w:rFonts w:ascii="Times New Roman;serif" w:hAnsi="Times New Roman;serif"/>
          <w:b w:val="false"/>
          <w:sz w:val="20"/>
        </w:rPr>
        <w:t>) and Repare shall review such report to determine whether to agree to the extension and may not unreasonably refuse to agree to such extension.</w:t>
      </w:r>
      <w:r>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This Fourth Amendment shall be deemed incorporated into and made a part of the Agreement. The provisions of this Fourth Amendment shall constitute an amendment to the Agreement, and, to the extent that any term or provision of this Fourth Amendment may be deemed expressly inconsistent with any term or provision in the Agreement, this Fourth Amendment shall govern and control. Except as expressly modified by the terms of this Fourth Amendment, all of the terms, conditions, and provisions of the Agreement are hereby ratified, and the Agreement remains in full force and effect.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This Fourth Amendment may be executed in two (2) counterparts, each of which shall be deemed an original, and both of which together shall constitute one and the same instrument. Any such counterpart, to the extent delivered by means of electronic delivery, shall be treated in all manner and respects as an original executed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claim or defense with respect to the formation of a contract, and each Party forever waives any such claim or defense, except to the extent that such claim or defense relates to lack of authenticity.</w:t>
      </w:r>
    </w:p>
    <w:p>
      <w:pPr>
        <w:pStyle w:val="TextBody"/>
        <w:bidi w:val="0"/>
        <w:spacing w:before="0" w:after="0"/>
        <w:jc w:val="center"/>
        <w:rPr>
          <w:rFonts w:ascii="Times New Roman" w:hAnsi="Times New Roman"/>
          <w:sz w:val="20"/>
        </w:rPr>
      </w:pPr>
      <w:r>
        <w:rPr>
          <w:rFonts w:ascii="Times New Roman;serif" w:hAnsi="Times New Roman;serif"/>
          <w:b w:val="false"/>
          <w:sz w:val="20"/>
        </w:rPr>
        <w:t>[</w:t>
      </w:r>
      <w:r>
        <w:rPr>
          <w:rFonts w:ascii="Times New Roman;serif" w:hAnsi="Times New Roman;serif"/>
          <w:b w:val="false"/>
          <w:i/>
          <w:sz w:val="20"/>
        </w:rPr>
        <w:t>Signature Page Follows</w:t>
      </w:r>
      <w:r>
        <w:rPr>
          <w:rFonts w:ascii="Times New Roman;serif" w:hAnsi="Times New Roman;serif"/>
          <w:b w:val="false"/>
          <w:sz w:val="20"/>
        </w:rPr>
        <w:t>]</w:t>
      </w:r>
    </w:p>
    <w:p>
      <w:pPr>
        <w:pStyle w:val="TextBody"/>
        <w:bidi w:val="0"/>
        <w:spacing w:before="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WITNESS WHEREOF, and intending to be legally bound hereby, the Parties have caused this Fourth Amendment to Collaboration and License Agreement to be executed by their respective duly authorized officers as of the Fourth Amendment Effective Date.</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BRISTOL-MYERS SQUIBB COMPANY</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By: /s/ Maria Engler</w:t>
      </w:r>
    </w:p>
    <w:p>
      <w:pPr>
        <w:pStyle w:val="TextBody"/>
        <w:bidi w:val="0"/>
        <w:spacing w:before="0" w:after="0"/>
        <w:jc w:val="left"/>
        <w:rPr>
          <w:rFonts w:ascii="Times New Roman" w:hAnsi="Times New Roman"/>
          <w:sz w:val="20"/>
        </w:rPr>
      </w:pPr>
      <w:r>
        <w:rPr>
          <w:rFonts w:ascii="Times New Roman;serif" w:hAnsi="Times New Roman;serif"/>
          <w:b w:val="false"/>
          <w:sz w:val="20"/>
        </w:rPr>
        <w:t>Name: Maria Engler</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Title: Senior Director, Global Alliance</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REPARE THERAPEUTICS INC.</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By: /s/ Cameron Black</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Name: Cameron Black</w:t>
      </w:r>
    </w:p>
    <w:p>
      <w:pPr>
        <w:pStyle w:val="TextBody"/>
        <w:bidi w:val="0"/>
        <w:spacing w:before="0" w:after="0"/>
        <w:jc w:val="left"/>
        <w:rPr>
          <w:rFonts w:ascii="Times New Roman" w:hAnsi="Times New Roman"/>
          <w:sz w:val="20"/>
        </w:rPr>
      </w:pPr>
      <w:r>
        <w:rPr>
          <w:rFonts w:ascii="Times New Roman;serif" w:hAnsi="Times New Roman;serif"/>
          <w:b w:val="false"/>
          <w:sz w:val="20"/>
        </w:rPr>
        <w:t>Title: EVP, Discovery</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REPARE THERAPEUTICS INC.</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By: /s/ Steve Forte</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Name: Steve Forte</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Title: EVP, CFO</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caps/>
          <w:sz w:val="22"/>
        </w:rPr>
      </w:pPr>
      <w:bookmarkStart w:id="25" w:name="rptx-ex10_2.htm"/>
      <w:bookmarkStart w:id="26" w:name="ksrptxex10_2"/>
      <w:bookmarkEnd w:id="25"/>
      <w:bookmarkEnd w:id="26"/>
      <w:r>
        <w:rPr>
          <w:rFonts w:ascii="Times New Roman;serif" w:hAnsi="Times New Roman;serif"/>
          <w:b/>
          <w:caps/>
          <w:sz w:val="22"/>
        </w:rPr>
        <w:t>Exhibit 10.2</w:t>
      </w:r>
      <w:r>
        <w:br w:type="page"/>
      </w:r>
    </w:p>
    <w:p>
      <w:pPr>
        <w:pStyle w:val="TextBody"/>
        <w:bidi w:val="0"/>
        <w:spacing w:before="360" w:after="0"/>
        <w:jc w:val="center"/>
        <w:rPr>
          <w:rFonts w:ascii="Times New Roman" w:hAnsi="Times New Roman"/>
          <w:sz w:val="20"/>
        </w:rPr>
      </w:pPr>
      <w:r>
        <w:rPr>
          <w:rFonts w:ascii="Times New Roman;serif" w:hAnsi="Times New Roman;serif"/>
          <w:b/>
          <w:caps/>
          <w:sz w:val="22"/>
        </w:rPr>
        <w:t>Amendment to Employment Agreement</w:t>
      </w:r>
      <w:r>
        <w:rPr>
          <w:rFonts w:ascii="Times New Roman" w:hAnsi="Times New Roman"/>
          <w:caps/>
          <w:sz w:val="20"/>
        </w:rPr>
        <w:t xml:space="preserve"> </w:t>
      </w:r>
    </w:p>
    <w:p>
      <w:pPr>
        <w:pStyle w:val="TextBody"/>
        <w:bidi w:val="0"/>
        <w:spacing w:before="0" w:after="0"/>
        <w:jc w:val="both"/>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This </w:t>
      </w:r>
      <w:r>
        <w:rPr>
          <w:rFonts w:ascii="Times New Roman;serif" w:hAnsi="Times New Roman;serif"/>
          <w:b w:val="false"/>
          <w:caps/>
          <w:sz w:val="22"/>
        </w:rPr>
        <w:t>Amendment to the Employment Agreement</w:t>
      </w:r>
      <w:r>
        <w:rPr>
          <w:rFonts w:ascii="Times New Roman" w:hAnsi="Times New Roman"/>
          <w:smallCaps/>
          <w:sz w:val="20"/>
        </w:rPr>
        <w:t xml:space="preserve"> </w:t>
      </w:r>
      <w:r>
        <w:rPr>
          <w:rFonts w:ascii="Times New Roman;serif" w:hAnsi="Times New Roman;serif"/>
          <w:b w:val="false"/>
          <w:sz w:val="22"/>
        </w:rPr>
        <w:t>(the “</w:t>
      </w:r>
      <w:r>
        <w:rPr>
          <w:rFonts w:ascii="Times New Roman;serif" w:hAnsi="Times New Roman;serif"/>
          <w:b w:val="false"/>
          <w:sz w:val="22"/>
          <w:u w:val="single"/>
        </w:rPr>
        <w:t>Amendment</w:t>
      </w:r>
      <w:r>
        <w:rPr>
          <w:rFonts w:ascii="Times New Roman" w:hAnsi="Times New Roman"/>
          <w:sz w:val="20"/>
        </w:rPr>
        <w:t>”</w:t>
      </w:r>
      <w:r>
        <w:rPr>
          <w:rFonts w:ascii="Times New Roman;serif" w:hAnsi="Times New Roman;serif"/>
          <w:b w:val="false"/>
          <w:sz w:val="22"/>
        </w:rPr>
        <w:t>) is entered into as of July 13, 2023 (the “</w:t>
      </w:r>
      <w:r>
        <w:rPr>
          <w:rFonts w:ascii="Times New Roman;serif" w:hAnsi="Times New Roman;serif"/>
          <w:b w:val="false"/>
          <w:sz w:val="22"/>
          <w:u w:val="single"/>
        </w:rPr>
        <w:t>Effective Date</w:t>
      </w:r>
      <w:r>
        <w:rPr>
          <w:rFonts w:ascii="Times New Roman" w:hAnsi="Times New Roman"/>
          <w:sz w:val="20"/>
        </w:rPr>
        <w:t>”</w:t>
      </w:r>
      <w:r>
        <w:rPr>
          <w:rFonts w:ascii="Times New Roman;serif" w:hAnsi="Times New Roman;serif"/>
          <w:b w:val="false"/>
          <w:sz w:val="22"/>
        </w:rPr>
        <w:t>), by and between [___](the “</w:t>
      </w:r>
      <w:r>
        <w:rPr>
          <w:rFonts w:ascii="Times New Roman;serif" w:hAnsi="Times New Roman;serif"/>
          <w:b w:val="false"/>
          <w:sz w:val="22"/>
          <w:u w:val="single"/>
        </w:rPr>
        <w:t>Executive</w:t>
      </w:r>
      <w:r>
        <w:rPr>
          <w:rFonts w:ascii="Times New Roman" w:hAnsi="Times New Roman"/>
          <w:sz w:val="20"/>
        </w:rPr>
        <w:t>”</w:t>
      </w:r>
      <w:r>
        <w:rPr>
          <w:rFonts w:ascii="Times New Roman;serif" w:hAnsi="Times New Roman;serif"/>
          <w:b w:val="false"/>
          <w:sz w:val="22"/>
        </w:rPr>
        <w:t>) and [Repare Therapeutics Inc.] [Repare Therapeutics USA Inc.]</w:t>
      </w:r>
      <w:r>
        <w:rPr>
          <w:rFonts w:ascii="Times New Roman" w:hAnsi="Times New Roman"/>
          <w:smallCaps/>
          <w:sz w:val="20"/>
        </w:rPr>
        <w:t xml:space="preserve"> </w:t>
      </w:r>
      <w:r>
        <w:rPr>
          <w:rFonts w:ascii="Times New Roman;serif" w:hAnsi="Times New Roman;serif"/>
          <w:b w:val="false"/>
          <w:sz w:val="22"/>
        </w:rPr>
        <w:t>(the “</w:t>
      </w:r>
      <w:r>
        <w:rPr>
          <w:rFonts w:ascii="Times New Roman;serif" w:hAnsi="Times New Roman;serif"/>
          <w:b w:val="false"/>
          <w:sz w:val="22"/>
          <w:u w:val="single"/>
        </w:rPr>
        <w:t>Company</w:t>
      </w:r>
      <w:r>
        <w:rPr>
          <w:rFonts w:ascii="Times New Roman" w:hAnsi="Times New Roman"/>
          <w:sz w:val="20"/>
        </w:rPr>
        <w:t>”</w:t>
      </w:r>
      <w:r>
        <w:rPr>
          <w:rFonts w:ascii="Times New Roman;serif" w:hAnsi="Times New Roman;serif"/>
          <w:b w:val="false"/>
          <w:sz w:val="22"/>
        </w:rPr>
        <w:t>).</w:t>
      </w:r>
    </w:p>
    <w:p>
      <w:pPr>
        <w:pStyle w:val="TextBody"/>
        <w:bidi w:val="0"/>
        <w:spacing w:before="0" w:after="240"/>
        <w:jc w:val="center"/>
        <w:rPr>
          <w:rFonts w:ascii="Times New Roman;serif" w:hAnsi="Times New Roman;serif"/>
          <w:b/>
          <w:smallCaps/>
          <w:sz w:val="22"/>
        </w:rPr>
      </w:pPr>
      <w:r>
        <w:rPr>
          <w:rFonts w:ascii="Times New Roman;serif" w:hAnsi="Times New Roman;serif"/>
          <w:b/>
          <w:smallCaps/>
          <w:sz w:val="22"/>
        </w:rPr>
        <w:t>Recitals</w:t>
      </w:r>
    </w:p>
    <w:p>
      <w:pPr>
        <w:pStyle w:val="TextBody"/>
        <w:bidi w:val="0"/>
        <w:spacing w:before="0" w:after="240"/>
        <w:jc w:val="both"/>
        <w:rPr>
          <w:rFonts w:ascii="Times New Roman" w:hAnsi="Times New Roman"/>
          <w:sz w:val="20"/>
        </w:rPr>
      </w:pPr>
      <w:r>
        <w:rPr>
          <w:rFonts w:ascii="Times New Roman;serif" w:hAnsi="Times New Roman;serif"/>
          <w:b w:val="false"/>
          <w:sz w:val="22"/>
        </w:rPr>
        <w:t>A. Effective [____],the Company and the Executive entered into an employment agreement (the “</w:t>
      </w:r>
      <w:r>
        <w:rPr>
          <w:rFonts w:ascii="Times New Roman;serif" w:hAnsi="Times New Roman;serif"/>
          <w:b w:val="false"/>
          <w:sz w:val="22"/>
          <w:u w:val="single"/>
        </w:rPr>
        <w:t>Employment Agreement</w:t>
      </w:r>
      <w:r>
        <w:rPr>
          <w:rFonts w:ascii="Times New Roman" w:hAnsi="Times New Roman"/>
          <w:sz w:val="20"/>
        </w:rPr>
        <w:t>”</w:t>
      </w:r>
      <w:r>
        <w:rPr>
          <w:rFonts w:ascii="Times New Roman;serif" w:hAnsi="Times New Roman;serif"/>
          <w:b w:val="false"/>
          <w:sz w:val="22"/>
        </w:rPr>
        <w:t>);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The Company and the Executive desire to amend the operative Employment Agreement between the parties as provided in this Amendment.</w:t>
      </w:r>
    </w:p>
    <w:p>
      <w:pPr>
        <w:pStyle w:val="TextBody"/>
        <w:bidi w:val="0"/>
        <w:spacing w:before="0" w:after="240"/>
        <w:jc w:val="center"/>
        <w:rPr>
          <w:rFonts w:ascii="Times New Roman;serif" w:hAnsi="Times New Roman;serif"/>
          <w:b/>
          <w:smallCaps/>
          <w:sz w:val="22"/>
        </w:rPr>
      </w:pPr>
      <w:r>
        <w:rPr>
          <w:rFonts w:ascii="Times New Roman;serif" w:hAnsi="Times New Roman;serif"/>
          <w:b/>
          <w:smallCaps/>
          <w:sz w:val="22"/>
        </w:rPr>
        <w:t>Agreement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The parties agree to the following:</w:t>
      </w:r>
    </w:p>
    <w:p>
      <w:pPr>
        <w:pStyle w:val="TextBody"/>
        <w:bidi w:val="0"/>
        <w:spacing w:before="0" w:after="240"/>
        <w:jc w:val="both"/>
        <w:rPr>
          <w:rFonts w:ascii="Times New Roman" w:hAnsi="Times New Roman"/>
          <w:b/>
          <w:caps/>
          <w:sz w:val="22"/>
        </w:rPr>
      </w:pPr>
      <w:r>
        <w:rPr>
          <w:rFonts w:ascii="Times New Roman" w:hAnsi="Times New Roman"/>
          <w:b/>
          <w:caps/>
          <w:sz w:val="22"/>
        </w:rPr>
        <w:t>1.</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Section 5.3(c) of the Employment Agreement is hereby deleted and replaced in its entirety with the following:</w:t>
      </w:r>
    </w:p>
    <w:p>
      <w:pPr>
        <w:pStyle w:val="TextBody"/>
        <w:bidi w:val="0"/>
        <w:spacing w:before="0" w:after="240"/>
        <w:jc w:val="both"/>
        <w:rPr>
          <w:rFonts w:ascii="Times New Roman" w:hAnsi="Times New Roman"/>
          <w:sz w:val="20"/>
        </w:rPr>
      </w:pPr>
      <w:r>
        <w:rPr>
          <w:rFonts w:ascii="Times New Roman;serif" w:hAnsi="Times New Roman;serif"/>
          <w:b w:val="false"/>
          <w:sz w:val="22"/>
        </w:rPr>
        <w:t>[“notwithstanding anything to the contrary in any applicable equity award agreement, (i) all stock options that are subject to a time-based vesting schedule and that are held by the Executive, which would have vested if the Executive had remained employed for an additional [__]</w:t>
      </w:r>
      <w:r>
        <w:rPr>
          <w:rFonts w:ascii="Times New Roman;serif" w:hAnsi="Times New Roman;serif"/>
          <w:b w:val="false"/>
          <w:sz w:val="15"/>
        </w:rPr>
        <w:t>1</w:t>
      </w:r>
      <w:r>
        <w:rPr>
          <w:rFonts w:ascii="Times New Roman" w:hAnsi="Times New Roman"/>
          <w:sz w:val="20"/>
        </w:rPr>
        <w:t xml:space="preserve"> </w:t>
      </w:r>
      <w:r>
        <w:rPr>
          <w:rFonts w:ascii="Times New Roman;serif" w:hAnsi="Times New Roman;serif"/>
          <w:b w:val="false"/>
          <w:sz w:val="22"/>
        </w:rPr>
        <w:t>months following the Termination Date, shall vest and become exercisable effective as of the Termination Date, and all outstanding stock options held by the Executive, including any such stock options that vest in accordance with the foregoing, shall remain exercisable until the earlier of (A) the expiration of the term of such stock options and (B) [__]</w:t>
      </w:r>
      <w:r>
        <w:rPr>
          <w:rFonts w:ascii="Times New Roman;serif" w:hAnsi="Times New Roman;serif"/>
          <w:b w:val="false"/>
          <w:sz w:val="15"/>
        </w:rPr>
        <w:t>2</w:t>
      </w:r>
      <w:r>
        <w:rPr>
          <w:rFonts w:ascii="Times New Roman" w:hAnsi="Times New Roman"/>
          <w:sz w:val="20"/>
        </w:rPr>
        <w:t xml:space="preserve"> </w:t>
      </w:r>
      <w:r>
        <w:rPr>
          <w:rFonts w:ascii="Times New Roman;serif" w:hAnsi="Times New Roman;serif"/>
          <w:b w:val="false"/>
          <w:sz w:val="22"/>
        </w:rPr>
        <w:t>months following the Termination Date, and (ii) [a prorated portion of all other outstanding equity awards (including, without limitation, restricted stock unit awards) that are subject to a time-based vesting schedule and that are held by the Executive shall vest effective as of the Termination Date, representing a total of 12 months of additional vesting, as if each award vested on a monthly basis and without regard to the original vesting schedule (e.g., for purposes of illustration only, to the extent the next scheduled vesting tranche of such an award was an annual cliff, 12/12 of such tranche would vest)]</w:t>
      </w:r>
      <w:r>
        <w:rPr>
          <w:rFonts w:ascii="Times New Roman;serif" w:hAnsi="Times New Roman;serif"/>
          <w:b w:val="false"/>
          <w:sz w:val="15"/>
        </w:rPr>
        <w:t>3</w:t>
      </w:r>
      <w:r>
        <w:rPr>
          <w:rFonts w:ascii="Times New Roman" w:hAnsi="Times New Roman"/>
          <w:sz w:val="20"/>
        </w:rPr>
        <w:t xml:space="preserve"> </w:t>
      </w:r>
      <w:r>
        <w:rPr>
          <w:rFonts w:ascii="Times New Roman;serif" w:hAnsi="Times New Roman;serif"/>
          <w:b w:val="false"/>
          <w:sz w:val="22"/>
        </w:rPr>
        <w:t>[a prorated portion of all other outstanding equity awards (including, without limitation, restricted stock unit awards) that are subject to a time-based vesting schedule and that are held by the Executive shall vest effective as of the Termination Date, representing a total of 6 months of additional vesting, as if each award vested on a monthly basis and without regard to the original vesting schedule (e.g., for purposes of illustration only, to the extent the next scheduled vesting tranche of such an award was an annual cliff, 6/12 of such tranche would vest)]</w:t>
      </w:r>
      <w:r>
        <w:rPr>
          <w:rFonts w:ascii="Times New Roman;serif" w:hAnsi="Times New Roman;serif"/>
          <w:b w:val="false"/>
          <w:sz w:val="15"/>
        </w:rPr>
        <w:t>4</w:t>
      </w:r>
      <w:r>
        <w:rPr>
          <w:rFonts w:ascii="Times New Roman" w:hAnsi="Times New Roman"/>
          <w:sz w:val="20"/>
        </w:rPr>
        <w:t xml:space="preserve"> </w:t>
      </w:r>
      <w:r>
        <w:rPr>
          <w:rFonts w:ascii="Times New Roman;serif" w:hAnsi="Times New Roman;serif"/>
          <w:b w:val="false"/>
          <w:sz w:val="22"/>
        </w:rPr>
        <w:t>[, and]</w:t>
      </w:r>
      <w:r>
        <w:rPr>
          <w:rFonts w:ascii="Times New Roman;serif" w:hAnsi="Times New Roman;serif"/>
          <w:b w:val="false"/>
          <w:sz w:val="15"/>
        </w:rPr>
        <w:t>5</w:t>
      </w:r>
      <w:r>
        <w:rPr>
          <w:rFonts w:ascii="Times New Roman" w:hAnsi="Times New Roman"/>
          <w:sz w:val="20"/>
        </w:rPr>
        <w:t xml:space="preserve"> </w:t>
      </w:r>
      <w:r>
        <w:rPr>
          <w:rFonts w:ascii="Times New Roman;serif" w:hAnsi="Times New Roman;serif"/>
          <w:b w:val="false"/>
          <w:sz w:val="22"/>
        </w:rPr>
        <w:t>[(a) through (c) collectively, the “</w:t>
      </w:r>
      <w:r>
        <w:rPr>
          <w:rFonts w:ascii="Times New Roman;serif" w:hAnsi="Times New Roman;serif"/>
          <w:b/>
          <w:sz w:val="22"/>
          <w:u w:val="single"/>
        </w:rPr>
        <w:t>Severance Benefits</w:t>
      </w:r>
      <w:r>
        <w:rPr>
          <w:rFonts w:ascii="Times New Roman" w:hAnsi="Times New Roman"/>
          <w:sz w:val="20"/>
        </w:rPr>
        <w:t>”</w:t>
      </w:r>
      <w:r>
        <w:rPr>
          <w:rFonts w:ascii="Times New Roman;serif" w:hAnsi="Times New Roman;serif"/>
          <w:b w:val="false"/>
          <w:sz w:val="22"/>
        </w:rPr>
        <w:t>)]</w:t>
      </w:r>
      <w:r>
        <w:rPr>
          <w:rFonts w:ascii="Times New Roman;serif" w:hAnsi="Times New Roman;serif"/>
          <w:b w:val="false"/>
          <w:sz w:val="15"/>
        </w:rPr>
        <w:t>6</w:t>
      </w:r>
      <w:r>
        <w:rPr>
          <w:rFonts w:ascii="Times New Roman;serif" w:hAnsi="Times New Roman;serif"/>
          <w:b w:val="false"/>
          <w:sz w:val="22"/>
        </w:rPr>
        <w:t>.”]</w:t>
      </w:r>
      <w:r>
        <w:rPr>
          <w:rFonts w:ascii="Times New Roman;serif" w:hAnsi="Times New Roman;serif"/>
          <w:b w:val="false"/>
          <w:sz w:val="15"/>
        </w:rPr>
        <w:t>7</w:t>
      </w:r>
    </w:p>
    <w:tbl>
      <w:tblPr>
        <w:tblW w:w="3872" w:type="dxa"/>
        <w:jc w:val="left"/>
        <w:tblInd w:w="0" w:type="dxa"/>
        <w:tblLayout w:type="fixed"/>
        <w:tblCellMar>
          <w:top w:w="28" w:type="dxa"/>
          <w:left w:w="28" w:type="dxa"/>
          <w:bottom w:w="28" w:type="dxa"/>
          <w:right w:w="28" w:type="dxa"/>
        </w:tblCellMar>
      </w:tblPr>
      <w:tblGrid>
        <w:gridCol w:w="196"/>
        <w:gridCol w:w="3676"/>
      </w:tblGrid>
      <w:tr>
        <w:trPr/>
        <w:tc>
          <w:tcPr>
            <w:tcW w:w="196"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19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1</w:t>
            </w:r>
          </w:p>
        </w:tc>
        <w:tc>
          <w:tcPr>
            <w:tcW w:w="367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 xml:space="preserve">Note to Draft: </w:t>
            </w:r>
            <w:r>
              <w:rPr>
                <w:rFonts w:ascii="Times New Roman;serif" w:hAnsi="Times New Roman;serif"/>
                <w:b w:val="false"/>
                <w:sz w:val="18"/>
                <w:u w:val="single"/>
              </w:rPr>
              <w:t>Segal</w:t>
            </w:r>
            <w:r>
              <w:rPr>
                <w:rFonts w:ascii="Times New Roman;serif" w:hAnsi="Times New Roman;serif"/>
                <w:b w:val="false"/>
                <w:sz w:val="18"/>
              </w:rPr>
              <w:t xml:space="preserve">: 12 months; </w:t>
            </w:r>
            <w:r>
              <w:rPr>
                <w:rFonts w:ascii="Times New Roman;serif" w:hAnsi="Times New Roman;serif"/>
                <w:b w:val="false"/>
                <w:sz w:val="18"/>
                <w:u w:val="single"/>
              </w:rPr>
              <w:t>Forte</w:t>
            </w:r>
            <w:r>
              <w:rPr>
                <w:rFonts w:ascii="Times New Roman;serif" w:hAnsi="Times New Roman;serif"/>
                <w:b w:val="false"/>
                <w:sz w:val="18"/>
              </w:rPr>
              <w:t>: 6 months.</w:t>
            </w:r>
          </w:p>
        </w:tc>
      </w:tr>
      <w:tr>
        <w:trPr/>
        <w:tc>
          <w:tcPr>
            <w:tcW w:w="1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2</w:t>
            </w:r>
          </w:p>
        </w:tc>
        <w:tc>
          <w:tcPr>
            <w:tcW w:w="36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 xml:space="preserve">Note to Draft: </w:t>
            </w:r>
            <w:r>
              <w:rPr>
                <w:rFonts w:ascii="Times New Roman;serif" w:hAnsi="Times New Roman;serif"/>
                <w:b w:val="false"/>
                <w:sz w:val="18"/>
                <w:u w:val="single"/>
              </w:rPr>
              <w:t>Segal</w:t>
            </w:r>
            <w:r>
              <w:rPr>
                <w:rFonts w:ascii="Times New Roman;serif" w:hAnsi="Times New Roman;serif"/>
                <w:b w:val="false"/>
                <w:sz w:val="18"/>
              </w:rPr>
              <w:t xml:space="preserve">: 12 months; </w:t>
            </w:r>
            <w:r>
              <w:rPr>
                <w:rFonts w:ascii="Times New Roman;serif" w:hAnsi="Times New Roman;serif"/>
                <w:b w:val="false"/>
                <w:sz w:val="18"/>
                <w:u w:val="single"/>
              </w:rPr>
              <w:t>Forte</w:t>
            </w:r>
            <w:r>
              <w:rPr>
                <w:rFonts w:ascii="Times New Roman;serif" w:hAnsi="Times New Roman;serif"/>
                <w:b w:val="false"/>
                <w:sz w:val="18"/>
              </w:rPr>
              <w:t>: 9 months.</w:t>
            </w:r>
          </w:p>
        </w:tc>
      </w:tr>
      <w:tr>
        <w:trPr/>
        <w:tc>
          <w:tcPr>
            <w:tcW w:w="1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3</w:t>
            </w:r>
          </w:p>
        </w:tc>
        <w:tc>
          <w:tcPr>
            <w:tcW w:w="36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Note to Draft: For Segal.</w:t>
            </w:r>
          </w:p>
        </w:tc>
      </w:tr>
      <w:tr>
        <w:trPr/>
        <w:tc>
          <w:tcPr>
            <w:tcW w:w="1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4</w:t>
            </w:r>
          </w:p>
        </w:tc>
        <w:tc>
          <w:tcPr>
            <w:tcW w:w="36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Note to Draft: For Forte.</w:t>
            </w:r>
          </w:p>
        </w:tc>
      </w:tr>
      <w:tr>
        <w:trPr/>
        <w:tc>
          <w:tcPr>
            <w:tcW w:w="1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5</w:t>
            </w:r>
          </w:p>
        </w:tc>
        <w:tc>
          <w:tcPr>
            <w:tcW w:w="36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Note to Draft: For Segal.</w:t>
            </w:r>
          </w:p>
        </w:tc>
      </w:tr>
      <w:tr>
        <w:trPr/>
        <w:tc>
          <w:tcPr>
            <w:tcW w:w="1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6</w:t>
            </w:r>
          </w:p>
        </w:tc>
        <w:tc>
          <w:tcPr>
            <w:tcW w:w="36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Note to Draft: For Forte.</w:t>
            </w:r>
          </w:p>
        </w:tc>
      </w:tr>
      <w:tr>
        <w:trPr/>
        <w:tc>
          <w:tcPr>
            <w:tcW w:w="1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7</w:t>
            </w:r>
          </w:p>
        </w:tc>
        <w:tc>
          <w:tcPr>
            <w:tcW w:w="36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Note to Draft: For Segal, Forte.</w:t>
            </w:r>
          </w:p>
        </w:tc>
      </w:tr>
    </w:tbl>
    <w:p>
      <w:pPr>
        <w:pStyle w:val="TextBody"/>
        <w:bidi w:val="0"/>
        <w:spacing w:before="0" w:after="240"/>
        <w:jc w:val="both"/>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[Notwithstanding anything to the contrary in any applicable equity award agreement, (i) all stock options that are subject to a time-based vesting schedule and that are held by the Executive, which would have vested if the Executive had remained employed for an additional 6 months following the Termination Date, shall vest and become exercisable effective as of the Termination Date, and all outstanding stock options held by the Executive, including any such stock options that vest in accordance with the foregoing, shall remain exercisable until the earlier of (A) the expiration of the term of such stock options and (B) 9 months following the Termination Date (provided that for any stock options that are “incentive stock options” within the meaning of Section 422 of the Internal Revenue Code of 1986, as amended (the “Code”), the period during which the stock options may be exercised will not be extended beyond the period set forth in the applicable option agreement), and (ii) a prorated portion of all other outstanding equity awards (including, without limitation, restricted stock unit awards) that are subject to a time-based vesting schedule and that are held by the Executive shall vest effective as of the Termination Date, representing a total of 6 months of additional vesting, as if each award vested on a monthly basis and without regard to the original vesting schedule (e.g., for purposes of illustration only, to the extent the next scheduled vesting tranche of such an award was an annual cliff, 6/12 of such tranche would vest) ((a) through (c) collectively, the “Severance Benefits”).]8</w:t>
      </w:r>
    </w:p>
    <w:p>
      <w:pPr>
        <w:pStyle w:val="TextBody"/>
        <w:bidi w:val="0"/>
        <w:spacing w:before="0" w:after="240"/>
        <w:jc w:val="both"/>
        <w:rPr>
          <w:rFonts w:ascii="Times New Roman" w:hAnsi="Times New Roman"/>
          <w:b/>
          <w:caps/>
          <w:sz w:val="22"/>
        </w:rPr>
      </w:pPr>
      <w:r>
        <w:rPr>
          <w:rFonts w:ascii="Times New Roman" w:hAnsi="Times New Roman"/>
          <w:b/>
          <w:caps/>
          <w:sz w:val="22"/>
        </w:rPr>
        <w:t>2.</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[Section 5.5 of the Employment Agreement is hereby deleted and replaced in its entirety with the following:</w:t>
      </w:r>
    </w:p>
    <w:p>
      <w:pPr>
        <w:pStyle w:val="TextBody"/>
        <w:bidi w:val="0"/>
        <w:spacing w:before="0" w:after="240"/>
        <w:jc w:val="both"/>
        <w:rPr/>
      </w:pPr>
      <w:r>
        <w:rPr/>
        <w:t>“</w:t>
      </w:r>
      <w:r>
        <w:rPr>
          <w:rFonts w:ascii="Times New Roman;serif" w:hAnsi="Times New Roman;serif"/>
          <w:b w:val="false"/>
          <w:sz w:val="22"/>
          <w:u w:val="single"/>
        </w:rPr>
        <w:t>Death</w:t>
      </w:r>
      <w:r>
        <w:rPr>
          <w:rFonts w:ascii="Times New Roman;serif" w:hAnsi="Times New Roman;serif"/>
          <w:b w:val="false"/>
          <w:sz w:val="22"/>
        </w:rPr>
        <w:t>. The Executive’s employment hereunder will terminate automatically upon the Executive’s death during the Term. In the event of such termination, the Executive or the Executive’s estate or beneficiaries, as the case may be, will be entitled to receive the Accrued Obligations and the benefits described in Section 5.3(b). In addition, (a) all stock options that are subject to a time-based vesting schedule and that are held by the Executive, which would have vested if the Executive had remained employed for an additional 12 months following the Termination Date, shall vest and become exercisable effective as of the Termination Date, and all outstanding stock options held by the Executive, including any such stock options that vest in accordance with the foregoing, shall remain exercisable until the earlier of (i) the expiration of the term of such stock options and (ii) 12 months following the Termination Date [(provided that for any stock options that are “incentive stock options” within the meaning of Section 422 of the Code, the period during which the stock options may be exercised will not be extended beyond the period set forth in the applicable option agreement)]</w:t>
      </w:r>
      <w:r>
        <w:rPr>
          <w:rFonts w:ascii="Times New Roman;serif" w:hAnsi="Times New Roman;serif"/>
          <w:b w:val="false"/>
          <w:sz w:val="15"/>
        </w:rPr>
        <w:t>9</w:t>
      </w:r>
      <w:r>
        <w:rPr>
          <w:rFonts w:ascii="Times New Roman;serif" w:hAnsi="Times New Roman;serif"/>
          <w:b w:val="false"/>
          <w:sz w:val="22"/>
        </w:rPr>
        <w:t>, and (b) a prorated portion of all other outstanding equity awards (including, without limitation, restricted stock unit awards) that are subject to a time-based vesting schedule and that are held by the Executive shall vest effective as of the Termination Date, representing a total of 12 months of additional vesting, as if each award vested on a monthly basis and without regard to the original vesting schedule (e.g., for purposes of illustration only, to the extent the next scheduled vesting tranche of such an award was an annual cliff, 12/12 of such tranche would vest).”]</w:t>
      </w:r>
      <w:r>
        <w:rPr>
          <w:rFonts w:ascii="Times New Roman;serif" w:hAnsi="Times New Roman;serif"/>
          <w:b w:val="false"/>
          <w:sz w:val="15"/>
        </w:rPr>
        <w:t>10</w:t>
      </w:r>
    </w:p>
    <w:p>
      <w:pPr>
        <w:pStyle w:val="TextBody"/>
        <w:bidi w:val="0"/>
        <w:spacing w:before="0" w:after="240"/>
        <w:jc w:val="both"/>
        <w:rPr>
          <w:rFonts w:ascii="Times New Roman" w:hAnsi="Times New Roman"/>
          <w:b/>
          <w:caps/>
          <w:sz w:val="22"/>
        </w:rPr>
      </w:pPr>
      <w:r>
        <w:rPr>
          <w:rFonts w:ascii="Times New Roman" w:hAnsi="Times New Roman"/>
          <w:b/>
          <w:caps/>
          <w:sz w:val="22"/>
        </w:rPr>
        <w:t>3.</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[The first paragraph of Section 5.6 of the Employment Agreement is hereby deleted and replaced in its entirety with the following:</w:t>
      </w:r>
    </w:p>
    <w:p>
      <w:pPr>
        <w:pStyle w:val="TextBody"/>
        <w:bidi w:val="0"/>
        <w:spacing w:before="0" w:after="240"/>
        <w:jc w:val="both"/>
        <w:rPr/>
      </w:pPr>
      <w:r>
        <w:rPr/>
        <w:t> </w:t>
      </w:r>
    </w:p>
    <w:p>
      <w:pPr>
        <w:pStyle w:val="TextBody"/>
        <w:bidi w:val="0"/>
        <w:spacing w:before="0" w:after="240"/>
        <w:jc w:val="both"/>
        <w:rPr/>
      </w:pPr>
      <w:r>
        <w:rPr/>
        <w:t> </w:t>
      </w:r>
    </w:p>
    <w:tbl>
      <w:tblPr>
        <w:tblW w:w="3332" w:type="dxa"/>
        <w:jc w:val="left"/>
        <w:tblInd w:w="0" w:type="dxa"/>
        <w:tblLayout w:type="fixed"/>
        <w:tblCellMar>
          <w:top w:w="28" w:type="dxa"/>
          <w:left w:w="28" w:type="dxa"/>
          <w:bottom w:w="28" w:type="dxa"/>
          <w:right w:w="28" w:type="dxa"/>
        </w:tblCellMar>
      </w:tblPr>
      <w:tblGrid>
        <w:gridCol w:w="271"/>
        <w:gridCol w:w="3061"/>
      </w:tblGrid>
      <w:tr>
        <w:trPr/>
        <w:tc>
          <w:tcPr>
            <w:tcW w:w="27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27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8</w:t>
            </w:r>
          </w:p>
        </w:tc>
        <w:tc>
          <w:tcPr>
            <w:tcW w:w="306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Note to Draft: For Koehler, Zinda.</w:t>
            </w:r>
          </w:p>
        </w:tc>
      </w:tr>
      <w:tr>
        <w:trPr/>
        <w:tc>
          <w:tcPr>
            <w:tcW w:w="2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9</w:t>
            </w:r>
          </w:p>
        </w:tc>
        <w:tc>
          <w:tcPr>
            <w:tcW w:w="30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Note to Draft: For Koehler, Zinda.</w:t>
            </w:r>
          </w:p>
        </w:tc>
      </w:tr>
      <w:tr>
        <w:trPr/>
        <w:tc>
          <w:tcPr>
            <w:tcW w:w="2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10</w:t>
            </w:r>
          </w:p>
        </w:tc>
        <w:tc>
          <w:tcPr>
            <w:tcW w:w="30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Note to Draft: For Forte, Koehler, Zinda.</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t>“</w:t>
      </w:r>
      <w:r>
        <w:rPr>
          <w:rFonts w:ascii="Times New Roman;serif" w:hAnsi="Times New Roman;serif"/>
          <w:b w:val="false"/>
          <w:sz w:val="22"/>
          <w:u w:val="single"/>
        </w:rPr>
        <w:t>Disability</w:t>
      </w:r>
      <w:r>
        <w:rPr>
          <w:rFonts w:ascii="Times New Roman;serif" w:hAnsi="Times New Roman;serif"/>
          <w:b w:val="false"/>
          <w:sz w:val="22"/>
        </w:rPr>
        <w:t>. If the Executive’s employment is terminated during the Term on account of the Executive’s Disability, the Executive will be entitled to receive the Accrued Obligations and the benefits described in Section 5.3(b). In addition, (a) all stock options that are subject to a time-based vesting schedule and that are held by the Executive, which would have vested if the Executive had remained employed for an additional 12 months following the Termination Date, shall vest and become exercisable effective as of the Termination Date, and all outstanding stock options held by the Executive, including any such stock options that vest in accordance with the foregoing, shall remain exercisable until the earlier of (i) the expiration of the term of such stock options and (ii) 12 months following the Termination Date [(provided that for any stock options that are “incentive stock options” within the meaning of Section 422 of the Code, the period during which the stock options may be exercised will not be extended beyond the period set forth in the applicable option agreement)]</w:t>
      </w:r>
      <w:r>
        <w:rPr>
          <w:rFonts w:ascii="Times New Roman;serif" w:hAnsi="Times New Roman;serif"/>
          <w:b w:val="false"/>
          <w:sz w:val="15"/>
        </w:rPr>
        <w:t>11</w:t>
      </w:r>
      <w:r>
        <w:rPr>
          <w:rFonts w:ascii="Times New Roman;serif" w:hAnsi="Times New Roman;serif"/>
          <w:b w:val="false"/>
          <w:sz w:val="22"/>
        </w:rPr>
        <w:t>, and (b) a prorated portion of all other outstanding equity awards (including, without limitation, restricted stock unit awards) that are subject to a time-based vesting schedule and that are held by the Executive shall vest effective as of the Termination Date, representing a total of 12 months of additional vesting, as if each award vested on a monthly basis and without regard to the original vesting schedule (e.g., for purposes of illustration only, to the extent the next scheduled vesting tranche of such an award was an annual cliff, 12/12 of such tranche would vest).]</w:t>
      </w:r>
      <w:r>
        <w:rPr>
          <w:rFonts w:ascii="Times New Roman;serif" w:hAnsi="Times New Roman;serif"/>
          <w:b w:val="false"/>
          <w:sz w:val="15"/>
        </w:rPr>
        <w:t>12</w:t>
      </w:r>
    </w:p>
    <w:p>
      <w:pPr>
        <w:pStyle w:val="TextBody"/>
        <w:bidi w:val="0"/>
        <w:spacing w:before="0" w:after="240"/>
        <w:jc w:val="both"/>
        <w:rPr>
          <w:rFonts w:ascii="Times New Roman" w:hAnsi="Times New Roman"/>
          <w:b/>
          <w:caps/>
          <w:sz w:val="22"/>
        </w:rPr>
      </w:pPr>
      <w:r>
        <w:rPr>
          <w:rFonts w:ascii="Times New Roman" w:hAnsi="Times New Roman"/>
          <w:b/>
          <w:caps/>
          <w:sz w:val="22"/>
        </w:rPr>
        <w:t>4.</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Section 5.7(c) of the Employment Agreement is hereby deleted and replaced in its entirety with the following:</w:t>
      </w:r>
    </w:p>
    <w:p>
      <w:pPr>
        <w:pStyle w:val="TextBody"/>
        <w:bidi w:val="0"/>
        <w:spacing w:before="0" w:after="240"/>
        <w:jc w:val="both"/>
        <w:rPr>
          <w:rFonts w:ascii="Times New Roman" w:hAnsi="Times New Roman"/>
          <w:sz w:val="20"/>
        </w:rPr>
      </w:pPr>
      <w:r>
        <w:rPr>
          <w:rFonts w:ascii="Times New Roman;serif" w:hAnsi="Times New Roman;serif"/>
          <w:b w:val="false"/>
          <w:sz w:val="22"/>
        </w:rPr>
        <w:t>[“notwithstanding anything to the contrary in any applicable equity award agreement, (i) all stock options that are subject to a time-based vesting schedule and that are held by the Executive shall vest and become exercisable effective as of the Termination Date, and all outstanding stock options held by the Executive, including any such stock options that vest in accordance with the foregoing, shall remain exercisable until the earlier of (A) the expiration of the term of such stock options and (B) 15 months following the Termination Date, and (ii) all other outstanding equity awards (including, without limitation, restricted stock unit awards) that are subject to a time-based vesting schedule and that are held by the Executive shall vest in full effective as of the Termination Date, and”]</w:t>
      </w:r>
      <w:r>
        <w:rPr>
          <w:rFonts w:ascii="Times New Roman;serif" w:hAnsi="Times New Roman;serif"/>
          <w:b w:val="false"/>
          <w:sz w:val="15"/>
        </w:rPr>
        <w:t>13</w:t>
      </w:r>
    </w:p>
    <w:p>
      <w:pPr>
        <w:pStyle w:val="TextBody"/>
        <w:bidi w:val="0"/>
        <w:spacing w:before="0" w:after="240"/>
        <w:jc w:val="both"/>
        <w:rPr>
          <w:rFonts w:ascii="Times New Roman" w:hAnsi="Times New Roman"/>
          <w:sz w:val="20"/>
        </w:rPr>
      </w:pPr>
      <w:r>
        <w:rPr>
          <w:rFonts w:ascii="Times New Roman;serif" w:hAnsi="Times New Roman;serif"/>
          <w:b w:val="false"/>
          <w:sz w:val="22"/>
        </w:rPr>
        <w:t>[“[N]otwithstanding anything to the contrary in any applicable equity award agreement, (i) all stock options that are subject to a time-based vesting schedule and that are held by the Executive shall vest and become exercisable effective as of the Termination Date, and all outstanding stock options held by the Executive, including any such stock options that vest in accordance with the foregoing, shall remain exercisable until the earlier of (A) the expiration of the term of such stock options and (B) 9 months following the Termination Date [(provided that for any stock options that are “incentive stock options” within the meaning of Section 422 of the Code, the period during which the stock options may be exercised will not be extended beyond the period set forth in the applicable option agreement)], and (ii) all other outstanding equity awards (including, without limitation, restricted stock unit awards) that are subject to a time-based vesting schedule and that are held by the Executive shall vest in full effective as of the Termination Date.”]</w:t>
      </w:r>
      <w:r>
        <w:rPr>
          <w:rFonts w:ascii="Times New Roman;serif" w:hAnsi="Times New Roman;serif"/>
          <w:b w:val="false"/>
          <w:sz w:val="15"/>
        </w:rPr>
        <w:t>15</w:t>
      </w:r>
      <w:r>
        <w:rPr>
          <w:rFonts w:ascii="Times New Roman" w:hAnsi="Times New Roman"/>
          <w:sz w:val="20"/>
        </w:rPr>
        <w:t xml:space="preserve">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tbl>
      <w:tblPr>
        <w:tblW w:w="3332" w:type="dxa"/>
        <w:jc w:val="left"/>
        <w:tblInd w:w="0" w:type="dxa"/>
        <w:tblLayout w:type="fixed"/>
        <w:tblCellMar>
          <w:top w:w="28" w:type="dxa"/>
          <w:left w:w="28" w:type="dxa"/>
          <w:bottom w:w="28" w:type="dxa"/>
          <w:right w:w="28" w:type="dxa"/>
        </w:tblCellMar>
      </w:tblPr>
      <w:tblGrid>
        <w:gridCol w:w="271"/>
        <w:gridCol w:w="3061"/>
      </w:tblGrid>
      <w:tr>
        <w:trPr/>
        <w:tc>
          <w:tcPr>
            <w:tcW w:w="27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27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11</w:t>
            </w:r>
          </w:p>
        </w:tc>
        <w:tc>
          <w:tcPr>
            <w:tcW w:w="306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Note to Draft: For Koehler, Zinda.</w:t>
            </w:r>
          </w:p>
        </w:tc>
      </w:tr>
      <w:tr>
        <w:trPr/>
        <w:tc>
          <w:tcPr>
            <w:tcW w:w="2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12</w:t>
            </w:r>
          </w:p>
        </w:tc>
        <w:tc>
          <w:tcPr>
            <w:tcW w:w="30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Note to Draft: For Forte, Koehler, Zinda.</w:t>
            </w:r>
          </w:p>
        </w:tc>
      </w:tr>
      <w:tr>
        <w:trPr/>
        <w:tc>
          <w:tcPr>
            <w:tcW w:w="2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13</w:t>
            </w:r>
          </w:p>
        </w:tc>
        <w:tc>
          <w:tcPr>
            <w:tcW w:w="30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Note to Draft: For Segal.</w:t>
            </w:r>
          </w:p>
        </w:tc>
      </w:tr>
      <w:tr>
        <w:trPr/>
        <w:tc>
          <w:tcPr>
            <w:tcW w:w="2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14</w:t>
            </w:r>
          </w:p>
        </w:tc>
        <w:tc>
          <w:tcPr>
            <w:tcW w:w="30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Note to Draft: For Koehler, Zinda.</w:t>
            </w:r>
          </w:p>
        </w:tc>
      </w:tr>
      <w:tr>
        <w:trPr/>
        <w:tc>
          <w:tcPr>
            <w:tcW w:w="2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15</w:t>
            </w:r>
          </w:p>
        </w:tc>
        <w:tc>
          <w:tcPr>
            <w:tcW w:w="30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Note to Draft: For Forte, Koehler, Zinda.</w:t>
            </w:r>
          </w:p>
        </w:tc>
      </w:tr>
    </w:tbl>
    <w:p>
      <w:pPr>
        <w:pStyle w:val="TextBody"/>
        <w:bidi w:val="0"/>
        <w:spacing w:before="120" w:after="240"/>
        <w:jc w:val="both"/>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aps/>
          <w:sz w:val="22"/>
        </w:rPr>
      </w:pPr>
      <w:r>
        <w:rPr>
          <w:rFonts w:ascii="Times New Roman" w:hAnsi="Times New Roman"/>
          <w:b/>
          <w:caps/>
          <w:sz w:val="22"/>
        </w:rPr>
        <w:t>5.</w:t>
      </w:r>
    </w:p>
    <w:p>
      <w:pPr>
        <w:pStyle w:val="TextBody"/>
        <w:bidi w:val="0"/>
        <w:spacing w:before="0" w:after="240"/>
        <w:jc w:val="both"/>
        <w:rPr/>
      </w:pPr>
      <w:r>
        <w:rPr>
          <w:rFonts w:ascii="Times New Roman;serif" w:hAnsi="Times New Roman;serif"/>
          <w:b w:val="false"/>
          <w:sz w:val="22"/>
        </w:rPr>
        <w:t>[The [third]</w:t>
      </w:r>
      <w:r>
        <w:rPr>
          <w:rFonts w:ascii="Times New Roman;serif" w:hAnsi="Times New Roman;serif"/>
          <w:b w:val="false"/>
          <w:sz w:val="15"/>
        </w:rPr>
        <w:t>16</w:t>
      </w:r>
      <w:r>
        <w:rPr/>
        <w:t xml:space="preserve"> </w:t>
      </w:r>
      <w:r>
        <w:rPr>
          <w:rFonts w:ascii="Times New Roman;serif" w:hAnsi="Times New Roman;serif"/>
          <w:b w:val="false"/>
          <w:sz w:val="22"/>
        </w:rPr>
        <w:t>[fourth]</w:t>
      </w:r>
      <w:r>
        <w:rPr>
          <w:rFonts w:ascii="Times New Roman;serif" w:hAnsi="Times New Roman;serif"/>
          <w:b w:val="false"/>
          <w:sz w:val="15"/>
        </w:rPr>
        <w:t>17</w:t>
      </w:r>
      <w:r>
        <w:rPr/>
        <w:t xml:space="preserve"> </w:t>
      </w:r>
      <w:r>
        <w:rPr>
          <w:rFonts w:ascii="Times New Roman;serif" w:hAnsi="Times New Roman;serif"/>
          <w:b w:val="false"/>
          <w:sz w:val="22"/>
        </w:rPr>
        <w:t>sentence of the second paragraph of Section 9 of the Employment Agreement is hereby deleted and replaced in its entirety with the following:</w:t>
      </w:r>
    </w:p>
    <w:p>
      <w:pPr>
        <w:pStyle w:val="TextBody"/>
        <w:bidi w:val="0"/>
        <w:spacing w:before="0" w:after="240"/>
        <w:jc w:val="both"/>
        <w:rPr/>
      </w:pPr>
      <w:r>
        <w:rPr/>
        <w:t>“</w:t>
      </w:r>
      <w:r>
        <w:rPr>
          <w:rFonts w:ascii="Times New Roman;serif" w:hAnsi="Times New Roman;serif"/>
          <w:b w:val="false"/>
          <w:sz w:val="22"/>
        </w:rPr>
        <w:t>If the Company elects to enforce the provisions of this Section 9 then the Executive shall receive the greater of (x) continuing salary payments for one year following the Termination Date at a rate equal to no less than 50% of the highest annualized base salary paid to the Executive by the Company within the two years prior to the Executive’s Termination Date (“</w:t>
      </w:r>
      <w:r>
        <w:rPr>
          <w:rFonts w:ascii="Times New Roman;serif" w:hAnsi="Times New Roman;serif"/>
          <w:b/>
          <w:sz w:val="22"/>
          <w:u w:val="single"/>
        </w:rPr>
        <w:t>Garden Leave Payments</w:t>
      </w:r>
      <w:r>
        <w:rPr>
          <w:rFonts w:ascii="Times New Roman" w:hAnsi="Times New Roman"/>
          <w:sz w:val="20"/>
        </w:rPr>
        <w:t>”</w:t>
      </w:r>
      <w:r>
        <w:rPr>
          <w:rFonts w:ascii="Times New Roman;serif" w:hAnsi="Times New Roman;serif"/>
          <w:b w:val="false"/>
          <w:sz w:val="22"/>
        </w:rPr>
        <w:t>), and (y) the sum of (I) accelerated vesting of all of the Executive’s stock options that are subject to a time-based vesting schedule which would have vested if the Executive had remained employed for an additional 12 months following the Termination Date, which, for such purposes, the value shall be determined as (1) (x) the number of shares underlying the stock options eligible to vest during such period multiplied by (y) the volume weighted average trading price of Repare’s common shares over the 30 trading days prior to the Termination Date minus (2) the aggregate exercise price for such stock options which are eligible to vest, and (II) accelerated vesting of a prorated portion of all other outstanding equity awards (including, without limitation, restricted stock unit awards) that are subject to a time-based vesting schedule and that are held by the Executive shall vest effective as of the Termination Date, representing a total of 12 months of additional vesting, as if each award vested on a monthly basis and without regard to the original vesting schedule (e.g., for purposes of illustration only, to the extent the next scheduled vesting tranche of such an award was an annual cliff, 12/12 of such tranche would vest), which, for such purposes, the value shall be determined as (1) the number of shares underlying such other outstanding equity awards that are eligible to vest multiplied by (2) the volume weighted average trading price of Repare’s common shares over the 30 trading days prior to the Termination Date.”]</w:t>
      </w:r>
    </w:p>
    <w:p>
      <w:pPr>
        <w:pStyle w:val="TextBody"/>
        <w:bidi w:val="0"/>
        <w:spacing w:before="0" w:after="240"/>
        <w:jc w:val="both"/>
        <w:rPr>
          <w:rFonts w:ascii="Times New Roman" w:hAnsi="Times New Roman"/>
          <w:b/>
          <w:caps/>
          <w:sz w:val="22"/>
        </w:rPr>
      </w:pPr>
      <w:r>
        <w:rPr>
          <w:rFonts w:ascii="Times New Roman" w:hAnsi="Times New Roman"/>
          <w:b/>
          <w:caps/>
          <w:sz w:val="22"/>
        </w:rPr>
        <w:t>6.</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Except as otherwise expressly amended by this Amendment, the Employment Agreement shall remain in full force and effect. The Employment Agreement and this Amendment, together with those documents or other agreements between the parties expressly referenced or otherwise incorporated therein, set forth the entire understanding between the parties with regard to the subject matter hereof and supersede any prior oral discussions or written communications and agreements. This Amendment cannot be modified or amended except in writing signed by the Executive and an authorized officer of the Company.</w:t>
      </w:r>
    </w:p>
    <w:p>
      <w:pPr>
        <w:pStyle w:val="TextBody"/>
        <w:bidi w:val="0"/>
        <w:spacing w:before="0" w:after="240"/>
        <w:jc w:val="center"/>
        <w:rPr>
          <w:rFonts w:ascii="Times New Roman" w:hAnsi="Times New Roman"/>
          <w:sz w:val="20"/>
        </w:rPr>
      </w:pPr>
      <w:r>
        <w:rPr>
          <w:rFonts w:ascii="Times New Roman;serif" w:hAnsi="Times New Roman;serif"/>
          <w:b w:val="false"/>
          <w:sz w:val="22"/>
        </w:rPr>
        <w:t>[</w:t>
      </w:r>
      <w:r>
        <w:rPr>
          <w:rFonts w:ascii="Times New Roman;serif" w:hAnsi="Times New Roman;serif"/>
          <w:b w:val="false"/>
          <w:i/>
          <w:sz w:val="22"/>
        </w:rPr>
        <w:t>Signature page follows</w:t>
      </w:r>
      <w:r>
        <w:rPr>
          <w:rFonts w:ascii="Times New Roman;serif" w:hAnsi="Times New Roman;serif"/>
          <w:b w:val="false"/>
          <w:sz w:val="22"/>
        </w:rPr>
        <w:t>]</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tbl>
      <w:tblPr>
        <w:tblW w:w="2372" w:type="dxa"/>
        <w:jc w:val="left"/>
        <w:tblInd w:w="0" w:type="dxa"/>
        <w:tblLayout w:type="fixed"/>
        <w:tblCellMar>
          <w:top w:w="28" w:type="dxa"/>
          <w:left w:w="28" w:type="dxa"/>
          <w:bottom w:w="28" w:type="dxa"/>
          <w:right w:w="28" w:type="dxa"/>
        </w:tblCellMar>
      </w:tblPr>
      <w:tblGrid>
        <w:gridCol w:w="271"/>
        <w:gridCol w:w="2101"/>
      </w:tblGrid>
      <w:tr>
        <w:trPr/>
        <w:tc>
          <w:tcPr>
            <w:tcW w:w="27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7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16</w:t>
            </w:r>
          </w:p>
        </w:tc>
        <w:tc>
          <w:tcPr>
            <w:tcW w:w="210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Note to Draft: For Zinda.</w:t>
            </w:r>
          </w:p>
        </w:tc>
      </w:tr>
      <w:tr>
        <w:trPr/>
        <w:tc>
          <w:tcPr>
            <w:tcW w:w="2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4"/>
              </w:rPr>
            </w:pPr>
            <w:r>
              <w:rPr>
                <w:rFonts w:ascii="Times New Roman;serif" w:hAnsi="Times New Roman;serif"/>
                <w:b w:val="false"/>
                <w:sz w:val="14"/>
              </w:rPr>
              <w:t>17</w:t>
            </w:r>
          </w:p>
        </w:tc>
        <w:tc>
          <w:tcPr>
            <w:tcW w:w="21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Note to Draft: For Koehler.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The parties have executed this Amendment to Employment Agreement on the day and year first written above.</w:t>
      </w:r>
    </w:p>
    <w:p>
      <w:pPr>
        <w:pStyle w:val="TextBody"/>
        <w:bidi w:val="0"/>
        <w:spacing w:before="0" w:after="0"/>
        <w:jc w:val="both"/>
        <w:rPr>
          <w:rFonts w:ascii="Times New Roman;serif" w:hAnsi="Times New Roman;serif"/>
          <w:b/>
          <w:smallCaps/>
          <w:sz w:val="22"/>
        </w:rPr>
      </w:pPr>
      <w:r>
        <w:rPr>
          <w:rFonts w:ascii="Times New Roman;serif" w:hAnsi="Times New Roman;serif"/>
          <w:b/>
          <w:smallCaps/>
          <w:sz w:val="22"/>
        </w:rPr>
        <w:t>[Repare Therapeutics Inc.] [Repare Therapeutics USA Inc.]</w:t>
      </w:r>
    </w:p>
    <w:tbl>
      <w:tblPr>
        <w:tblW w:w="837" w:type="dxa"/>
        <w:jc w:val="left"/>
        <w:tblInd w:w="0" w:type="dxa"/>
        <w:tblLayout w:type="fixed"/>
        <w:tblCellMar>
          <w:top w:w="28" w:type="dxa"/>
          <w:left w:w="28" w:type="dxa"/>
          <w:bottom w:w="28" w:type="dxa"/>
          <w:right w:w="28" w:type="dxa"/>
        </w:tblCellMar>
      </w:tblPr>
      <w:tblGrid>
        <w:gridCol w:w="646"/>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rFonts w:ascii="Times New Roman;serif" w:hAnsi="Times New Roman;serif"/>
          <w:b/>
          <w:smallCaps/>
          <w:sz w:val="22"/>
        </w:rPr>
      </w:pPr>
      <w:r>
        <w:rPr>
          <w:rFonts w:ascii="Times New Roman;serif" w:hAnsi="Times New Roman;serif"/>
          <w:b/>
          <w:smallCaps/>
          <w:sz w:val="22"/>
        </w:rPr>
        <w:t>Executive:</w:t>
      </w:r>
    </w:p>
    <w:p>
      <w:pPr>
        <w:pStyle w:val="TextBody"/>
        <w:bidi w:val="0"/>
        <w:spacing w:before="0" w:after="0"/>
        <w:jc w:val="both"/>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283"/>
              <w:jc w:val="left"/>
              <w:rPr>
                <w:sz w:val="4"/>
                <w:szCs w:val="4"/>
              </w:rPr>
            </w:pPr>
            <w:r>
              <w:rPr>
                <w:sz w:val="4"/>
                <w:szCs w:val="4"/>
              </w:rPr>
            </w:r>
          </w:p>
        </w:tc>
      </w:tr>
      <w:tr>
        <w:trPr/>
        <w:tc>
          <w:tcPr>
            <w:tcW w:w="16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serif" w:hAnsi="Times New Roman;serif"/>
                <w:b w:val="false"/>
                <w:sz w:val="22"/>
              </w:rPr>
            </w:pPr>
            <w:r>
              <w:rPr>
                <w:rFonts w:ascii="Times New Roman;serif" w:hAnsi="Times New Roman;serif"/>
                <w:b w:val="false"/>
                <w:sz w:val="22"/>
              </w:rPr>
              <w:t>[_____]</w:t>
            </w:r>
          </w:p>
        </w:tc>
      </w:tr>
    </w:tbl>
    <w:p>
      <w:pPr>
        <w:pStyle w:val="TextBody"/>
        <w:bidi w:val="0"/>
        <w:spacing w:before="0" w:after="0"/>
        <w:jc w:val="both"/>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7" w:name="rptx-ex31_1.htm"/>
      <w:bookmarkStart w:id="28" w:name="ksrptxex31_1"/>
      <w:bookmarkEnd w:id="27"/>
      <w:bookmarkEnd w:id="28"/>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31.1</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Lloyd M. Segal, certify that:</w:t>
      </w:r>
    </w:p>
    <w:p>
      <w:pPr>
        <w:pStyle w:val="TextBody"/>
        <w:bidi w:val="0"/>
        <w:spacing w:before="240" w:after="0"/>
        <w:jc w:val="both"/>
        <w:rPr>
          <w:rFonts w:ascii="Times New Roman" w:hAnsi="Times New Roman"/>
          <w:b w:val="false"/>
          <w:sz w:val="20"/>
        </w:rPr>
      </w:pPr>
      <w:r>
        <w:rPr>
          <w:rFonts w:ascii="Times New Roman" w:hAnsi="Times New Roman"/>
          <w:b w:val="false"/>
          <w:sz w:val="20"/>
        </w:rPr>
        <w:t>1.</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 have reviewed this Quarterly Report on Form 10-Q of Repare Therapeutics Inc.;</w:t>
      </w:r>
    </w:p>
    <w:p>
      <w:pPr>
        <w:pStyle w:val="TextBody"/>
        <w:bidi w:val="0"/>
        <w:spacing w:before="240" w:after="0"/>
        <w:jc w:val="both"/>
        <w:rPr>
          <w:rFonts w:ascii="Times New Roman" w:hAnsi="Times New Roman"/>
          <w:b w:val="false"/>
          <w:sz w:val="20"/>
        </w:rPr>
      </w:pPr>
      <w:r>
        <w:rPr>
          <w:rFonts w:ascii="Times New Roman" w:hAnsi="Times New Roman"/>
          <w:b w:val="false"/>
          <w:sz w:val="20"/>
        </w:rPr>
        <w:t>2.</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both"/>
        <w:rPr>
          <w:rFonts w:ascii="Times New Roman" w:hAnsi="Times New Roman"/>
          <w:b w:val="false"/>
          <w:sz w:val="20"/>
        </w:rPr>
      </w:pPr>
      <w:r>
        <w:rPr>
          <w:rFonts w:ascii="Times New Roman" w:hAnsi="Times New Roman"/>
          <w:b w:val="false"/>
          <w:sz w:val="20"/>
        </w:rPr>
        <w:t>3.</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both"/>
        <w:rPr>
          <w:rFonts w:ascii="Times New Roman" w:hAnsi="Times New Roman"/>
          <w:b w:val="false"/>
          <w:sz w:val="20"/>
        </w:rPr>
      </w:pPr>
      <w:r>
        <w:rPr>
          <w:rFonts w:ascii="Times New Roman" w:hAnsi="Times New Roman"/>
          <w:b w:val="false"/>
          <w:sz w:val="20"/>
        </w:rPr>
        <w:t>4.</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both"/>
        <w:rPr>
          <w:rFonts w:ascii="Times New Roman" w:hAnsi="Times New Roman"/>
          <w:b w:val="false"/>
          <w:sz w:val="20"/>
        </w:rPr>
      </w:pPr>
      <w:r>
        <w:rPr>
          <w:rFonts w:ascii="Times New Roman" w:hAnsi="Times New Roman"/>
          <w:b w:val="false"/>
          <w:sz w:val="20"/>
        </w:rPr>
        <w:t>(a)</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both"/>
        <w:rPr>
          <w:rFonts w:ascii="Times New Roman" w:hAnsi="Times New Roman"/>
          <w:b w:val="false"/>
          <w:sz w:val="20"/>
        </w:rPr>
      </w:pPr>
      <w:r>
        <w:rPr>
          <w:rFonts w:ascii="Times New Roman" w:hAnsi="Times New Roman"/>
          <w:b w:val="false"/>
          <w:sz w:val="20"/>
        </w:rPr>
        <w:t>(b)</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both"/>
        <w:rPr>
          <w:rFonts w:ascii="Times New Roman" w:hAnsi="Times New Roman"/>
          <w:b w:val="false"/>
          <w:sz w:val="20"/>
        </w:rPr>
      </w:pPr>
      <w:r>
        <w:rPr>
          <w:rFonts w:ascii="Times New Roman" w:hAnsi="Times New Roman"/>
          <w:b w:val="false"/>
          <w:sz w:val="20"/>
        </w:rPr>
        <w:t>(c)</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both"/>
        <w:rPr>
          <w:rFonts w:ascii="Times New Roman" w:hAnsi="Times New Roman"/>
          <w:b w:val="false"/>
          <w:sz w:val="20"/>
        </w:rPr>
      </w:pPr>
      <w:r>
        <w:rPr>
          <w:rFonts w:ascii="Times New Roman" w:hAnsi="Times New Roman"/>
          <w:b w:val="false"/>
          <w:sz w:val="20"/>
        </w:rPr>
        <w:t>(d)</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240" w:after="0"/>
        <w:jc w:val="both"/>
        <w:rPr>
          <w:rFonts w:ascii="Times New Roman" w:hAnsi="Times New Roman"/>
          <w:b w:val="false"/>
          <w:sz w:val="20"/>
        </w:rPr>
      </w:pPr>
      <w:r>
        <w:rPr>
          <w:rFonts w:ascii="Times New Roman" w:hAnsi="Times New Roman"/>
          <w:b w:val="false"/>
          <w:sz w:val="20"/>
        </w:rPr>
        <w:t>5.</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both"/>
        <w:rPr>
          <w:rFonts w:ascii="Times New Roman" w:hAnsi="Times New Roman"/>
          <w:b w:val="false"/>
          <w:sz w:val="20"/>
        </w:rPr>
      </w:pPr>
      <w:r>
        <w:rPr>
          <w:rFonts w:ascii="Times New Roman" w:hAnsi="Times New Roman"/>
          <w:b w:val="false"/>
          <w:sz w:val="20"/>
        </w:rPr>
        <w:t>(a)</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40"/>
        <w:jc w:val="both"/>
        <w:rPr>
          <w:rFonts w:ascii="Times New Roman" w:hAnsi="Times New Roman"/>
          <w:b w:val="false"/>
          <w:sz w:val="20"/>
        </w:rPr>
      </w:pPr>
      <w:r>
        <w:rPr>
          <w:rFonts w:ascii="Times New Roman" w:hAnsi="Times New Roman"/>
          <w:b w:val="false"/>
          <w:sz w:val="20"/>
        </w:rPr>
        <w:t>(b)</w:t>
      </w:r>
    </w:p>
    <w:p>
      <w:pPr>
        <w:pStyle w:val="TextBody"/>
        <w:bidi w:val="0"/>
        <w:spacing w:before="120" w:after="240"/>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tbl>
      <w:tblPr>
        <w:tblW w:w="5572" w:type="dxa"/>
        <w:jc w:val="left"/>
        <w:tblInd w:w="0" w:type="dxa"/>
        <w:tblLayout w:type="fixed"/>
        <w:tblCellMar>
          <w:top w:w="28" w:type="dxa"/>
          <w:left w:w="28" w:type="dxa"/>
          <w:bottom w:w="28" w:type="dxa"/>
          <w:right w:w="28" w:type="dxa"/>
        </w:tblCellMar>
      </w:tblPr>
      <w:tblGrid>
        <w:gridCol w:w="1846"/>
        <w:gridCol w:w="109"/>
        <w:gridCol w:w="40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Lloyd M. Segal</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Lloyd M. Segal</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r>
    </w:tbl>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9" w:name="rptx-ex31_2.htm"/>
      <w:bookmarkStart w:id="30" w:name="ksrptxex31_2"/>
      <w:bookmarkEnd w:id="29"/>
      <w:bookmarkEnd w:id="30"/>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Steve Forte, certify that:</w:t>
      </w:r>
    </w:p>
    <w:p>
      <w:pPr>
        <w:pStyle w:val="TextBody"/>
        <w:bidi w:val="0"/>
        <w:spacing w:before="240" w:after="0"/>
        <w:jc w:val="both"/>
        <w:rPr>
          <w:rFonts w:ascii="Times New Roman" w:hAnsi="Times New Roman"/>
          <w:b w:val="false"/>
          <w:sz w:val="20"/>
        </w:rPr>
      </w:pPr>
      <w:r>
        <w:rPr>
          <w:rFonts w:ascii="Times New Roman" w:hAnsi="Times New Roman"/>
          <w:b w:val="false"/>
          <w:sz w:val="20"/>
        </w:rPr>
        <w:t>1.</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 have reviewed this Quarterly Report on Form 10-Q of Repare Therapeutics Inc.;</w:t>
      </w:r>
    </w:p>
    <w:p>
      <w:pPr>
        <w:pStyle w:val="TextBody"/>
        <w:bidi w:val="0"/>
        <w:spacing w:before="240" w:after="0"/>
        <w:jc w:val="both"/>
        <w:rPr>
          <w:rFonts w:ascii="Times New Roman" w:hAnsi="Times New Roman"/>
          <w:b w:val="false"/>
          <w:sz w:val="20"/>
        </w:rPr>
      </w:pPr>
      <w:r>
        <w:rPr>
          <w:rFonts w:ascii="Times New Roman" w:hAnsi="Times New Roman"/>
          <w:b w:val="false"/>
          <w:sz w:val="20"/>
        </w:rPr>
        <w:t>2.</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both"/>
        <w:rPr>
          <w:rFonts w:ascii="Times New Roman" w:hAnsi="Times New Roman"/>
          <w:b w:val="false"/>
          <w:sz w:val="20"/>
        </w:rPr>
      </w:pPr>
      <w:r>
        <w:rPr>
          <w:rFonts w:ascii="Times New Roman" w:hAnsi="Times New Roman"/>
          <w:b w:val="false"/>
          <w:sz w:val="20"/>
        </w:rPr>
        <w:t>3.</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both"/>
        <w:rPr>
          <w:rFonts w:ascii="Times New Roman" w:hAnsi="Times New Roman"/>
          <w:b w:val="false"/>
          <w:sz w:val="20"/>
        </w:rPr>
      </w:pPr>
      <w:r>
        <w:rPr>
          <w:rFonts w:ascii="Times New Roman" w:hAnsi="Times New Roman"/>
          <w:b w:val="false"/>
          <w:sz w:val="20"/>
        </w:rPr>
        <w:t>4.</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both"/>
        <w:rPr>
          <w:rFonts w:ascii="Times New Roman" w:hAnsi="Times New Roman"/>
          <w:b w:val="false"/>
          <w:sz w:val="20"/>
        </w:rPr>
      </w:pPr>
      <w:r>
        <w:rPr>
          <w:rFonts w:ascii="Times New Roman" w:hAnsi="Times New Roman"/>
          <w:b w:val="false"/>
          <w:sz w:val="20"/>
        </w:rPr>
        <w:t>(a)</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both"/>
        <w:rPr>
          <w:rFonts w:ascii="Times New Roman" w:hAnsi="Times New Roman"/>
          <w:b w:val="false"/>
          <w:sz w:val="20"/>
        </w:rPr>
      </w:pPr>
      <w:r>
        <w:rPr>
          <w:rFonts w:ascii="Times New Roman" w:hAnsi="Times New Roman"/>
          <w:b w:val="false"/>
          <w:sz w:val="20"/>
        </w:rPr>
        <w:t>(b)</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both"/>
        <w:rPr>
          <w:rFonts w:ascii="Times New Roman" w:hAnsi="Times New Roman"/>
          <w:b w:val="false"/>
          <w:sz w:val="20"/>
        </w:rPr>
      </w:pPr>
      <w:r>
        <w:rPr>
          <w:rFonts w:ascii="Times New Roman" w:hAnsi="Times New Roman"/>
          <w:b w:val="false"/>
          <w:sz w:val="20"/>
        </w:rPr>
        <w:t>(c)</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both"/>
        <w:rPr>
          <w:rFonts w:ascii="Times New Roman" w:hAnsi="Times New Roman"/>
          <w:b w:val="false"/>
          <w:sz w:val="20"/>
        </w:rPr>
      </w:pPr>
      <w:r>
        <w:rPr>
          <w:rFonts w:ascii="Times New Roman" w:hAnsi="Times New Roman"/>
          <w:b w:val="false"/>
          <w:sz w:val="20"/>
        </w:rPr>
        <w:t>(d)</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240" w:after="0"/>
        <w:jc w:val="both"/>
        <w:rPr>
          <w:rFonts w:ascii="Times New Roman" w:hAnsi="Times New Roman"/>
          <w:b w:val="false"/>
          <w:sz w:val="20"/>
        </w:rPr>
      </w:pPr>
      <w:r>
        <w:rPr>
          <w:rFonts w:ascii="Times New Roman" w:hAnsi="Times New Roman"/>
          <w:b w:val="false"/>
          <w:sz w:val="20"/>
        </w:rPr>
        <w:t>5.</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both"/>
        <w:rPr>
          <w:rFonts w:ascii="Times New Roman" w:hAnsi="Times New Roman"/>
          <w:b w:val="false"/>
          <w:sz w:val="20"/>
        </w:rPr>
      </w:pPr>
      <w:r>
        <w:rPr>
          <w:rFonts w:ascii="Times New Roman" w:hAnsi="Times New Roman"/>
          <w:b w:val="false"/>
          <w:sz w:val="20"/>
        </w:rPr>
        <w:t>(a)</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40"/>
        <w:jc w:val="both"/>
        <w:rPr>
          <w:rFonts w:ascii="Times New Roman" w:hAnsi="Times New Roman"/>
          <w:b w:val="false"/>
          <w:sz w:val="20"/>
        </w:rPr>
      </w:pPr>
      <w:r>
        <w:rPr>
          <w:rFonts w:ascii="Times New Roman" w:hAnsi="Times New Roman"/>
          <w:b w:val="false"/>
          <w:sz w:val="20"/>
        </w:rPr>
        <w:t>(b)</w:t>
      </w:r>
    </w:p>
    <w:p>
      <w:pPr>
        <w:pStyle w:val="TextBody"/>
        <w:bidi w:val="0"/>
        <w:spacing w:before="120" w:after="240"/>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tbl>
      <w:tblPr>
        <w:tblW w:w="6502" w:type="dxa"/>
        <w:jc w:val="left"/>
        <w:tblInd w:w="0" w:type="dxa"/>
        <w:tblLayout w:type="fixed"/>
        <w:tblCellMar>
          <w:top w:w="28" w:type="dxa"/>
          <w:left w:w="28" w:type="dxa"/>
          <w:bottom w:w="28" w:type="dxa"/>
          <w:right w:w="28" w:type="dxa"/>
        </w:tblCellMar>
      </w:tblPr>
      <w:tblGrid>
        <w:gridCol w:w="1846"/>
        <w:gridCol w:w="109"/>
        <w:gridCol w:w="406"/>
        <w:gridCol w:w="414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14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Steve Forte</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Steve Forte</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Executive Vice President, Chief Financial Officer</w:t>
            </w:r>
          </w:p>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1" w:name="rptx-ex32_1.htm"/>
      <w:bookmarkStart w:id="32" w:name="ksrptxex32_1"/>
      <w:bookmarkEnd w:id="31"/>
      <w:bookmarkEnd w:id="32"/>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connection with the Quarterly Report on Form 10-Q of Repare Therapeutics Inc. (the “Company”) for the period ended June 30, 2023 as filed with the Securities and Exchange Commission on the date hereof (the “Report”), I, Lloyd M. Segal, President and Chief Executive Officer of the Company, hereby certify, pursuant to 18 U.S.C. § 1350, as adopted pursuant to § 906 of the Sarbanes-Oxley Act of 2002, that, to the best of my knowledge:</w:t>
      </w:r>
    </w:p>
    <w:p>
      <w:pPr>
        <w:pStyle w:val="TextBody"/>
        <w:bidi w:val="0"/>
        <w:spacing w:before="240" w:after="0"/>
        <w:jc w:val="both"/>
        <w:rPr>
          <w:rFonts w:ascii="Times New Roman" w:hAnsi="Times New Roman"/>
          <w:b w:val="false"/>
          <w:sz w:val="20"/>
        </w:rPr>
      </w:pPr>
      <w:r>
        <w:rPr>
          <w:rFonts w:ascii="Times New Roman" w:hAnsi="Times New Roman"/>
          <w:b w:val="false"/>
          <w:sz w:val="20"/>
        </w:rPr>
        <w:t>(1)</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both"/>
        <w:rPr>
          <w:rFonts w:ascii="Times New Roman" w:hAnsi="Times New Roman"/>
          <w:b w:val="false"/>
          <w:sz w:val="20"/>
        </w:rPr>
      </w:pPr>
      <w:r>
        <w:rPr>
          <w:rFonts w:ascii="Times New Roman" w:hAnsi="Times New Roman"/>
          <w:b w:val="false"/>
          <w:sz w:val="20"/>
        </w:rPr>
        <w:t>(2)</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5203" w:type="dxa"/>
        <w:jc w:val="left"/>
        <w:tblInd w:w="0" w:type="dxa"/>
        <w:tblLayout w:type="fixed"/>
        <w:tblCellMar>
          <w:top w:w="28" w:type="dxa"/>
          <w:left w:w="28" w:type="dxa"/>
          <w:bottom w:w="28" w:type="dxa"/>
          <w:right w:w="28" w:type="dxa"/>
        </w:tblCellMar>
      </w:tblPr>
      <w:tblGrid>
        <w:gridCol w:w="1846"/>
        <w:gridCol w:w="14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2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Lloyd M. Segal</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Lloyd M. Segal</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3" w:name="rptx-ex32_2.htm"/>
      <w:bookmarkStart w:id="34" w:name="ksrptxex32_2"/>
      <w:bookmarkEnd w:id="33"/>
      <w:bookmarkEnd w:id="34"/>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32.2</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connection with the Quarterly Report on Form 10-Q of Repare Therapeutics Inc. (the “Company”) for the period ended June 30, 2023 as filed with the Securities and Exchange Commission on the date hereof (the “Report”), I, Steve Forte, Chief Financial Officer of the Company, hereby certify, pursuant to 18 U.S.C. § 1350, as adopted pursuant to § 906 of the Sarbanes-Oxley Act of 2002, that, to the best of my knowledge:</w:t>
      </w:r>
    </w:p>
    <w:p>
      <w:pPr>
        <w:pStyle w:val="TextBody"/>
        <w:bidi w:val="0"/>
        <w:spacing w:before="240" w:after="0"/>
        <w:jc w:val="both"/>
        <w:rPr>
          <w:rFonts w:ascii="Times New Roman" w:hAnsi="Times New Roman"/>
          <w:b w:val="false"/>
          <w:sz w:val="20"/>
        </w:rPr>
      </w:pPr>
      <w:r>
        <w:rPr>
          <w:rFonts w:ascii="Times New Roman" w:hAnsi="Times New Roman"/>
          <w:b w:val="false"/>
          <w:sz w:val="20"/>
        </w:rPr>
        <w:t>(1)</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both"/>
        <w:rPr>
          <w:rFonts w:ascii="Times New Roman" w:hAnsi="Times New Roman"/>
          <w:b w:val="false"/>
          <w:sz w:val="20"/>
        </w:rPr>
      </w:pPr>
      <w:r>
        <w:rPr>
          <w:rFonts w:ascii="Times New Roman" w:hAnsi="Times New Roman"/>
          <w:b w:val="false"/>
          <w:sz w:val="20"/>
        </w:rPr>
        <w:t>(2)</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6133" w:type="dxa"/>
        <w:jc w:val="left"/>
        <w:tblInd w:w="0" w:type="dxa"/>
        <w:tblLayout w:type="fixed"/>
        <w:tblCellMar>
          <w:top w:w="28" w:type="dxa"/>
          <w:left w:w="28" w:type="dxa"/>
          <w:bottom w:w="28" w:type="dxa"/>
          <w:right w:w="28" w:type="dxa"/>
        </w:tblCellMar>
      </w:tblPr>
      <w:tblGrid>
        <w:gridCol w:w="1846"/>
        <w:gridCol w:w="146"/>
        <w:gridCol w:w="414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14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Steve Forte</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Steve Forte</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Executive Vice President, Chief Financial Officer</w:t>
            </w:r>
          </w:p>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w:t>
            </w:r>
            <w:r>
              <w:rPr>
                <w:rFonts w:ascii="Times New Roman;serif" w:hAnsi="Times New Roman;serif"/>
                <w:b w:val="false"/>
                <w:i/>
                <w:sz w:val="20"/>
              </w:rPr>
              <w:t>Principal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8158/000119312520176579/d920931dex31.htm" TargetMode="External"/><Relationship Id="rId3" Type="http://schemas.openxmlformats.org/officeDocument/2006/relationships/hyperlink" Target="https://www.sec.gov/Archives/edgar/data/1808158/000119312520176579/d920931dex31.htm" TargetMode="External"/><Relationship Id="rId4" Type="http://schemas.openxmlformats.org/officeDocument/2006/relationships/hyperlink" Target="https://www.sec.gov/Archives/edgar/data/1808158/000119312520176579/d920931dex32.htm" TargetMode="External"/><Relationship Id="rId5" Type="http://schemas.openxmlformats.org/officeDocument/2006/relationships/hyperlink" Target="https://www.sec.gov/Archives/edgar/data/1808158/000119312520176579/d920931d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26868</Words>
  <Characters>147492</Characters>
  <CharactersWithSpaces>175327</CharactersWithSpaces>
  <Paragraphs>5794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