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24, 2024</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Repare Therapeutics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6540" w:type="dxa"/>
            <w:vAlign w:val="bottom"/>
          </w:tcPr>
          <w:p>
            <w:pPr>
              <w:jc w:val="center"/>
              <w:ind w:right="2959"/>
              <w:spacing w:after="0"/>
              <w:rPr>
                <w:sz w:val="20"/>
                <w:szCs w:val="20"/>
                <w:color w:val="auto"/>
              </w:rPr>
            </w:pPr>
            <w:r>
              <w:rPr>
                <w:rFonts w:ascii="Times New Roman" w:cs="Times New Roman" w:eastAsia="Times New Roman" w:hAnsi="Times New Roman"/>
                <w:sz w:val="18"/>
                <w:szCs w:val="18"/>
                <w:b w:val="1"/>
                <w:bCs w:val="1"/>
                <w:color w:val="auto"/>
                <w:w w:val="99"/>
              </w:rPr>
              <w:t>Québec</w:t>
            </w:r>
          </w:p>
        </w:tc>
        <w:tc>
          <w:tcPr>
            <w:tcW w:w="1340" w:type="dxa"/>
            <w:vAlign w:val="bottom"/>
          </w:tcPr>
          <w:p>
            <w:pPr>
              <w:jc w:val="center"/>
              <w:ind w:left="14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8"/>
        </w:trPr>
        <w:tc>
          <w:tcPr>
            <w:tcW w:w="6540" w:type="dxa"/>
            <w:vAlign w:val="bottom"/>
          </w:tcPr>
          <w:p>
            <w:pPr>
              <w:jc w:val="center"/>
              <w:ind w:right="2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40" w:type="dxa"/>
            <w:vAlign w:val="bottom"/>
          </w:tcPr>
          <w:p>
            <w:pPr>
              <w:jc w:val="center"/>
              <w:ind w:left="1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540" w:type="dxa"/>
            <w:vAlign w:val="bottom"/>
          </w:tcPr>
          <w:p>
            <w:pPr>
              <w:jc w:val="center"/>
              <w:ind w:right="29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4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6540" w:type="dxa"/>
            <w:vAlign w:val="bottom"/>
          </w:tcPr>
          <w:p>
            <w:pPr>
              <w:jc w:val="center"/>
              <w:ind w:right="2939"/>
              <w:spacing w:after="0"/>
              <w:rPr>
                <w:sz w:val="20"/>
                <w:szCs w:val="20"/>
                <w:color w:val="auto"/>
              </w:rPr>
            </w:pPr>
            <w:r>
              <w:rPr>
                <w:rFonts w:ascii="Times New Roman" w:cs="Times New Roman" w:eastAsia="Times New Roman" w:hAnsi="Times New Roman"/>
                <w:sz w:val="18"/>
                <w:szCs w:val="18"/>
                <w:b w:val="1"/>
                <w:bCs w:val="1"/>
                <w:color w:val="auto"/>
              </w:rPr>
              <w:t>7171 Frederick-Banting, Building 2, Suite 270</w:t>
            </w:r>
          </w:p>
        </w:tc>
        <w:tc>
          <w:tcPr>
            <w:tcW w:w="1340" w:type="dxa"/>
            <w:vAlign w:val="bottom"/>
          </w:tcPr>
          <w:p>
            <w:pPr>
              <w:spacing w:after="0"/>
              <w:rPr>
                <w:sz w:val="24"/>
                <w:szCs w:val="24"/>
                <w:color w:val="auto"/>
              </w:rPr>
            </w:pPr>
          </w:p>
        </w:tc>
      </w:tr>
      <w:tr>
        <w:trPr>
          <w:trHeight w:val="214"/>
        </w:trPr>
        <w:tc>
          <w:tcPr>
            <w:tcW w:w="6540" w:type="dxa"/>
            <w:vAlign w:val="bottom"/>
          </w:tcPr>
          <w:p>
            <w:pPr>
              <w:jc w:val="center"/>
              <w:ind w:right="2939"/>
              <w:spacing w:after="0"/>
              <w:rPr>
                <w:sz w:val="20"/>
                <w:szCs w:val="20"/>
                <w:color w:val="auto"/>
              </w:rPr>
            </w:pPr>
            <w:r>
              <w:rPr>
                <w:rFonts w:ascii="Times New Roman" w:cs="Times New Roman" w:eastAsia="Times New Roman" w:hAnsi="Times New Roman"/>
                <w:sz w:val="18"/>
                <w:szCs w:val="18"/>
                <w:b w:val="1"/>
                <w:bCs w:val="1"/>
                <w:color w:val="auto"/>
                <w:w w:val="99"/>
              </w:rPr>
              <w:t>St-Laurent, Québec, Canada</w:t>
            </w:r>
          </w:p>
        </w:tc>
        <w:tc>
          <w:tcPr>
            <w:tcW w:w="1340" w:type="dxa"/>
            <w:vAlign w:val="bottom"/>
          </w:tcPr>
          <w:p>
            <w:pPr>
              <w:jc w:val="center"/>
              <w:ind w:left="141"/>
              <w:spacing w:after="0"/>
              <w:rPr>
                <w:sz w:val="20"/>
                <w:szCs w:val="20"/>
                <w:color w:val="auto"/>
              </w:rPr>
            </w:pPr>
            <w:r>
              <w:rPr>
                <w:rFonts w:ascii="Times New Roman" w:cs="Times New Roman" w:eastAsia="Times New Roman" w:hAnsi="Times New Roman"/>
                <w:sz w:val="18"/>
                <w:szCs w:val="18"/>
                <w:b w:val="1"/>
                <w:bCs w:val="1"/>
                <w:color w:val="auto"/>
              </w:rPr>
              <w:t>H4S 1Z9</w:t>
            </w:r>
          </w:p>
        </w:tc>
      </w:tr>
      <w:tr>
        <w:trPr>
          <w:trHeight w:val="190"/>
        </w:trPr>
        <w:tc>
          <w:tcPr>
            <w:tcW w:w="6540" w:type="dxa"/>
            <w:vAlign w:val="bottom"/>
          </w:tcPr>
          <w:p>
            <w:pPr>
              <w:jc w:val="center"/>
              <w:ind w:right="29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4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9"/>
        </w:trPr>
        <w:tc>
          <w:tcPr>
            <w:tcW w:w="6540" w:type="dxa"/>
            <w:vAlign w:val="bottom"/>
          </w:tcPr>
          <w:p>
            <w:pPr>
              <w:jc w:val="center"/>
              <w:ind w:left="2339"/>
              <w:spacing w:after="0"/>
              <w:rPr>
                <w:sz w:val="20"/>
                <w:szCs w:val="20"/>
                <w:color w:val="auto"/>
              </w:rPr>
            </w:pPr>
            <w:r>
              <w:rPr>
                <w:rFonts w:ascii="Times New Roman" w:cs="Times New Roman" w:eastAsia="Times New Roman" w:hAnsi="Times New Roman"/>
                <w:sz w:val="18"/>
                <w:szCs w:val="18"/>
                <w:b w:val="1"/>
                <w:bCs w:val="1"/>
                <w:color w:val="auto"/>
                <w:w w:val="99"/>
              </w:rPr>
              <w:t>Repare Therapeutics Inc. 2024 Inducement Plan</w:t>
            </w:r>
          </w:p>
        </w:tc>
        <w:tc>
          <w:tcPr>
            <w:tcW w:w="1340" w:type="dxa"/>
            <w:vAlign w:val="bottom"/>
          </w:tcPr>
          <w:p>
            <w:pPr>
              <w:spacing w:after="0"/>
              <w:rPr>
                <w:sz w:val="24"/>
                <w:szCs w:val="24"/>
                <w:color w:val="auto"/>
              </w:rPr>
            </w:pPr>
          </w:p>
        </w:tc>
      </w:tr>
      <w:tr>
        <w:trPr>
          <w:trHeight w:val="190"/>
        </w:trPr>
        <w:tc>
          <w:tcPr>
            <w:tcW w:w="6540" w:type="dxa"/>
            <w:vAlign w:val="bottom"/>
          </w:tcPr>
          <w:p>
            <w:pPr>
              <w:jc w:val="center"/>
              <w:ind w:left="2339"/>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c>
          <w:tcPr>
            <w:tcW w:w="1340" w:type="dxa"/>
            <w:vAlign w:val="bottom"/>
          </w:tcPr>
          <w:p>
            <w:pPr>
              <w:spacing w:after="0"/>
              <w:rPr>
                <w:sz w:val="16"/>
                <w:szCs w:val="16"/>
                <w:color w:val="auto"/>
              </w:rPr>
            </w:pPr>
          </w:p>
        </w:tc>
      </w:tr>
    </w:tbl>
    <w:p>
      <w:pPr>
        <w:spacing w:after="0" w:line="10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Lloyd M. Segal</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Repare Therapeutics USA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101 Main Street, Suite 1650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+1 857 412 7018</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0" w:lineRule="exact"/>
        <w:rPr>
          <w:sz w:val="24"/>
          <w:szCs w:val="24"/>
          <w:color w:val="auto"/>
        </w:rPr>
      </w:pPr>
    </w:p>
    <w:tbl>
      <w:tblPr>
        <w:tblLayout w:type="fixed"/>
        <w:tblInd w:w="166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52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15"/>
        </w:trPr>
        <w:tc>
          <w:tcPr>
            <w:tcW w:w="28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Divakar Gupta</w:t>
            </w:r>
          </w:p>
        </w:tc>
        <w:tc>
          <w:tcPr>
            <w:tcW w:w="526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rPr>
              <w:t>Robert Carelli</w:t>
            </w:r>
          </w:p>
        </w:tc>
      </w:tr>
      <w:tr>
        <w:trPr>
          <w:trHeight w:val="216"/>
        </w:trPr>
        <w:tc>
          <w:tcPr>
            <w:tcW w:w="28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Courtney T. Thorne</w:t>
            </w:r>
          </w:p>
        </w:tc>
        <w:tc>
          <w:tcPr>
            <w:tcW w:w="526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rPr>
              <w:t>Jeremy Sculnick</w:t>
            </w:r>
          </w:p>
        </w:tc>
      </w:tr>
      <w:tr>
        <w:trPr>
          <w:trHeight w:val="216"/>
        </w:trPr>
        <w:tc>
          <w:tcPr>
            <w:tcW w:w="28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Cooley LLP</w:t>
            </w:r>
          </w:p>
        </w:tc>
        <w:tc>
          <w:tcPr>
            <w:tcW w:w="526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Stikeman Elliott LLP</w:t>
            </w:r>
          </w:p>
        </w:tc>
      </w:tr>
      <w:tr>
        <w:trPr>
          <w:trHeight w:val="216"/>
        </w:trPr>
        <w:tc>
          <w:tcPr>
            <w:tcW w:w="28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500 Boylston Street</w:t>
            </w:r>
          </w:p>
        </w:tc>
        <w:tc>
          <w:tcPr>
            <w:tcW w:w="526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1155 René-Lévesque Blvd. West</w:t>
            </w:r>
          </w:p>
        </w:tc>
      </w:tr>
      <w:tr>
        <w:trPr>
          <w:trHeight w:val="216"/>
        </w:trPr>
        <w:tc>
          <w:tcPr>
            <w:tcW w:w="28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Boston, Massachusetts 02116</w:t>
            </w:r>
          </w:p>
        </w:tc>
        <w:tc>
          <w:tcPr>
            <w:tcW w:w="526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8"/>
              </w:rPr>
              <w:t>41st Floor</w:t>
            </w:r>
          </w:p>
        </w:tc>
      </w:tr>
      <w:tr>
        <w:trPr>
          <w:trHeight w:val="216"/>
        </w:trPr>
        <w:tc>
          <w:tcPr>
            <w:tcW w:w="28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+1 617 937 2300</w:t>
            </w:r>
          </w:p>
        </w:tc>
        <w:tc>
          <w:tcPr>
            <w:tcW w:w="526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rPr>
              <w:t>Montréal, Québec, Canada H3B 3V2</w:t>
            </w:r>
          </w:p>
        </w:tc>
      </w:tr>
      <w:tr>
        <w:trPr>
          <w:trHeight w:val="238"/>
        </w:trPr>
        <w:tc>
          <w:tcPr>
            <w:tcW w:w="2840" w:type="dxa"/>
            <w:vAlign w:val="bottom"/>
          </w:tcPr>
          <w:p>
            <w:pPr>
              <w:spacing w:after="0"/>
              <w:rPr>
                <w:sz w:val="20"/>
                <w:szCs w:val="20"/>
                <w:color w:val="auto"/>
              </w:rPr>
            </w:pPr>
          </w:p>
        </w:tc>
        <w:tc>
          <w:tcPr>
            <w:tcW w:w="526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rPr>
              <w:t>+1 514 397 3222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171450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4"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2"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42545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information called for by Part I of Form S-8 is omitted from this Registration Statement in accordance with Rule 428 of the Securities Act of 1933 (the “Securities Act”) and the instructions to Form S-8. In accordance with the rules and regulations of the Securities and Exchange Commission (the “SEC”) and the instructions to Form S-8, such documents are not being filed with the SEC either as part of this Registration Statement or as prospectuses or prospectus supplements pursuant to Rule 424.</w:t>
      </w:r>
    </w:p>
    <w:p>
      <w:pPr>
        <w:spacing w:after="0" w:line="39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incorporated by reference into this Registration Statement:</w:t>
      </w:r>
    </w:p>
    <w:p>
      <w:pPr>
        <w:spacing w:after="0" w:line="117" w:lineRule="exact"/>
        <w:rPr>
          <w:sz w:val="20"/>
          <w:szCs w:val="20"/>
          <w:color w:val="auto"/>
        </w:rPr>
      </w:pPr>
    </w:p>
    <w:p>
      <w:pPr>
        <w:ind w:left="680" w:hanging="244"/>
        <w:spacing w:after="0"/>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fiscal year ended December 31, 2023, filed with the Commission on </w:t>
      </w:r>
      <w:hyperlink r:id="rId18">
        <w:r>
          <w:rPr>
            <w:rFonts w:ascii="Times New Roman" w:cs="Times New Roman" w:eastAsia="Times New Roman" w:hAnsi="Times New Roman"/>
            <w:sz w:val="18"/>
            <w:szCs w:val="18"/>
            <w:u w:val="single" w:color="auto"/>
            <w:color w:val="0000EE"/>
          </w:rPr>
          <w:t>February 28,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the Registrant’s Annual Report on Form 10-K for the year ended December 31, 2023 from its definitive proxy statement on Schedule 14A, filed with the SEC on </w:t>
      </w:r>
      <w:hyperlink r:id="rId19">
        <w:r>
          <w:rPr>
            <w:rFonts w:ascii="Times New Roman" w:cs="Times New Roman" w:eastAsia="Times New Roman" w:hAnsi="Times New Roman"/>
            <w:sz w:val="18"/>
            <w:szCs w:val="18"/>
            <w:u w:val="single" w:color="auto"/>
            <w:color w:val="0000EE"/>
          </w:rPr>
          <w:t>April 26, 2024</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quarterly period ended March 31, 2024, filed with the Commission on </w:t>
      </w:r>
      <w:hyperlink r:id="rId20">
        <w:r>
          <w:rPr>
            <w:rFonts w:ascii="Times New Roman" w:cs="Times New Roman" w:eastAsia="Times New Roman" w:hAnsi="Times New Roman"/>
            <w:sz w:val="18"/>
            <w:szCs w:val="18"/>
            <w:u w:val="single" w:color="auto"/>
            <w:color w:val="0000EE"/>
          </w:rPr>
          <w:t>May 7,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60" w:firstLine="436"/>
        <w:spacing w:after="0" w:line="282" w:lineRule="auto"/>
        <w:tabs>
          <w:tab w:leader="none" w:pos="695"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Current Reports on Form 8-K filed with the Commission on </w:t>
      </w:r>
      <w:hyperlink r:id="rId21">
        <w:r>
          <w:rPr>
            <w:rFonts w:ascii="Times New Roman" w:cs="Times New Roman" w:eastAsia="Times New Roman" w:hAnsi="Times New Roman"/>
            <w:sz w:val="18"/>
            <w:szCs w:val="18"/>
            <w:u w:val="single" w:color="auto"/>
            <w:color w:val="0000EE"/>
          </w:rPr>
          <w:t>January 12, 2024</w:t>
        </w:r>
      </w:hyperlink>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January 25, 2024</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February 12,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4">
        <w:r>
          <w:rPr>
            <w:rFonts w:ascii="Times New Roman" w:cs="Times New Roman" w:eastAsia="Times New Roman" w:hAnsi="Times New Roman"/>
            <w:sz w:val="18"/>
            <w:szCs w:val="18"/>
            <w:u w:val="single" w:color="auto"/>
            <w:color w:val="0000EE"/>
          </w:rPr>
          <w:t>April 26,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(excluding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information furnished under Item 7.01 thereto); and</w:t>
      </w:r>
    </w:p>
    <w:p>
      <w:pPr>
        <w:spacing w:after="0" w:line="161" w:lineRule="exact"/>
        <w:rPr>
          <w:rFonts w:ascii="Times New Roman" w:cs="Times New Roman" w:eastAsia="Times New Roman" w:hAnsi="Times New Roman"/>
          <w:sz w:val="18"/>
          <w:szCs w:val="18"/>
          <w:color w:val="0000EE"/>
        </w:rPr>
      </w:pPr>
    </w:p>
    <w:p>
      <w:pPr>
        <w:ind w:right="220" w:firstLine="436"/>
        <w:spacing w:after="0" w:line="266" w:lineRule="auto"/>
        <w:tabs>
          <w:tab w:leader="none" w:pos="685" w:val="left"/>
        </w:tabs>
        <w:numPr>
          <w:ilvl w:val="0"/>
          <w:numId w:val="1"/>
        </w:numPr>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auto"/>
          </w:rPr>
          <w:t xml:space="preserve">the description of the common shares, no par value, of the Registrant, which is contained in the Registrant’s Registration Statement on </w:t>
        </w:r>
        <w:r>
          <w:rPr>
            <w:rFonts w:ascii="Times New Roman" w:cs="Times New Roman" w:eastAsia="Times New Roman" w:hAnsi="Times New Roman"/>
            <w:sz w:val="18"/>
            <w:szCs w:val="18"/>
            <w:u w:val="single" w:color="auto"/>
            <w:color w:val="0000EE"/>
          </w:rPr>
          <w:t>Form</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8-A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on June 16, 2020 (File No. 001-39335) under the Securities Exchange Act of 1934, as amended (the “Exchange Act”), including any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amendment or report filed for the purpose of updating such description.</w:t>
      </w:r>
    </w:p>
    <w:p>
      <w:pPr>
        <w:spacing w:after="0" w:line="176" w:lineRule="exact"/>
        <w:rPr>
          <w:rFonts w:ascii="Times New Roman" w:cs="Times New Roman" w:eastAsia="Times New Roman" w:hAnsi="Times New Roman"/>
          <w:sz w:val="18"/>
          <w:szCs w:val="18"/>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All documents, reports and definitive proxy or information statements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that indicates that all securities offered hereby have been sold or that deregisters all securities then remaining unsold shall be deemed to be incorporated by reference in this Registration Statement and to be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33" w:lineRule="exact"/>
        <w:rPr>
          <w:rFonts w:ascii="Times New Roman" w:cs="Times New Roman" w:eastAsia="Times New Roman" w:hAnsi="Times New Roman"/>
          <w:sz w:val="18"/>
          <w:szCs w:val="18"/>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INTERESTS OF NAMED EXPERTS AND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-203835</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640" w:space="340"/>
            <w:col w:w="10000"/>
          </w:cols>
          <w:pgMar w:left="440" w:top="266" w:right="479" w:bottom="1440" w:gutter="0" w:footer="0" w:header="0"/>
        </w:sect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80"/>
          </w:cols>
          <w:pgMar w:left="440" w:top="266" w:right="47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OF DIRECTORS AND OFFICERS</w:t>
      </w:r>
    </w:p>
    <w:p>
      <w:pPr>
        <w:spacing w:after="0" w:line="133" w:lineRule="exact"/>
        <w:rPr>
          <w:sz w:val="20"/>
          <w:szCs w:val="20"/>
          <w:color w:val="auto"/>
        </w:rPr>
      </w:pPr>
    </w:p>
    <w:p>
      <w:pPr>
        <w:sectPr>
          <w:pgSz w:w="11900" w:h="16838" w:orient="portrait"/>
          <w:cols w:equalWidth="0" w:num="2">
            <w:col w:w="640" w:space="340"/>
            <w:col w:w="10000"/>
          </w:cols>
          <w:pgMar w:left="440" w:top="266" w:right="479" w:bottom="1440" w:gutter="0" w:footer="0" w:header="0"/>
          <w:type w:val="continuous"/>
        </w:sect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Under the Business Corporations Act (Québec) (the “QBCA”) and the amended and restated bylaws of the Registrant, the Registrant must indemnify its current or former directors and officers, agents or any other individuals who act or has acted at the Registrant’s request as a director or officer of another group, against all costs, charges and expenses reasonably incurred in the exercise of such individual’s functions, including an amount paid to settle an action or satisfy a judgment, or arising from any investigative or other proceeding in which such individual is involved. The QBCA also provides that the Registrant must advance moneys to such individual for costs, charges and expenses incurred in connection with such a proceeding; provided that such individual shall repay such payment if they do not fulfill the conditions described below.</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Indemnification is prohibited under the QBCA unless the individual:</w:t>
      </w:r>
    </w:p>
    <w:p>
      <w:pPr>
        <w:spacing w:after="0" w:line="131" w:lineRule="exact"/>
        <w:rPr>
          <w:sz w:val="20"/>
          <w:szCs w:val="20"/>
          <w:color w:val="auto"/>
        </w:rPr>
      </w:pPr>
    </w:p>
    <w:p>
      <w:pPr>
        <w:ind w:left="9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acted with honesty and loyalty in our interests, or in the interest of the other group for which the individual acted as director or officer or in a similar capacity at the Registrant’s request; and</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proceeding that is enforced by a monetary penalty, the individual had reasonable grounds for believing that their conduct was lawful.</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QBCA and the amended and restated bylaws of the Registrant authorize the Registrant to purchase and maintain insurance for the benefit of each of its current or former directors or officers and each person who acts or acted at the Registrant’s request as a director, officer or an individual acting in a similar capacity, of another entity.</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the Registrant has entered, and intends to continue to enter, into separate indemnity agreements with each of its directors and officers. These indemnity agreements, among other things, require the Registrant to indemnify its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the Registrant’s request.</w:t>
      </w:r>
    </w:p>
    <w:p>
      <w:pPr>
        <w:spacing w:after="0" w:line="32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EXEMPTION FROM REGISTRATION CLAIMED.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80"/>
          </w:cols>
          <w:pgMar w:left="440" w:top="266" w:right="479" w:bottom="1440" w:gutter="0" w:footer="0" w:header="0"/>
          <w:type w:val="continuous"/>
        </w:sectPr>
      </w:pPr>
    </w:p>
    <w:bookmarkStart w:id="3" w:name="page4"/>
    <w:bookmarkEnd w:id="3"/>
    <w:tbl>
      <w:tblPr>
        <w:tblLayout w:type="fixed"/>
        <w:tblInd w:w="4"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63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9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800" w:type="dxa"/>
            <w:vAlign w:val="bottom"/>
            <w:vMerge w:val="continue"/>
          </w:tcPr>
          <w:p>
            <w:pPr>
              <w:spacing w:after="0"/>
              <w:rPr>
                <w:sz w:val="12"/>
                <w:szCs w:val="12"/>
                <w:color w:val="auto"/>
              </w:rPr>
            </w:pPr>
          </w:p>
        </w:tc>
        <w:tc>
          <w:tcPr>
            <w:tcW w:w="2600" w:type="dxa"/>
            <w:vAlign w:val="bottom"/>
          </w:tcPr>
          <w:p>
            <w:pPr>
              <w:spacing w:after="0"/>
              <w:rPr>
                <w:sz w:val="12"/>
                <w:szCs w:val="12"/>
                <w:color w:val="auto"/>
              </w:rPr>
            </w:pPr>
          </w:p>
        </w:tc>
        <w:tc>
          <w:tcPr>
            <w:tcW w:w="37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20" w:type="dxa"/>
            <w:vAlign w:val="bottom"/>
            <w:gridSpan w:val="2"/>
            <w:vMerge w:val="continue"/>
          </w:tcPr>
          <w:p>
            <w:pPr>
              <w:spacing w:after="0"/>
              <w:rPr>
                <w:sz w:val="12"/>
                <w:szCs w:val="12"/>
                <w:color w:val="auto"/>
              </w:rPr>
            </w:pPr>
          </w:p>
        </w:tc>
        <w:tc>
          <w:tcPr>
            <w:tcW w:w="12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File</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80" w:type="dxa"/>
            <w:vAlign w:val="bottom"/>
            <w:vMerge w:val="restart"/>
          </w:tcPr>
          <w:p>
            <w:pPr>
              <w:spacing w:after="0"/>
              <w:rPr>
                <w:sz w:val="12"/>
                <w:szCs w:val="12"/>
                <w:color w:val="auto"/>
              </w:rPr>
            </w:pPr>
          </w:p>
        </w:tc>
        <w:tc>
          <w:tcPr>
            <w:tcW w:w="10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0" w:type="dxa"/>
            <w:vAlign w:val="bottom"/>
          </w:tcPr>
          <w:p>
            <w:pPr>
              <w:spacing w:after="0"/>
              <w:rPr>
                <w:sz w:val="15"/>
                <w:szCs w:val="15"/>
                <w:color w:val="auto"/>
              </w:rPr>
            </w:pPr>
          </w:p>
        </w:tc>
        <w:tc>
          <w:tcPr>
            <w:tcW w:w="3740" w:type="dxa"/>
            <w:vAlign w:val="bottom"/>
            <w:gridSpan w:val="3"/>
            <w:vMerge w:val="continue"/>
          </w:tcPr>
          <w:p>
            <w:pPr>
              <w:spacing w:after="0"/>
              <w:rPr>
                <w:sz w:val="15"/>
                <w:szCs w:val="15"/>
                <w:color w:val="auto"/>
              </w:rPr>
            </w:pPr>
          </w:p>
        </w:tc>
        <w:tc>
          <w:tcPr>
            <w:tcW w:w="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Form</w:t>
            </w:r>
          </w:p>
        </w:tc>
        <w:tc>
          <w:tcPr>
            <w:tcW w:w="260" w:type="dxa"/>
            <w:vAlign w:val="bottom"/>
          </w:tcPr>
          <w:p>
            <w:pPr>
              <w:spacing w:after="0"/>
              <w:rPr>
                <w:sz w:val="15"/>
                <w:szCs w:val="15"/>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6340" w:type="dxa"/>
            <w:vAlign w:val="bottom"/>
            <w:gridSpan w:val="4"/>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Articles of Continuance of Repare Therapeutics Inc.</w:t>
              </w:r>
            </w:hyperlink>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001-39335</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June 23, 2020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6340" w:type="dxa"/>
            <w:vAlign w:val="bottom"/>
            <w:gridSpan w:val="4"/>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Amended and Restated Bylaws of Repare Therapeutics Inc.</w:t>
              </w:r>
            </w:hyperlink>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001-39335</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June 23, 2020</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43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Common Share Certificate.</w:t>
              </w:r>
            </w:hyperlink>
          </w:p>
        </w:tc>
        <w:tc>
          <w:tcPr>
            <w:tcW w:w="20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333-238822</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June 15, 2020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5.1*    </w:t>
      </w:r>
      <w:r>
        <w:rPr>
          <w:rFonts w:ascii="Times New Roman" w:cs="Times New Roman" w:eastAsia="Times New Roman" w:hAnsi="Times New Roman"/>
          <w:sz w:val="16"/>
          <w:szCs w:val="16"/>
          <w:u w:val="single" w:color="auto"/>
          <w:color w:val="0000EE"/>
        </w:rPr>
        <w:t>Opinion of Stikeman Elliott LLP.</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23.1*    </w:t>
      </w:r>
      <w:r>
        <w:rPr>
          <w:rFonts w:ascii="Times New Roman" w:cs="Times New Roman" w:eastAsia="Times New Roman" w:hAnsi="Times New Roman"/>
          <w:sz w:val="16"/>
          <w:szCs w:val="16"/>
          <w:u w:val="single" w:color="auto"/>
          <w:color w:val="0000EE"/>
        </w:rPr>
        <w:t>Consent of Ernst &amp; Young LLP, Independent Registered Public Accounting Firm.</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23.2*    </w:t>
      </w:r>
      <w:r>
        <w:rPr>
          <w:rFonts w:ascii="Times New Roman" w:cs="Times New Roman" w:eastAsia="Times New Roman" w:hAnsi="Times New Roman"/>
          <w:sz w:val="16"/>
          <w:szCs w:val="16"/>
          <w:u w:val="single" w:color="auto"/>
          <w:color w:val="0000EE"/>
        </w:rPr>
        <w:t>Consent of Stikeman Elliott LLP (included in Exhibit 5.1).</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24.1*    </w:t>
      </w:r>
      <w:r>
        <w:rPr>
          <w:rFonts w:ascii="Times New Roman" w:cs="Times New Roman" w:eastAsia="Times New Roman" w:hAnsi="Times New Roman"/>
          <w:sz w:val="16"/>
          <w:szCs w:val="16"/>
          <w:u w:val="single" w:color="auto"/>
          <w:color w:val="0000EE"/>
        </w:rPr>
        <w:t>Power of Attorney (included on the signature page of this Form S-8).</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99.1*    </w:t>
      </w:r>
      <w:r>
        <w:rPr>
          <w:rFonts w:ascii="Times New Roman" w:cs="Times New Roman" w:eastAsia="Times New Roman" w:hAnsi="Times New Roman"/>
          <w:sz w:val="16"/>
          <w:szCs w:val="16"/>
          <w:u w:val="single" w:color="auto"/>
          <w:color w:val="0000EE"/>
        </w:rPr>
        <w:t>Repare Therapeutics Inc. 2024 Inducement Plan</w:t>
      </w:r>
    </w:p>
    <w:p>
      <w:pPr>
        <w:spacing w:after="0" w:line="140" w:lineRule="exact"/>
        <w:rPr>
          <w:rFonts w:ascii="Times New Roman" w:cs="Times New Roman" w:eastAsia="Times New Roman" w:hAnsi="Times New Roman"/>
          <w:sz w:val="16"/>
          <w:szCs w:val="16"/>
          <w:color w:val="auto"/>
        </w:rPr>
      </w:pPr>
    </w:p>
    <w:p>
      <w:pPr>
        <w:ind w:left="804" w:right="4360" w:hanging="804"/>
        <w:spacing w:after="0" w:line="347" w:lineRule="auto"/>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99.2* </w:t>
      </w:r>
      <w:r>
        <w:rPr>
          <w:rFonts w:ascii="Times New Roman" w:cs="Times New Roman" w:eastAsia="Times New Roman" w:hAnsi="Times New Roman"/>
          <w:sz w:val="16"/>
          <w:szCs w:val="16"/>
          <w:u w:val="single" w:color="auto"/>
          <w:color w:val="0000EE"/>
        </w:rPr>
        <w:t>Form of Stock Option Grant Notice and Stock Option Agreement for the Repare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Therapeutics Inc. 2024 Inducement Plan.</w:t>
      </w:r>
    </w:p>
    <w:p>
      <w:pPr>
        <w:spacing w:after="0" w:line="7" w:lineRule="exact"/>
        <w:rPr>
          <w:rFonts w:ascii="Times New Roman" w:cs="Times New Roman" w:eastAsia="Times New Roman" w:hAnsi="Times New Roman"/>
          <w:sz w:val="16"/>
          <w:szCs w:val="16"/>
          <w:color w:val="auto"/>
        </w:rPr>
      </w:pPr>
    </w:p>
    <w:p>
      <w:pPr>
        <w:ind w:left="804" w:right="4260" w:hanging="804"/>
        <w:spacing w:after="0" w:line="347" w:lineRule="auto"/>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99.3* </w:t>
      </w:r>
      <w:r>
        <w:rPr>
          <w:rFonts w:ascii="Times New Roman" w:cs="Times New Roman" w:eastAsia="Times New Roman" w:hAnsi="Times New Roman"/>
          <w:sz w:val="16"/>
          <w:szCs w:val="16"/>
          <w:u w:val="single" w:color="auto"/>
          <w:color w:val="0000EE"/>
        </w:rPr>
        <w:t>Form of Restricted Stock Unit Grant Notice and Award Agreement for the Repare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Therapeutics Inc. 2024 Inducement Plan.</w:t>
      </w:r>
    </w:p>
    <w:p>
      <w:pPr>
        <w:spacing w:after="0" w:line="8" w:lineRule="exact"/>
        <w:rPr>
          <w:sz w:val="20"/>
          <w:szCs w:val="20"/>
          <w:color w:val="auto"/>
        </w:rPr>
      </w:pPr>
    </w:p>
    <w:p>
      <w:pPr>
        <w:ind w:left="4"/>
        <w:spacing w:after="0"/>
        <w:tabs>
          <w:tab w:leader="none" w:pos="78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0964"/>
          </w:cols>
          <w:pgMar w:left="436" w:top="266" w:right="49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700" w:hanging="264"/>
        <w:spacing w:after="0"/>
        <w:tabs>
          <w:tab w:leader="none" w:pos="7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b w:val="1"/>
          <w:bCs w:val="1"/>
          <w:color w:val="auto"/>
        </w:rPr>
      </w:pPr>
    </w:p>
    <w:p>
      <w:pPr>
        <w:ind w:left="1640" w:hanging="212"/>
        <w:spacing w:after="0"/>
        <w:tabs>
          <w:tab w:leader="none" w:pos="1640" w:val="left"/>
        </w:tabs>
        <w:numPr>
          <w:ilvl w:val="2"/>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b w:val="1"/>
          <w:bCs w:val="1"/>
          <w:color w:val="auto"/>
        </w:rPr>
      </w:pPr>
    </w:p>
    <w:p>
      <w:pPr>
        <w:ind w:firstLine="1428"/>
        <w:spacing w:after="0" w:line="256" w:lineRule="auto"/>
        <w:tabs>
          <w:tab w:leader="none" w:pos="1697" w:val="left"/>
        </w:tabs>
        <w:numPr>
          <w:ilvl w:val="2"/>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in the effective registration statement.</w:t>
      </w:r>
    </w:p>
    <w:p>
      <w:pPr>
        <w:spacing w:after="0" w:line="187" w:lineRule="exact"/>
        <w:rPr>
          <w:rFonts w:ascii="Times New Roman" w:cs="Times New Roman" w:eastAsia="Times New Roman" w:hAnsi="Times New Roman"/>
          <w:sz w:val="18"/>
          <w:szCs w:val="18"/>
          <w:b w:val="1"/>
          <w:bCs w:val="1"/>
          <w:color w:val="auto"/>
        </w:rPr>
      </w:pPr>
    </w:p>
    <w:p>
      <w:pPr>
        <w:ind w:right="20" w:firstLine="1428"/>
        <w:spacing w:after="0" w:line="282" w:lineRule="auto"/>
        <w:tabs>
          <w:tab w:leader="none" w:pos="1747" w:val="left"/>
        </w:tabs>
        <w:numPr>
          <w:ilvl w:val="2"/>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registration statement is on Form S-8, and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75" w:lineRule="exact"/>
        <w:rPr>
          <w:sz w:val="20"/>
          <w:szCs w:val="20"/>
          <w:color w:val="auto"/>
        </w:rPr>
      </w:pPr>
    </w:p>
    <w:p>
      <w:pPr>
        <w:ind w:right="20" w:firstLine="987"/>
        <w:spacing w:after="0" w:line="266" w:lineRule="auto"/>
        <w:tabs>
          <w:tab w:leader="none" w:pos="124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b w:val="1"/>
          <w:bCs w:val="1"/>
          <w:color w:val="auto"/>
        </w:rPr>
      </w:pPr>
    </w:p>
    <w:p>
      <w:pPr>
        <w:ind w:right="80" w:firstLine="987"/>
        <w:spacing w:after="0" w:line="282" w:lineRule="auto"/>
        <w:tabs>
          <w:tab w:leader="none" w:pos="124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b w:val="1"/>
          <w:bCs w:val="1"/>
          <w:color w:val="auto"/>
        </w:rPr>
      </w:pPr>
    </w:p>
    <w:p>
      <w:pPr>
        <w:ind w:right="80" w:firstLine="987"/>
        <w:spacing w:after="0" w:line="258" w:lineRule="auto"/>
        <w:tabs>
          <w:tab w:leader="none" w:pos="124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b w:val="1"/>
          <w:bCs w:val="1"/>
          <w:color w:val="auto"/>
        </w:rPr>
      </w:pPr>
    </w:p>
    <w:p>
      <w:pPr>
        <w:ind w:left="1640" w:hanging="212"/>
        <w:spacing w:after="0"/>
        <w:tabs>
          <w:tab w:leader="none" w:pos="164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Rule 424;</w:t>
      </w:r>
    </w:p>
    <w:p>
      <w:pPr>
        <w:spacing w:after="0" w:line="206" w:lineRule="exact"/>
        <w:rPr>
          <w:rFonts w:ascii="Times New Roman" w:cs="Times New Roman" w:eastAsia="Times New Roman" w:hAnsi="Times New Roman"/>
          <w:sz w:val="18"/>
          <w:szCs w:val="18"/>
          <w:b w:val="1"/>
          <w:bCs w:val="1"/>
          <w:color w:val="auto"/>
        </w:rPr>
      </w:pPr>
    </w:p>
    <w:p>
      <w:pPr>
        <w:ind w:right="140" w:firstLine="1428"/>
        <w:spacing w:after="0" w:line="282" w:lineRule="auto"/>
        <w:tabs>
          <w:tab w:leader="none" w:pos="1697"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b w:val="1"/>
          <w:bCs w:val="1"/>
          <w:color w:val="auto"/>
        </w:rPr>
      </w:pPr>
    </w:p>
    <w:p>
      <w:pPr>
        <w:ind w:right="160" w:firstLine="1428"/>
        <w:spacing w:after="0" w:line="282" w:lineRule="auto"/>
        <w:tabs>
          <w:tab w:leader="none" w:pos="1747"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b w:val="1"/>
          <w:bCs w:val="1"/>
          <w:color w:val="auto"/>
        </w:rPr>
      </w:pPr>
    </w:p>
    <w:p>
      <w:pPr>
        <w:ind w:left="1740" w:hanging="312"/>
        <w:spacing w:after="0"/>
        <w:tabs>
          <w:tab w:leader="none" w:pos="174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ectPr>
          <w:pgSz w:w="11900" w:h="16838" w:orient="portrait"/>
          <w:cols w:equalWidth="0" w:num="1">
            <w:col w:w="11000"/>
          </w:cols>
          <w:pgMar w:left="440" w:top="266" w:right="459" w:bottom="1440" w:gutter="0" w:footer="0" w:header="0"/>
        </w:sectPr>
      </w:pPr>
    </w:p>
    <w:bookmarkStart w:id="5" w:name="page6"/>
    <w:bookmarkEnd w:id="5"/>
    <w:p>
      <w:pPr>
        <w:ind w:left="-436" w:firstLine="436"/>
        <w:spacing w:after="0" w:line="258" w:lineRule="auto"/>
        <w:tabs>
          <w:tab w:leader="none" w:pos="26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b w:val="1"/>
          <w:bCs w:val="1"/>
          <w:color w:val="auto"/>
        </w:rPr>
      </w:pPr>
    </w:p>
    <w:p>
      <w:pPr>
        <w:ind w:left="-436" w:right="120" w:firstLine="436"/>
        <w:spacing w:after="0" w:line="254" w:lineRule="auto"/>
        <w:tabs>
          <w:tab w:leader="none" w:pos="24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524"/>
          </w:cols>
          <w:pgMar w:left="876" w:top="270" w:right="499" w:bottom="1440" w:gutter="0" w:footer="0" w:header="0"/>
        </w:sectPr>
      </w:pPr>
    </w:p>
    <w:bookmarkStart w:id="6" w:name="page7"/>
    <w:bookmarkEnd w:id="6"/>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City of Montréal, Province of Québec, Canada, on this 24th day of May,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Lloyd M. Segal</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0660"/>
          </w:cols>
          <w:pgMar w:left="440" w:top="266" w:right="7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POWER OF ATTORNEY</w:t>
      </w:r>
    </w:p>
    <w:p>
      <w:pPr>
        <w:spacing w:after="0" w:line="22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Lloyd M. Segal and Steve Forte,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8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Lloyd M. Segal</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Lloyd M. Segal</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 Forte</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176"/>
        </w:trPr>
        <w:tc>
          <w:tcPr>
            <w:tcW w:w="4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Steve Forte</w:t>
            </w:r>
          </w:p>
        </w:tc>
        <w:tc>
          <w:tcPr>
            <w:tcW w:w="120" w:type="dxa"/>
            <w:vAlign w:val="bottom"/>
          </w:tcPr>
          <w:p>
            <w:pPr>
              <w:spacing w:after="0"/>
              <w:rPr>
                <w:sz w:val="15"/>
                <w:szCs w:val="15"/>
                <w:color w:val="auto"/>
              </w:rPr>
            </w:pPr>
          </w:p>
        </w:tc>
        <w:tc>
          <w:tcPr>
            <w:tcW w:w="49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i w:val="1"/>
                <w:iCs w:val="1"/>
                <w:color w:val="auto"/>
                <w:w w:val="99"/>
              </w:rPr>
              <w:t>(Principal Financial Officer and Principal</w:t>
            </w:r>
          </w:p>
        </w:tc>
        <w:tc>
          <w:tcPr>
            <w:tcW w:w="1760" w:type="dxa"/>
            <w:vAlign w:val="bottom"/>
          </w:tcPr>
          <w:p>
            <w:pPr>
              <w:spacing w:after="0"/>
              <w:rPr>
                <w:sz w:val="15"/>
                <w:szCs w:val="15"/>
                <w:color w:val="auto"/>
              </w:rPr>
            </w:pPr>
          </w:p>
        </w:tc>
      </w:tr>
      <w:tr>
        <w:trPr>
          <w:trHeight w:val="236"/>
        </w:trPr>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1760" w:type="dxa"/>
            <w:vAlign w:val="bottom"/>
          </w:tcPr>
          <w:p>
            <w:pPr>
              <w:spacing w:after="0"/>
              <w:rPr>
                <w:sz w:val="20"/>
                <w:szCs w:val="20"/>
                <w:color w:val="auto"/>
              </w:rPr>
            </w:pPr>
          </w:p>
        </w:tc>
      </w:tr>
      <w:tr>
        <w:trPr>
          <w:trHeight w:val="445"/>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/s/Thomas Civik</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Civik</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Bonita, M.D.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Bonita,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Todd Foley</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Todd Foley</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Samarth Kulkarni, Ph.D.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Samarth Kulkarni,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Susan Molineaux, Ph.D.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Susan Molineaux,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Briggs Morrison, M.D.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Briggs Morrison,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Ann D. Rhoads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Ann D. Rhoads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 A. Schafer</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Carol A. Schafer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ind w:left="2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OF AUTHORIZED U.S. REPRESENTATIVE OF THE REGISTRANT</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Securities Act, the undersigned, the duly authorized representative in the United States of the Registrant has signed this Registration Statement or amendment thereto on the 24th day of May, 2024.</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18415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Lloyd M. Segal</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ectPr>
          <w:pgSz w:w="11900" w:h="16838" w:orient="portrait"/>
          <w:cols w:equalWidth="0" w:num="1">
            <w:col w:w="10160"/>
          </w:cols>
          <w:pgMar w:left="440" w:top="266" w:right="12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7171 Frederick-Banting Street, Building 2, Suite 270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Saint-Laurent, Québec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H4S 1Z9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Sirs/Mesdames: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 </w:t>
      </w:r>
      <w:r>
        <w:rPr>
          <w:rFonts w:ascii="Times New Roman" w:cs="Times New Roman" w:eastAsia="Times New Roman" w:hAnsi="Times New Roman"/>
          <w:sz w:val="18"/>
          <w:szCs w:val="18"/>
          <w:b w:val="1"/>
          <w:bCs w:val="1"/>
          <w:u w:val="single" w:color="auto"/>
          <w:color w:val="auto"/>
        </w:rPr>
        <w:t>Repare Therapeutics Inc.—Registration Statement on Form S-8</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have acted as Canadian counsel to Repare Therapeutics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xml:space="preserve">”), a corporation governed on the date of this opinion by the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Corporations Act </w:t>
      </w:r>
      <w:r>
        <w:rPr>
          <w:rFonts w:ascii="Times New Roman" w:cs="Times New Roman" w:eastAsia="Times New Roman" w:hAnsi="Times New Roman"/>
          <w:sz w:val="18"/>
          <w:szCs w:val="18"/>
          <w:color w:val="auto"/>
        </w:rPr>
        <w:t>(Québec), in connection with the registration of 350,000 common shares of the Corporation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issuable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2024 Inducement Plan (the “</w:t>
      </w:r>
      <w:r>
        <w:rPr>
          <w:rFonts w:ascii="Times New Roman" w:cs="Times New Roman" w:eastAsia="Times New Roman" w:hAnsi="Times New Roman"/>
          <w:sz w:val="18"/>
          <w:szCs w:val="18"/>
          <w:b w:val="1"/>
          <w:bCs w:val="1"/>
          <w:color w:val="auto"/>
        </w:rPr>
        <w:t>Inducement Plan</w:t>
      </w:r>
      <w:r>
        <w:rPr>
          <w:rFonts w:ascii="Times New Roman" w:cs="Times New Roman" w:eastAsia="Times New Roman" w:hAnsi="Times New Roman"/>
          <w:sz w:val="18"/>
          <w:szCs w:val="18"/>
          <w:color w:val="auto"/>
        </w:rPr>
        <w:t>”), pursuant to a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on May 24, 2024 with the Securities and Exchange Commission under the Securities Act of 1933, as amended.</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have examined the Registration Statement, the Inducement Plan and all such corporate and public records, statutes and regulations and have made such investigations and have reviewed such other documents as we have deemed relevant and necessary and have considered such questions of law as we have considered relevant and necessary in order to give the opinion hereinafter set forth. As to various questions of fact material to such opinions which were not independently established, we have relied upon a certificate of an officer of the Corporation.</w:t>
      </w:r>
    </w:p>
    <w:p>
      <w:pPr>
        <w:spacing w:after="0" w:line="180"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In reviewing the foregoing documents and in giving this opinion, we have assumed the legal capacity of all individuals, the genuineness of all signatures, the veracity of the information contained therein, the authenticity of all documents submitted to us as originals and the conformity to authentic or original documents of all documents submitted to us as certified, conformed, electronic, photostatic or facsimile copies.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qualified to practice law in the Province of Québec and this opinion is rendered solely with respect to the Province of Québec and the federal laws of Canada applicable in the Province of Québec. This opinion is expressed with respect to the laws in effect on the date of this opinion and we do not accept any responsibility to take into account or inform the addressee, or any other person authorized to rely on this opinion, of any changes in law, facts or other developments subsequent to this date that do or may affect the opinion we express.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and subject to the qualifications, assumptions and limitations stated herein, we are of the opinion that, when the Shares shall have been issued pursuant to and in accordance with the terms of the Inducement Plan, the Shares will be validly issued, fully paid and non-assessable.</w:t>
      </w:r>
    </w:p>
    <w:p>
      <w:pPr>
        <w:spacing w:after="0" w:line="17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Where this opinion refers to any of the Shares as being issued as being “fully paid and non-assessable”, such opinion assumes that all required consideration (in whatever form) has been paid or provided.</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This opinion may not be quoted from or referred to in any documents other than the Registration Statement as provided for herein without our prior written consent.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Stikeman Elliott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Stikeman Elliott LLP</w:t>
      </w:r>
    </w:p>
    <w:p>
      <w:pPr>
        <w:sectPr>
          <w:pgSz w:w="11900" w:h="16838" w:orient="portrait"/>
          <w:cols w:equalWidth="0" w:num="1">
            <w:col w:w="11020"/>
          </w:cols>
          <w:pgMar w:left="440" w:top="117"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2024 Inducement Plan of Repare Therapeutics Inc. of our reports dated February 28, 2024, with respect to the consolidated financial statements of Repare Therapeutics Inc. and the effectiveness of internal control over financial reporting of Repare Therapeutics Inc. included in its Annual Report (Form 10-K) for the year ended December 31, 2023,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Montreal,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24, 2024</w:t>
      </w:r>
    </w:p>
    <w:p>
      <w:pPr>
        <w:sectPr>
          <w:pgSz w:w="11900" w:h="16838" w:orient="portrait"/>
          <w:cols w:equalWidth="0" w:num="1">
            <w:col w:w="11020"/>
          </w:cols>
          <w:pgMar w:left="440" w:top="117"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EPARE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2024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PRIL</w:t>
      </w:r>
      <w:r>
        <w:rPr>
          <w:rFonts w:ascii="Times New Roman" w:cs="Times New Roman" w:eastAsia="Times New Roman" w:hAnsi="Times New Roman"/>
          <w:sz w:val="18"/>
          <w:szCs w:val="18"/>
          <w:b w:val="1"/>
          <w:bCs w:val="1"/>
          <w:color w:val="auto"/>
        </w:rPr>
        <w:t xml:space="preserve"> 25, 2024</w:t>
      </w:r>
    </w:p>
    <w:p>
      <w:pPr>
        <w:spacing w:after="0" w:line="225" w:lineRule="exact"/>
        <w:rPr>
          <w:sz w:val="20"/>
          <w:szCs w:val="20"/>
          <w:color w:val="auto"/>
        </w:rPr>
      </w:pPr>
    </w:p>
    <w:p>
      <w:pPr>
        <w:ind w:left="184" w:hanging="184"/>
        <w:spacing w:after="0"/>
        <w:tabs>
          <w:tab w:leader="none" w:pos="18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60" w:firstLine="436"/>
        <w:spacing w:after="0" w:line="254" w:lineRule="auto"/>
        <w:tabs>
          <w:tab w:leader="none" w:pos="699"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The only persons eligible to receive grants of Awards under this Plan are individuals who satisfy the standards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inducement grants under Nasdaq Marketplace Rule 5635(c)(4) or 5635(c)(3), if applicable, and the related guidance under Nasdaq IM 5635-1. A person who previously served as an Employee or Director will not be eligible to receive Awards under the Plan, other than following a bona fide period of non-employment. Persons eligible to receive grants of Awards under this Plan are referred to in this Plan as “</w:t>
      </w:r>
      <w:r>
        <w:rPr>
          <w:rFonts w:ascii="Times New Roman" w:cs="Times New Roman" w:eastAsia="Times New Roman" w:hAnsi="Times New Roman"/>
          <w:sz w:val="18"/>
          <w:szCs w:val="18"/>
          <w:b w:val="1"/>
          <w:bCs w:val="1"/>
          <w:i w:val="1"/>
          <w:iCs w:val="1"/>
          <w:color w:val="auto"/>
        </w:rPr>
        <w:t>Eligible Employees</w:t>
      </w:r>
      <w:r>
        <w:rPr>
          <w:rFonts w:ascii="Times New Roman" w:cs="Times New Roman" w:eastAsia="Times New Roman" w:hAnsi="Times New Roman"/>
          <w:sz w:val="18"/>
          <w:szCs w:val="18"/>
          <w:color w:val="auto"/>
        </w:rPr>
        <w:t>.” These Awards must be approved by either a majority of the Company’s “Independent Directors” (as such term is defined in Nasdaq Marketplace Rule 5605(a)(2)) (“</w:t>
      </w:r>
      <w:r>
        <w:rPr>
          <w:rFonts w:ascii="Times New Roman" w:cs="Times New Roman" w:eastAsia="Times New Roman" w:hAnsi="Times New Roman"/>
          <w:sz w:val="18"/>
          <w:szCs w:val="18"/>
          <w:b w:val="1"/>
          <w:bCs w:val="1"/>
          <w:i w:val="1"/>
          <w:iCs w:val="1"/>
          <w:color w:val="auto"/>
        </w:rPr>
        <w:t>Independent Directors</w:t>
      </w:r>
      <w:r>
        <w:rPr>
          <w:rFonts w:ascii="Times New Roman" w:cs="Times New Roman" w:eastAsia="Times New Roman" w:hAnsi="Times New Roman"/>
          <w:sz w:val="18"/>
          <w:szCs w:val="18"/>
          <w:color w:val="auto"/>
        </w:rPr>
        <w:t>”) or the Company’s compensation committee, provided such committee is comprised solely of Independent Directors of the Company (the “</w:t>
      </w:r>
      <w:r>
        <w:rPr>
          <w:rFonts w:ascii="Times New Roman" w:cs="Times New Roman" w:eastAsia="Times New Roman" w:hAnsi="Times New Roman"/>
          <w:sz w:val="18"/>
          <w:szCs w:val="18"/>
          <w:b w:val="1"/>
          <w:bCs w:val="1"/>
          <w:i w:val="1"/>
          <w:iCs w:val="1"/>
          <w:color w:val="auto"/>
        </w:rPr>
        <w:t>Independent Compensation Committee</w:t>
      </w:r>
      <w:r>
        <w:rPr>
          <w:rFonts w:ascii="Times New Roman" w:cs="Times New Roman" w:eastAsia="Times New Roman" w:hAnsi="Times New Roman"/>
          <w:sz w:val="18"/>
          <w:szCs w:val="18"/>
          <w:color w:val="auto"/>
        </w:rPr>
        <w:t>”) in order to comply with the exemption from the stockholder approval requirement for “inducement grants” provided under Rule 5635(c)(4) of the Nasdaq Marketplace Rules. Nasdaq Marketplace Rule 5635(c)(4) and the related guidance under Nasdaq IM 5635-1 (together with any analogous rules or guidance effective after the date hereof, the “</w:t>
      </w:r>
      <w:r>
        <w:rPr>
          <w:rFonts w:ascii="Times New Roman" w:cs="Times New Roman" w:eastAsia="Times New Roman" w:hAnsi="Times New Roman"/>
          <w:sz w:val="18"/>
          <w:szCs w:val="18"/>
          <w:b w:val="1"/>
          <w:bCs w:val="1"/>
          <w:i w:val="1"/>
          <w:iCs w:val="1"/>
          <w:color w:val="auto"/>
        </w:rPr>
        <w:t>Inducement Award Rules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b w:val="1"/>
          <w:bCs w:val="1"/>
          <w:color w:val="auto"/>
        </w:rPr>
      </w:pPr>
    </w:p>
    <w:p>
      <w:pPr>
        <w:jc w:val="both"/>
        <w:ind w:left="4" w:right="120" w:firstLine="436"/>
        <w:spacing w:after="0" w:line="268" w:lineRule="auto"/>
        <w:tabs>
          <w:tab w:leader="none" w:pos="709"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types of Awards: (i) Nonstatutory Stock Options, (ii) Share Appreciation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(iii) Restricted Share Awards, (iv) Restricted Share Unit Awards, (v) Performance Share Awards, (vi) Performance Cash Awards, and (vii) Other Share Awards.</w:t>
      </w:r>
    </w:p>
    <w:p>
      <w:pPr>
        <w:spacing w:after="0" w:line="170" w:lineRule="exact"/>
        <w:rPr>
          <w:rFonts w:ascii="Times New Roman" w:cs="Times New Roman" w:eastAsia="Times New Roman" w:hAnsi="Times New Roman"/>
          <w:sz w:val="18"/>
          <w:szCs w:val="18"/>
          <w:b w:val="1"/>
          <w:bCs w:val="1"/>
          <w:color w:val="auto"/>
        </w:rPr>
      </w:pPr>
    </w:p>
    <w:p>
      <w:pPr>
        <w:ind w:left="4" w:right="100" w:firstLine="436"/>
        <w:spacing w:after="0" w:line="262" w:lineRule="auto"/>
        <w:tabs>
          <w:tab w:leader="none" w:pos="689"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Plan, through the grant of Awards, is intended to provide (i) an inducement material for certain individuals to enter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with the Company within the meaning of Rule 5635(c)(4) of the Nasdaq Marketplace Rules, (ii) incentives for Eligible Employees to exert maximum efforts for the success of the Company and any Affiliate and (iii) a means by which Eligible Employees may benefit from increases in value of the Common Shares.</w:t>
      </w:r>
    </w:p>
    <w:p>
      <w:pPr>
        <w:spacing w:after="0" w:line="284"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60" w:firstLine="436"/>
        <w:spacing w:after="0" w:line="262" w:lineRule="auto"/>
        <w:tabs>
          <w:tab w:leader="none" w:pos="699"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Awards may only be granted by either (i) a majority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Independent Directors or (ii) the Independent Compensation Committee. Subject to those constraints and the other constraints of the Inducement Award Rules, the Board may delegate some of its powers of administration of the Plan to a Committee or Committees, as provided in Section 2(c).</w:t>
      </w:r>
    </w:p>
    <w:p>
      <w:pPr>
        <w:spacing w:after="0" w:line="176" w:lineRule="exact"/>
        <w:rPr>
          <w:rFonts w:ascii="Times New Roman" w:cs="Times New Roman" w:eastAsia="Times New Roman" w:hAnsi="Times New Roman"/>
          <w:sz w:val="18"/>
          <w:szCs w:val="18"/>
          <w:b w:val="1"/>
          <w:bCs w:val="1"/>
          <w:color w:val="auto"/>
        </w:rPr>
      </w:pPr>
    </w:p>
    <w:p>
      <w:pPr>
        <w:ind w:left="4" w:right="720" w:firstLine="436"/>
        <w:spacing w:after="0" w:line="286" w:lineRule="auto"/>
        <w:tabs>
          <w:tab w:leader="none" w:pos="709"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Inducement Award Rules:</w:t>
      </w:r>
    </w:p>
    <w:p>
      <w:pPr>
        <w:spacing w:after="0" w:line="50" w:lineRule="exact"/>
        <w:rPr>
          <w:rFonts w:ascii="Times New Roman" w:cs="Times New Roman" w:eastAsia="Times New Roman" w:hAnsi="Times New Roman"/>
          <w:sz w:val="18"/>
          <w:szCs w:val="18"/>
          <w:b w:val="1"/>
          <w:bCs w:val="1"/>
          <w:color w:val="auto"/>
        </w:rPr>
      </w:pPr>
    </w:p>
    <w:p>
      <w:pPr>
        <w:ind w:left="1204" w:hanging="213"/>
        <w:spacing w:after="0"/>
        <w:tabs>
          <w:tab w:leader="none" w:pos="1204"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(A) who will be granted Awards; (B) when and how each Award will be granted; (C) what type of Award will be granted;</w:t>
      </w:r>
    </w:p>
    <w:p>
      <w:pPr>
        <w:spacing w:after="0" w:line="27" w:lineRule="exact"/>
        <w:rPr>
          <w:rFonts w:ascii="Times New Roman" w:cs="Times New Roman" w:eastAsia="Times New Roman" w:hAnsi="Times New Roman"/>
          <w:sz w:val="18"/>
          <w:szCs w:val="18"/>
          <w:b w:val="1"/>
          <w:bCs w:val="1"/>
          <w:color w:val="auto"/>
        </w:rPr>
      </w:pPr>
    </w:p>
    <w:p>
      <w:pPr>
        <w:ind w:left="4" w:right="2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 the provisions of each Award (which need not be identical), including when a person will be permitted to exercise or otherwise receive cash or Common Shares under the Award; (E) the number of Common Shares subject to, or the cash value of, an Award; and (F) the Fair Market Value applicable to a Share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Awards may only be granted by either (i) a majority of the Company’s Independent Directors or (ii) the Independent Compensation Committee.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12" w:name="page13"/>
    <w:bookmarkEnd w:id="12"/>
    <w:p>
      <w:pPr>
        <w:ind w:right="160" w:firstLine="987"/>
        <w:spacing w:after="0" w:line="261" w:lineRule="auto"/>
        <w:tabs>
          <w:tab w:leader="none" w:pos="125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179"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5" w:lineRule="exact"/>
        <w:rPr>
          <w:rFonts w:ascii="Times New Roman" w:cs="Times New Roman" w:eastAsia="Times New Roman" w:hAnsi="Times New Roman"/>
          <w:sz w:val="18"/>
          <w:szCs w:val="18"/>
          <w:b w:val="1"/>
          <w:bCs w:val="1"/>
          <w:color w:val="auto"/>
        </w:rPr>
      </w:pPr>
    </w:p>
    <w:p>
      <w:pPr>
        <w:ind w:right="120" w:firstLine="987"/>
        <w:spacing w:after="0" w:line="282" w:lineRule="auto"/>
        <w:tabs>
          <w:tab w:leader="none" w:pos="129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in whole or in part, the time at which an Award may be exercised or vest (or the time at which cash or Common Shares may be issued in settlement thereof).</w:t>
      </w:r>
    </w:p>
    <w:p>
      <w:pPr>
        <w:spacing w:after="0" w:line="161" w:lineRule="exact"/>
        <w:rPr>
          <w:rFonts w:ascii="Times New Roman" w:cs="Times New Roman" w:eastAsia="Times New Roman" w:hAnsi="Times New Roman"/>
          <w:sz w:val="18"/>
          <w:szCs w:val="18"/>
          <w:b w:val="1"/>
          <w:bCs w:val="1"/>
          <w:color w:val="auto"/>
        </w:rPr>
      </w:pPr>
    </w:p>
    <w:p>
      <w:pPr>
        <w:ind w:right="160" w:firstLine="987"/>
        <w:spacing w:after="0" w:line="266" w:lineRule="auto"/>
        <w:tabs>
          <w:tab w:leader="none" w:pos="124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 except as provided in subsection (viii) below.</w:t>
      </w:r>
    </w:p>
    <w:p>
      <w:pPr>
        <w:spacing w:after="0" w:line="175" w:lineRule="exact"/>
        <w:rPr>
          <w:rFonts w:ascii="Times New Roman" w:cs="Times New Roman" w:eastAsia="Times New Roman" w:hAnsi="Times New Roman"/>
          <w:sz w:val="18"/>
          <w:szCs w:val="18"/>
          <w:b w:val="1"/>
          <w:bCs w:val="1"/>
          <w:color w:val="auto"/>
        </w:rPr>
      </w:pPr>
    </w:p>
    <w:p>
      <w:pPr>
        <w:ind w:right="20" w:firstLine="987"/>
        <w:spacing w:after="0" w:line="255" w:lineRule="auto"/>
        <w:tabs>
          <w:tab w:leader="none" w:pos="129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including, without limitation, by adopting amendments relating to certain nonqualified deferred compensation under Section 409A of the Code (or any comparable provision of the Tax Act enacted from time to time) and/or ensuring that the Plan and Awards are exempt from or compliant with the requirements for nonqualified deferred compensation under Section 409A of the Code (or any comparable provision of the Tax Act enacted from time to time), subject to the limitations, if any, of applicable law. The Company will seek shareholder approval of any amendment of the Plan if required by applicable law or listing requirements. Except as otherwise provided in the Plan or an Award Agreement, no amendment of the Plan will materially impair a Participant’s rights under an outstanding Award without the Participant’s written consent.</w:t>
      </w:r>
    </w:p>
    <w:p>
      <w:pPr>
        <w:spacing w:after="0" w:line="188" w:lineRule="exact"/>
        <w:rPr>
          <w:rFonts w:ascii="Times New Roman" w:cs="Times New Roman" w:eastAsia="Times New Roman" w:hAnsi="Times New Roman"/>
          <w:sz w:val="18"/>
          <w:szCs w:val="18"/>
          <w:b w:val="1"/>
          <w:bCs w:val="1"/>
          <w:color w:val="auto"/>
        </w:rPr>
      </w:pPr>
    </w:p>
    <w:p>
      <w:pPr>
        <w:ind w:left="1340" w:hanging="353"/>
        <w:spacing w:after="0"/>
        <w:tabs>
          <w:tab w:leader="none" w:pos="1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shareholder approval if required by applicable listing requirements.</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72" w:lineRule="auto"/>
        <w:tabs>
          <w:tab w:leader="none" w:pos="1396"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clarify the manner of exemption from, or to bring the Award into compliance with, Section 409A of the Code; or (B) to comply with other applicable laws or listing requirements.</w:t>
      </w:r>
    </w:p>
    <w:p>
      <w:pPr>
        <w:spacing w:after="0" w:line="171" w:lineRule="exact"/>
        <w:rPr>
          <w:rFonts w:ascii="Times New Roman" w:cs="Times New Roman" w:eastAsia="Times New Roman" w:hAnsi="Times New Roman"/>
          <w:sz w:val="17"/>
          <w:szCs w:val="17"/>
          <w:b w:val="1"/>
          <w:bCs w:val="1"/>
          <w:color w:val="auto"/>
        </w:rPr>
      </w:pPr>
    </w:p>
    <w:p>
      <w:pPr>
        <w:ind w:right="20" w:firstLine="987"/>
        <w:spacing w:after="0" w:line="282" w:lineRule="auto"/>
        <w:tabs>
          <w:tab w:leader="none" w:pos="129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3" w:name="page14"/>
    <w:bookmarkEnd w:id="13"/>
    <w:p>
      <w:pPr>
        <w:jc w:val="both"/>
        <w:ind w:left="4" w:right="100" w:firstLine="987"/>
        <w:spacing w:after="0" w:line="266" w:lineRule="auto"/>
        <w:tabs>
          <w:tab w:leader="none" w:pos="1250" w:val="left"/>
        </w:tabs>
        <w:numPr>
          <w:ilvl w:val="2"/>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adopt such procedures and sub-plans as are necessary or appropriate to permit participation in the Plan by Eligible Employees who are foreign nationals or employed in Canada or elsewhere outside the United States (provided that Board approval will not be necessary for immaterial modifications to the Plan or any Award Agreement that are required for compliance with the laws of the relevant foreign jurisdiction).</w:t>
      </w:r>
    </w:p>
    <w:p>
      <w:pPr>
        <w:spacing w:after="0" w:line="175" w:lineRule="exact"/>
        <w:rPr>
          <w:rFonts w:ascii="Times New Roman" w:cs="Times New Roman" w:eastAsia="Times New Roman" w:hAnsi="Times New Roman"/>
          <w:sz w:val="18"/>
          <w:szCs w:val="18"/>
          <w:b w:val="1"/>
          <w:bCs w:val="1"/>
          <w:color w:val="auto"/>
        </w:rPr>
      </w:pPr>
    </w:p>
    <w:p>
      <w:pPr>
        <w:ind w:left="4" w:right="420" w:firstLine="987"/>
        <w:spacing w:after="0" w:line="276" w:lineRule="auto"/>
        <w:tabs>
          <w:tab w:leader="none" w:pos="1300" w:val="left"/>
        </w:tabs>
        <w:numPr>
          <w:ilvl w:val="2"/>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effect, with the consent of any adversely affected Participant, (A) the reduction of the exercise, purchase or strike price of any outstanding Share Award; (B) the cancellation of any outstanding Share Award and the grant in substitution therefor of a new (1) Option or SAR,</w:t>
      </w:r>
    </w:p>
    <w:p>
      <w:pPr>
        <w:ind w:left="4" w:hanging="4"/>
        <w:spacing w:after="0" w:line="253"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Award, (3) Restricted Share Unit Award, (4) Other Share Award, (5) cash and/or (6) other valuable consideration determined by the Board, in its sole discretion, with any such substituted award (x) covering the same or a different number of Common Shares as the cancelled Share Award and (y) granted under the Plan or another equity or compensatory plan of the Company; or (C) any other action that is treated as a repricing under generally accepted accounting principles.</w:t>
      </w:r>
    </w:p>
    <w:p>
      <w:pPr>
        <w:spacing w:after="0" w:line="184"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25" w:lineRule="exact"/>
        <w:rPr>
          <w:rFonts w:ascii="Times New Roman" w:cs="Times New Roman" w:eastAsia="Times New Roman" w:hAnsi="Times New Roman"/>
          <w:sz w:val="18"/>
          <w:szCs w:val="18"/>
          <w:b w:val="1"/>
          <w:bCs w:val="1"/>
          <w:color w:val="auto"/>
        </w:rPr>
      </w:pPr>
    </w:p>
    <w:p>
      <w:pPr>
        <w:ind w:left="4" w:right="40" w:firstLine="987"/>
        <w:spacing w:after="0" w:line="255" w:lineRule="auto"/>
        <w:tabs>
          <w:tab w:leader="none" w:pos="1210" w:val="left"/>
        </w:tabs>
        <w:numPr>
          <w:ilvl w:val="2"/>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Subject to the terms of Section 4(b), the Board may delegate some or all of the administration of the Plan to a Committee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84" w:lineRule="exact"/>
        <w:rPr>
          <w:rFonts w:ascii="Times New Roman" w:cs="Times New Roman" w:eastAsia="Times New Roman" w:hAnsi="Times New Roman"/>
          <w:sz w:val="18"/>
          <w:szCs w:val="18"/>
          <w:b w:val="1"/>
          <w:bCs w:val="1"/>
          <w:color w:val="auto"/>
        </w:rPr>
      </w:pPr>
    </w:p>
    <w:p>
      <w:pPr>
        <w:jc w:val="both"/>
        <w:ind w:left="4" w:right="40" w:firstLine="987"/>
        <w:spacing w:after="0" w:line="262" w:lineRule="auto"/>
        <w:tabs>
          <w:tab w:leader="none" w:pos="1260" w:val="left"/>
        </w:tabs>
        <w:numPr>
          <w:ilvl w:val="2"/>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 Act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available under Rule 16b-3, the Award will be granted by a Committee that consists solely of two or more Non-Employee Directors, as determined in accordance with Rule 16b-3 and thereafter any action establishing or modifying the terms of the Award will be approved by a Committee meeting such requirements to the extent necessary for such exemption to remain available.</w:t>
      </w:r>
    </w:p>
    <w:p>
      <w:pPr>
        <w:spacing w:after="0" w:line="176" w:lineRule="exact"/>
        <w:rPr>
          <w:rFonts w:ascii="Times New Roman" w:cs="Times New Roman" w:eastAsia="Times New Roman" w:hAnsi="Times New Roman"/>
          <w:sz w:val="18"/>
          <w:szCs w:val="18"/>
          <w:b w:val="1"/>
          <w:bCs w:val="1"/>
          <w:color w:val="auto"/>
        </w:rPr>
      </w:pPr>
    </w:p>
    <w:p>
      <w:pPr>
        <w:ind w:left="4" w:right="500" w:firstLine="436"/>
        <w:spacing w:after="0" w:line="286" w:lineRule="auto"/>
        <w:tabs>
          <w:tab w:leader="none" w:pos="709"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in good faith will not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by any person and will be final, binding and conclusive on all persons.</w:t>
      </w:r>
    </w:p>
    <w:p>
      <w:pPr>
        <w:spacing w:after="0" w:line="263" w:lineRule="exact"/>
        <w:rPr>
          <w:sz w:val="20"/>
          <w:szCs w:val="20"/>
          <w:color w:val="auto"/>
        </w:rPr>
      </w:pPr>
    </w:p>
    <w:p>
      <w:pPr>
        <w:ind w:left="184" w:hanging="184"/>
        <w:spacing w:after="0"/>
        <w:tabs>
          <w:tab w:leader="none" w:pos="18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jc w:val="both"/>
        <w:ind w:left="4" w:right="380" w:firstLine="436"/>
        <w:spacing w:after="0" w:line="268" w:lineRule="auto"/>
        <w:tabs>
          <w:tab w:leader="none" w:pos="699"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3(b) and any adjustments as necessary to implement any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the aggregate number of shares of Common Stock that may be issued pursuant to Share Awards from and after the Effective Date (the “</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will not exceed 350,000 shares.</w:t>
      </w:r>
    </w:p>
    <w:p>
      <w:pPr>
        <w:spacing w:after="0" w:line="175"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For clarity, the Share Reserve in this Section 3(a) is a limitation on the number of Common Shares that may be issued pursuant to the Plan. Accordingly, this Section 3(a) does not limit the granting of Share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4" w:name="page15"/>
    <w:bookmarkEnd w:id="14"/>
    <w:p>
      <w:pPr>
        <w:ind w:left="4" w:right="80" w:firstLine="436"/>
        <w:spacing w:after="0" w:line="255" w:lineRule="auto"/>
        <w:tabs>
          <w:tab w:leader="none" w:pos="709"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Reversion of Shares to the Share Reserve. </w:t>
      </w:r>
      <w:r>
        <w:rPr>
          <w:rFonts w:ascii="Times New Roman" w:cs="Times New Roman" w:eastAsia="Times New Roman" w:hAnsi="Times New Roman"/>
          <w:sz w:val="18"/>
          <w:szCs w:val="18"/>
          <w:color w:val="auto"/>
        </w:rPr>
        <w:t>If a Share Award or any portion thereof (i) expires or otherwise terminates without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covered by such Share Award having been issued or (ii) is settled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shares), such expiration, termination or settlement will not reduce (or otherwise offset) the number of Common Shares that may be available for issuance under the Plan. If any Common Shares issued pursuant to a Share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subject to a Share Award (or portion thereof) that are surrendered to the Company in satisfaction of tax withholding obligations on a Share Award or as consideration for the exercise or purchase price of a Share Award will again become available for issuance under the Plan.</w:t>
      </w:r>
    </w:p>
    <w:p>
      <w:pPr>
        <w:spacing w:after="0" w:line="185" w:lineRule="exact"/>
        <w:rPr>
          <w:sz w:val="20"/>
          <w:szCs w:val="20"/>
          <w:color w:val="auto"/>
        </w:rPr>
      </w:pPr>
    </w:p>
    <w:p>
      <w:pPr>
        <w:ind w:left="684" w:hanging="244"/>
        <w:spacing w:after="0"/>
        <w:tabs>
          <w:tab w:leader="none" w:pos="684"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of Shares</w:t>
      </w:r>
      <w:r>
        <w:rPr>
          <w:rFonts w:ascii="Times New Roman" w:cs="Times New Roman" w:eastAsia="Times New Roman" w:hAnsi="Times New Roman"/>
          <w:sz w:val="18"/>
          <w:szCs w:val="18"/>
          <w:color w:val="auto"/>
        </w:rPr>
        <w:t>. The shares issuable under the Plan will be authorized but unissued Common Shares.</w:t>
      </w:r>
    </w:p>
    <w:p>
      <w:pPr>
        <w:spacing w:after="0" w:line="333"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jc w:val="both"/>
        <w:ind w:left="4" w:right="80" w:firstLine="436"/>
        <w:spacing w:after="0" w:line="278" w:lineRule="auto"/>
        <w:tabs>
          <w:tab w:leader="none" w:pos="699" w:val="left"/>
        </w:tabs>
        <w:numPr>
          <w:ilvl w:val="1"/>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Eligible Award Recipients</w:t>
      </w:r>
      <w:r>
        <w:rPr>
          <w:rFonts w:ascii="Times New Roman" w:cs="Times New Roman" w:eastAsia="Times New Roman" w:hAnsi="Times New Roman"/>
          <w:sz w:val="17"/>
          <w:szCs w:val="17"/>
          <w:color w:val="auto"/>
        </w:rPr>
        <w:t>. Awards may only be granted to persons who are Eligible Employees described in Section 1(a) of the Plan, where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Award is an inducement material to the individual’s entering into employment with the Company or an Affiliate within the meaning of Rule 5635(c)</w:t>
      </w:r>
    </w:p>
    <w:p>
      <w:pPr>
        <w:spacing w:after="0" w:line="1" w:lineRule="exact"/>
        <w:rPr>
          <w:rFonts w:ascii="Times New Roman" w:cs="Times New Roman" w:eastAsia="Times New Roman" w:hAnsi="Times New Roman"/>
          <w:sz w:val="17"/>
          <w:szCs w:val="17"/>
          <w:b w:val="1"/>
          <w:bCs w:val="1"/>
          <w:color w:val="auto"/>
        </w:rPr>
      </w:pPr>
    </w:p>
    <w:p>
      <w:pPr>
        <w:ind w:left="4"/>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(4) of the Nasdaq Marketplace Rules or is otherwise permitted pursuant to Rule 5635(c) of the Nasdaq Marketplace Rules;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Share Awards may not be granted to Eligible Employees who are providing Continuous Service only to any “parent” of the Company, as such term is defined in Rule 405 of the Securities Act, unless (i) the shares underlying such Share Awards is treated as “service recipient stock” under Section 409A of the Code (for example, because the Share Awards are granted pursuant to a corporate transaction such as a spin off transaction) or (ii) the Company, in consultation with its legal counsel, has determined that such Share Awards are otherwise exempt from or comply with the distribution requirements of Section 409A of the Code.</w:t>
      </w:r>
    </w:p>
    <w:p>
      <w:pPr>
        <w:spacing w:after="0" w:line="185" w:lineRule="exact"/>
        <w:rPr>
          <w:rFonts w:ascii="Times New Roman" w:cs="Times New Roman" w:eastAsia="Times New Roman" w:hAnsi="Times New Roman"/>
          <w:sz w:val="17"/>
          <w:szCs w:val="17"/>
          <w:b w:val="1"/>
          <w:bCs w:val="1"/>
          <w:color w:val="auto"/>
        </w:rPr>
      </w:pPr>
    </w:p>
    <w:p>
      <w:pPr>
        <w:ind w:left="4" w:right="540" w:firstLine="436"/>
        <w:spacing w:after="0" w:line="286" w:lineRule="auto"/>
        <w:tabs>
          <w:tab w:leader="none" w:pos="709"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Requirements</w:t>
      </w:r>
      <w:r>
        <w:rPr>
          <w:rFonts w:ascii="Times New Roman" w:cs="Times New Roman" w:eastAsia="Times New Roman" w:hAnsi="Times New Roman"/>
          <w:sz w:val="18"/>
          <w:szCs w:val="18"/>
          <w:color w:val="auto"/>
        </w:rPr>
        <w:t>. All Awards must be granted either by a majority of the Company’s Independent Directors or the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Committee.</w:t>
      </w:r>
    </w:p>
    <w:p>
      <w:pPr>
        <w:spacing w:after="0" w:line="262"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ROVISIONS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ELATING TO</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Each Option or SAR will be in such form and will contain such terms and conditions as the Board deems appropriate. All Options will be Nonstatutory Stock Options, and, if certificates are issued, a separate certificate or certificates will be issued for Common Shares purchased on exercise. The provisions of separate Options or SARs need not be identical;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Award Agreement will conform to (through incorporation of provisions hereof by reference in the applicable Award Agreement or otherwise) the substance of each of the following provisions:</w:t>
      </w:r>
    </w:p>
    <w:p>
      <w:pPr>
        <w:spacing w:after="0" w:line="68" w:lineRule="exact"/>
        <w:rPr>
          <w:sz w:val="20"/>
          <w:szCs w:val="20"/>
          <w:color w:val="auto"/>
        </w:rPr>
      </w:pPr>
    </w:p>
    <w:p>
      <w:pPr>
        <w:ind w:left="4" w:right="220" w:firstLine="436"/>
        <w:spacing w:after="0" w:line="286" w:lineRule="auto"/>
        <w:tabs>
          <w:tab w:leader="none" w:pos="699"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No Option or SAR will be exercisable after the expiration of 10 years from the date of its grant or such shorter period specified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6" w:right="439" w:bottom="1440" w:gutter="0" w:footer="0" w:header="0"/>
        </w:sectPr>
      </w:pPr>
    </w:p>
    <w:bookmarkStart w:id="15" w:name="page16"/>
    <w:bookmarkEnd w:id="15"/>
    <w:p>
      <w:pPr>
        <w:ind w:firstLine="436"/>
        <w:spacing w:after="0" w:line="259" w:lineRule="auto"/>
        <w:tabs>
          <w:tab w:leader="none" w:pos="70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Exercise Price. </w:t>
      </w:r>
      <w:r>
        <w:rPr>
          <w:rFonts w:ascii="Times New Roman" w:cs="Times New Roman" w:eastAsia="Times New Roman" w:hAnsi="Times New Roman"/>
          <w:sz w:val="18"/>
          <w:szCs w:val="18"/>
          <w:color w:val="auto"/>
        </w:rPr>
        <w:t>The exercise or strike price of each Option or SAR will be not less than 100% of the Fair Market Value of the Common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Option or SAR on the date the Award is granted. Notwithstanding the foregoing, an Option or SAR may be granted with an exercise or strike price lower than 100% of the Fair Market Value of the Common Shares subject to the Award if such Award is granted pursuant to an assumption of or substitution for another option or share appreciation right pursuant to a corporate transaction and in a manner consistent with the provisions of Section 409A of the Code. Each SAR will be denominated in Common Share equivalents.</w:t>
      </w:r>
    </w:p>
    <w:p>
      <w:pPr>
        <w:spacing w:after="0" w:line="179" w:lineRule="exact"/>
        <w:rPr>
          <w:rFonts w:ascii="Times New Roman" w:cs="Times New Roman" w:eastAsia="Times New Roman" w:hAnsi="Times New Roman"/>
          <w:sz w:val="18"/>
          <w:szCs w:val="18"/>
          <w:b w:val="1"/>
          <w:bCs w:val="1"/>
          <w:color w:val="auto"/>
        </w:rPr>
      </w:pPr>
    </w:p>
    <w:p>
      <w:pPr>
        <w:ind w:right="40" w:firstLine="436"/>
        <w:spacing w:after="0" w:line="259" w:lineRule="auto"/>
        <w:tabs>
          <w:tab w:leader="none" w:pos="68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Purchase Price for Options. </w:t>
      </w:r>
      <w:r>
        <w:rPr>
          <w:rFonts w:ascii="Times New Roman" w:cs="Times New Roman" w:eastAsia="Times New Roman" w:hAnsi="Times New Roman"/>
          <w:sz w:val="18"/>
          <w:szCs w:val="18"/>
          <w:color w:val="auto"/>
        </w:rPr>
        <w:t>The purchase price of Common Shares acquired pursuant to the exercise of an Option may be paid,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75" w:lineRule="exact"/>
        <w:rPr>
          <w:rFonts w:ascii="Times New Roman" w:cs="Times New Roman" w:eastAsia="Times New Roman" w:hAnsi="Times New Roman"/>
          <w:sz w:val="18"/>
          <w:szCs w:val="18"/>
          <w:b w:val="1"/>
          <w:bCs w:val="1"/>
          <w:color w:val="auto"/>
        </w:rPr>
      </w:pPr>
    </w:p>
    <w:p>
      <w:pPr>
        <w:ind w:left="1200" w:hanging="213"/>
        <w:spacing w:after="0"/>
        <w:tabs>
          <w:tab w:leader="none" w:pos="120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check, bank draft or money order payable to the Company;</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66" w:lineRule="auto"/>
        <w:tabs>
          <w:tab w:leader="none" w:pos="1256"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program developed under Regulation T as promulgated by the Federal Reserve Board that, prior to the issuance of the shares subject to the Option, results in either the receipt of cash (or check) by the Company or the receipt of irrevocable instructions to pay the aggregate exercise price to the Company from the sales proceeds;</w:t>
      </w:r>
    </w:p>
    <w:p>
      <w:pPr>
        <w:spacing w:after="0" w:line="175" w:lineRule="exact"/>
        <w:rPr>
          <w:rFonts w:ascii="Times New Roman" w:cs="Times New Roman" w:eastAsia="Times New Roman" w:hAnsi="Times New Roman"/>
          <w:sz w:val="18"/>
          <w:szCs w:val="18"/>
          <w:b w:val="1"/>
          <w:bCs w:val="1"/>
          <w:color w:val="auto"/>
        </w:rPr>
      </w:pPr>
    </w:p>
    <w:p>
      <w:pPr>
        <w:ind w:right="100" w:firstLine="987"/>
        <w:spacing w:after="0" w:line="255" w:lineRule="auto"/>
        <w:tabs>
          <w:tab w:leader="none" w:pos="1306"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by a “net exercise” or “net surrender” arrangement pursuant to which a Participant surrenders Options to the Company in consideration for the Company issuing the number of Common Shares issuable upon exercise of such Options, less the largest whole number of shares with a Fair Market Value that does not exceed the aggregate exercise price of such Options;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will accept a cash or other payment from the Participant to the extent of any remaining balance of the aggregate exercise price not satisfied by such reduction in the number of whole shares to be issued. Common Shares will no longer be subject to an Option and will not be exercisable thereafter to the extent that (A) shares otherwise issuable upon exercise are used to pay the exercise price pursuant to the “net surrender,” (B) shares are delivered to the Participant as a result of such exercise, and (C) shares otherwise issuable are withheld to satisfy tax withholding obligations; or</w:t>
      </w:r>
    </w:p>
    <w:p>
      <w:pPr>
        <w:spacing w:after="0" w:line="188"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legal consideration that may be acceptable to the Board and specified in the applicable Award Agreement.</w:t>
      </w:r>
    </w:p>
    <w:p>
      <w:pPr>
        <w:spacing w:after="0" w:line="221" w:lineRule="exact"/>
        <w:rPr>
          <w:rFonts w:ascii="Times New Roman" w:cs="Times New Roman" w:eastAsia="Times New Roman" w:hAnsi="Times New Roman"/>
          <w:sz w:val="18"/>
          <w:szCs w:val="18"/>
          <w:b w:val="1"/>
          <w:bCs w:val="1"/>
          <w:color w:val="auto"/>
        </w:rPr>
      </w:pPr>
    </w:p>
    <w:p>
      <w:pPr>
        <w:ind w:firstLine="436"/>
        <w:spacing w:after="0" w:line="256" w:lineRule="auto"/>
        <w:tabs>
          <w:tab w:leader="none" w:pos="70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and Payment of a SAR. </w:t>
      </w:r>
      <w:r>
        <w:rPr>
          <w:rFonts w:ascii="Times New Roman" w:cs="Times New Roman" w:eastAsia="Times New Roman" w:hAnsi="Times New Roman"/>
          <w:sz w:val="18"/>
          <w:szCs w:val="18"/>
          <w:color w:val="auto"/>
        </w:rPr>
        <w:t>To exercise any outstanding SAR, the Participant must provide written notice of exercise to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the provisions of the Share Appreciation Right Agreement evidencing such SAR. The appreciation distribution payable on the exercise of a SAR will be not greater than an amount equal to the excess of (A) the aggregate Fair Market Value (on the date of the exercise of the SAR) of a number of Common Shares equal to the number of Common Share equivalents in which the Participant is vested under such SAR, and with respect to which the Participant is exercising the SAR on such date, over (B) the aggregate strike price of the number of Common Share equivalents with respect to which the Participant is exercising the SAR on such date. The appreciation distribution may be paid in Common Shares, in cash, in any combination of the two or in any other form of consideration, as determined by the Board and contained in the Award Agreement evidencing such SAR.</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68" w:lineRule="auto"/>
        <w:tabs>
          <w:tab w:leader="none" w:pos="68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of Options and SARs. </w:t>
      </w:r>
      <w:r>
        <w:rPr>
          <w:rFonts w:ascii="Times New Roman" w:cs="Times New Roman" w:eastAsia="Times New Roman" w:hAnsi="Times New Roman"/>
          <w:sz w:val="18"/>
          <w:szCs w:val="18"/>
          <w:color w:val="auto"/>
        </w:rPr>
        <w:t>The Board may, in its sole discretion, impose such limitations on the transferability of Options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SARs as the Board will determine. In the absence of such a determination by the Board to the contrary, the following restrictions on the transferability of Options and SARs will apply: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6" w:name="page17"/>
    <w:bookmarkEnd w:id="16"/>
    <w:p>
      <w:pPr>
        <w:ind w:left="-20" w:right="80" w:firstLine="987"/>
        <w:spacing w:after="0" w:line="262" w:lineRule="auto"/>
        <w:tabs>
          <w:tab w:leader="none" w:pos="1186"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Restrictions on Transfer</w:t>
      </w:r>
      <w:r>
        <w:rPr>
          <w:rFonts w:ascii="Times New Roman" w:cs="Times New Roman" w:eastAsia="Times New Roman" w:hAnsi="Times New Roman"/>
          <w:sz w:val="18"/>
          <w:szCs w:val="18"/>
          <w:color w:val="auto"/>
        </w:rPr>
        <w:t>. An Option or SAR will not be transferable except by will or by the laws of descent and distribution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herein, neither an Option nor a SAR may be transferred for consideration.</w:t>
      </w:r>
    </w:p>
    <w:p>
      <w:pPr>
        <w:spacing w:after="0" w:line="176" w:lineRule="exact"/>
        <w:rPr>
          <w:rFonts w:ascii="Times New Roman" w:cs="Times New Roman" w:eastAsia="Times New Roman" w:hAnsi="Times New Roman"/>
          <w:sz w:val="18"/>
          <w:szCs w:val="18"/>
          <w:b w:val="1"/>
          <w:bCs w:val="1"/>
          <w:color w:val="auto"/>
        </w:rPr>
      </w:pPr>
    </w:p>
    <w:p>
      <w:pPr>
        <w:ind w:left="-20" w:right="140" w:firstLine="987"/>
        <w:spacing w:after="0" w:line="286" w:lineRule="auto"/>
        <w:tabs>
          <w:tab w:leader="none" w:pos="1236"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Domestic Relations Orders</w:t>
      </w:r>
      <w:r>
        <w:rPr>
          <w:rFonts w:ascii="Times New Roman" w:cs="Times New Roman" w:eastAsia="Times New Roman" w:hAnsi="Times New Roman"/>
          <w:sz w:val="18"/>
          <w:szCs w:val="18"/>
          <w:color w:val="auto"/>
        </w:rPr>
        <w:t>. Subject to the approval of the Board or a duly authorized Officer, an Option or SAR may be transferred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of a domestic relations order, official marital settlement agreement or other divorce or separation instrument.</w:t>
      </w:r>
    </w:p>
    <w:p>
      <w:pPr>
        <w:spacing w:after="0" w:line="154" w:lineRule="exact"/>
        <w:rPr>
          <w:rFonts w:ascii="Times New Roman" w:cs="Times New Roman" w:eastAsia="Times New Roman" w:hAnsi="Times New Roman"/>
          <w:sz w:val="18"/>
          <w:szCs w:val="18"/>
          <w:b w:val="1"/>
          <w:bCs w:val="1"/>
          <w:color w:val="auto"/>
        </w:rPr>
      </w:pPr>
    </w:p>
    <w:p>
      <w:pPr>
        <w:ind w:left="-20" w:right="60" w:firstLine="987"/>
        <w:spacing w:after="0" w:line="256" w:lineRule="auto"/>
        <w:tabs>
          <w:tab w:leader="none" w:pos="1286"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Beneficiary Designation</w:t>
      </w:r>
      <w:r>
        <w:rPr>
          <w:rFonts w:ascii="Times New Roman" w:cs="Times New Roman" w:eastAsia="Times New Roman" w:hAnsi="Times New Roman"/>
          <w:sz w:val="18"/>
          <w:szCs w:val="18"/>
          <w:color w:val="auto"/>
        </w:rPr>
        <w:t>. Subject to the approval of the Board or a duly authorized Officer, a Participant may, by delivering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to the Company, in a form approved by the Company (or the designated broker), designate a third party who, on the death of the Participant, will thereafter be entitled to exercise the Option or SAR and receive the Common Shares or other consideration resulting from such exercise. In the absence of such a designation, upon the death of the Participant, the executor or administrator of the Participant’s estate will be entitled to exercise the Option or SAR and receive the Common Shares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82" w:lineRule="exact"/>
        <w:rPr>
          <w:rFonts w:ascii="Times New Roman" w:cs="Times New Roman" w:eastAsia="Times New Roman" w:hAnsi="Times New Roman"/>
          <w:sz w:val="18"/>
          <w:szCs w:val="18"/>
          <w:b w:val="1"/>
          <w:bCs w:val="1"/>
          <w:color w:val="auto"/>
        </w:rPr>
      </w:pPr>
    </w:p>
    <w:p>
      <w:pPr>
        <w:ind w:left="-20" w:right="180" w:firstLine="436"/>
        <w:spacing w:after="0" w:line="259" w:lineRule="auto"/>
        <w:tabs>
          <w:tab w:leader="none" w:pos="64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Generally. </w:t>
      </w:r>
      <w:r>
        <w:rPr>
          <w:rFonts w:ascii="Times New Roman" w:cs="Times New Roman" w:eastAsia="Times New Roman" w:hAnsi="Times New Roman"/>
          <w:sz w:val="18"/>
          <w:szCs w:val="18"/>
          <w:color w:val="auto"/>
        </w:rPr>
        <w:t>The total number of Common Shares subject to an Option or SAR may vest and become exercisable in periodic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Common Shares as to which an Option or SAR may be exercised.</w:t>
      </w:r>
    </w:p>
    <w:p>
      <w:pPr>
        <w:spacing w:after="0" w:line="179" w:lineRule="exact"/>
        <w:rPr>
          <w:rFonts w:ascii="Times New Roman" w:cs="Times New Roman" w:eastAsia="Times New Roman" w:hAnsi="Times New Roman"/>
          <w:sz w:val="18"/>
          <w:szCs w:val="18"/>
          <w:b w:val="1"/>
          <w:bCs w:val="1"/>
          <w:color w:val="auto"/>
        </w:rPr>
      </w:pPr>
    </w:p>
    <w:p>
      <w:pPr>
        <w:ind w:left="-20" w:firstLine="436"/>
        <w:spacing w:after="0" w:line="255" w:lineRule="auto"/>
        <w:tabs>
          <w:tab w:leader="none" w:pos="67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applicable Award Agreement or other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but only within the period of time ending on the earlier of (i) the date that is three (3) months following the termination of the Participant’s Continuous Service (or such longer or shorter period specified in the applicable Award Agreement, which period will not be less than thirty (30) days if necessary to comply with applicable laws unless such termination is for Cause)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84" w:lineRule="exact"/>
        <w:rPr>
          <w:rFonts w:ascii="Times New Roman" w:cs="Times New Roman" w:eastAsia="Times New Roman" w:hAnsi="Times New Roman"/>
          <w:sz w:val="18"/>
          <w:szCs w:val="18"/>
          <w:b w:val="1"/>
          <w:bCs w:val="1"/>
          <w:color w:val="auto"/>
        </w:rPr>
      </w:pPr>
    </w:p>
    <w:p>
      <w:pPr>
        <w:ind w:left="-20" w:right="140" w:firstLine="436"/>
        <w:spacing w:after="0" w:line="256" w:lineRule="auto"/>
        <w:tabs>
          <w:tab w:leader="none" w:pos="68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Extension of Termination Date. </w:t>
      </w:r>
      <w:r>
        <w:rPr>
          <w:rFonts w:ascii="Times New Roman" w:cs="Times New Roman" w:eastAsia="Times New Roman" w:hAnsi="Times New Roman"/>
          <w:sz w:val="18"/>
          <w:szCs w:val="18"/>
          <w:color w:val="auto"/>
        </w:rPr>
        <w:t>Except as otherwise provided in the applicable Award Agreement or other written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if the exercise of an Option or SAR following the termination of the Participant’s Continuous Service (other than for Cause and other than upon the Participant’s death or Disability) would be prohibited at any time solely because the issuance of Common Shares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or other applicable securities laws, and (ii) the expiration of the term of the Option or SAR as set forth in the applicable Award Agreement. In addition, unless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60" w:top="266" w:right="459" w:bottom="1440" w:gutter="0" w:footer="0" w:header="0"/>
        </w:sectPr>
      </w:pPr>
    </w:p>
    <w:bookmarkStart w:id="17" w:name="page18"/>
    <w:bookmarkEnd w:id="17"/>
    <w:p>
      <w:pPr>
        <w:ind w:left="4"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otherwise provided in a Participant’s Award Agreement, if the sale of any Common Shares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Shares received upon exercise of the Option or SAR would not be in violation of the Company’s insider trading policy, or (ii) the expiration of the term of the Option or SAR as set forth in the applicable Award Agreement.</w:t>
      </w:r>
    </w:p>
    <w:p>
      <w:pPr>
        <w:spacing w:after="0" w:line="183" w:lineRule="exact"/>
        <w:rPr>
          <w:sz w:val="20"/>
          <w:szCs w:val="20"/>
          <w:color w:val="auto"/>
        </w:rPr>
      </w:pPr>
    </w:p>
    <w:p>
      <w:pPr>
        <w:ind w:left="4" w:firstLine="436"/>
        <w:spacing w:after="0" w:line="256" w:lineRule="auto"/>
        <w:tabs>
          <w:tab w:leader="none" w:pos="659"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Disability of Participant. </w:t>
      </w:r>
      <w:r>
        <w:rPr>
          <w:rFonts w:ascii="Times New Roman" w:cs="Times New Roman" w:eastAsia="Times New Roman" w:hAnsi="Times New Roman"/>
          <w:sz w:val="18"/>
          <w:szCs w:val="18"/>
          <w:color w:val="auto"/>
        </w:rPr>
        <w:t>Except as otherwise provided in the applicable Award Agreement or other agreement between the Participant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which period will not be less than 6 months if necessary to comply with applicable laws)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82" w:lineRule="exact"/>
        <w:rPr>
          <w:rFonts w:ascii="Times New Roman" w:cs="Times New Roman" w:eastAsia="Times New Roman" w:hAnsi="Times New Roman"/>
          <w:sz w:val="18"/>
          <w:szCs w:val="18"/>
          <w:b w:val="1"/>
          <w:bCs w:val="1"/>
          <w:color w:val="auto"/>
        </w:rPr>
      </w:pPr>
    </w:p>
    <w:p>
      <w:pPr>
        <w:jc w:val="both"/>
        <w:ind w:left="4" w:right="140" w:firstLine="436"/>
        <w:spacing w:after="0" w:line="269" w:lineRule="auto"/>
        <w:tabs>
          <w:tab w:leader="none" w:pos="669" w:val="left"/>
        </w:tabs>
        <w:numPr>
          <w:ilvl w:val="1"/>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Death of Participant. </w:t>
      </w:r>
      <w:r>
        <w:rPr>
          <w:rFonts w:ascii="Times New Roman" w:cs="Times New Roman" w:eastAsia="Times New Roman" w:hAnsi="Times New Roman"/>
          <w:sz w:val="17"/>
          <w:szCs w:val="17"/>
          <w:color w:val="auto"/>
        </w:rPr>
        <w:t>Except as otherwise provided in the applicable Award Agreement or other agreement between the Participant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which period will not be less than 6 months if necessary to comply with applicable laws) and</w:t>
      </w:r>
    </w:p>
    <w:p>
      <w:pPr>
        <w:ind w:left="4" w:right="400" w:hanging="4"/>
        <w:spacing w:after="0" w:line="260"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term of such Option or SAR as set forth in the Award Agreement. If, after the Participant’s death, the Option or SAR is not exercised within the applicable time frame, the Option or SAR (as applicable) will terminate.</w:t>
      </w:r>
    </w:p>
    <w:p>
      <w:pPr>
        <w:spacing w:after="0" w:line="177" w:lineRule="exact"/>
        <w:rPr>
          <w:rFonts w:ascii="Times New Roman" w:cs="Times New Roman" w:eastAsia="Times New Roman" w:hAnsi="Times New Roman"/>
          <w:sz w:val="18"/>
          <w:szCs w:val="18"/>
          <w:color w:val="auto"/>
        </w:rPr>
      </w:pPr>
    </w:p>
    <w:p>
      <w:pPr>
        <w:ind w:left="4" w:right="260" w:firstLine="436"/>
        <w:spacing w:after="0" w:line="262" w:lineRule="auto"/>
        <w:tabs>
          <w:tab w:leader="none" w:pos="709"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Except as explicitly provided otherwise in a Participant’s Award Agreement or other individual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176" w:lineRule="exact"/>
        <w:rPr>
          <w:rFonts w:ascii="Times New Roman" w:cs="Times New Roman" w:eastAsia="Times New Roman" w:hAnsi="Times New Roman"/>
          <w:sz w:val="18"/>
          <w:szCs w:val="18"/>
          <w:b w:val="1"/>
          <w:bCs w:val="1"/>
          <w:color w:val="auto"/>
        </w:rPr>
      </w:pPr>
    </w:p>
    <w:p>
      <w:pPr>
        <w:ind w:left="4" w:right="180" w:firstLine="436"/>
        <w:spacing w:after="0" w:line="256" w:lineRule="auto"/>
        <w:tabs>
          <w:tab w:leader="none" w:pos="659"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Non-Exempt Employees</w:t>
      </w:r>
      <w:r>
        <w:rPr>
          <w:rFonts w:ascii="Times New Roman" w:cs="Times New Roman" w:eastAsia="Times New Roman" w:hAnsi="Times New Roman"/>
          <w:sz w:val="18"/>
          <w:szCs w:val="18"/>
          <w:color w:val="auto"/>
        </w:rPr>
        <w:t>. If an Option or SAR is granted to an Employee who is a non-exempt employee for purposes of the Fair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Act of 1938, as amended, the Option or SAR will not be first exercisable for any Common Shares until at least six (6)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6 months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8" w:name="page19"/>
    <w:bookmarkEnd w:id="18"/>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Share Award will be exempt from the employee’s regular rate of pay, the provisions of this Section 5(l) will apply to all Share Awards and are hereby incorporated by reference into such Share Award Agreements.</w:t>
      </w:r>
    </w:p>
    <w:p>
      <w:pPr>
        <w:spacing w:after="0" w:line="287" w:lineRule="exact"/>
        <w:rPr>
          <w:sz w:val="20"/>
          <w:szCs w:val="20"/>
          <w:color w:val="auto"/>
        </w:rPr>
      </w:pPr>
    </w:p>
    <w:p>
      <w:pPr>
        <w:ind w:left="184" w:hanging="184"/>
        <w:spacing w:after="0"/>
        <w:tabs>
          <w:tab w:leader="none" w:pos="18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ROVISIONS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 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SAR</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120" w:firstLine="436"/>
        <w:spacing w:after="0" w:line="256" w:lineRule="auto"/>
        <w:tabs>
          <w:tab w:leader="none" w:pos="699"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Share Awards. </w:t>
      </w:r>
      <w:r>
        <w:rPr>
          <w:rFonts w:ascii="Times New Roman" w:cs="Times New Roman" w:eastAsia="Times New Roman" w:hAnsi="Times New Roman"/>
          <w:sz w:val="18"/>
          <w:szCs w:val="18"/>
          <w:color w:val="auto"/>
        </w:rPr>
        <w:t>Each Restricted Share Award Agreement will be in such form and will contain such terms and conditions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deems appropriate. To the extent consistent with the Company’s bylaws, at the Board’s election, Common Shares may be (i) held in book entry form subject to the Company’s instructions until any restrictions relating to the Restricted Share Award lapse; or (ii) evidenced by a certificate, which certificate will be held in such form and manner as determined by the Board. The terms and conditions of Restricted Share Award Agreements may change from time to time, and the terms and conditions of separate Restricted Share Award Agreements need not be identical. Each Restricted Share Award Agreement will conform to (through incorporation of the provisions hereof by reference in the agreement or otherwise) the substance of each of the following provisions:</w:t>
      </w:r>
    </w:p>
    <w:p>
      <w:pPr>
        <w:spacing w:after="0" w:line="74" w:lineRule="exact"/>
        <w:rPr>
          <w:rFonts w:ascii="Times New Roman" w:cs="Times New Roman" w:eastAsia="Times New Roman" w:hAnsi="Times New Roman"/>
          <w:sz w:val="18"/>
          <w:szCs w:val="18"/>
          <w:b w:val="1"/>
          <w:bCs w:val="1"/>
          <w:color w:val="auto"/>
        </w:rPr>
      </w:pPr>
    </w:p>
    <w:p>
      <w:pPr>
        <w:jc w:val="both"/>
        <w:ind w:left="4" w:right="120" w:firstLine="987"/>
        <w:spacing w:after="0" w:line="268" w:lineRule="auto"/>
        <w:tabs>
          <w:tab w:leader="none" w:pos="1210" w:val="left"/>
        </w:tabs>
        <w:numPr>
          <w:ilvl w:val="2"/>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 Restricted Share Award may be awarded in consideration for (A) cash, check, bank draft or money order payable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(B) past services to the Company or an Affiliate, or (C) any other form of legal consideration that may be acceptable to a majority of the Company’s Independent Directors or the Independent Compensation Committee, and permissible under applicable law.</w:t>
      </w:r>
    </w:p>
    <w:p>
      <w:pPr>
        <w:spacing w:after="0" w:line="170" w:lineRule="exact"/>
        <w:rPr>
          <w:rFonts w:ascii="Times New Roman" w:cs="Times New Roman" w:eastAsia="Times New Roman" w:hAnsi="Times New Roman"/>
          <w:sz w:val="18"/>
          <w:szCs w:val="18"/>
          <w:b w:val="1"/>
          <w:bCs w:val="1"/>
          <w:color w:val="auto"/>
        </w:rPr>
      </w:pPr>
    </w:p>
    <w:p>
      <w:pPr>
        <w:ind w:left="4" w:right="520" w:firstLine="987"/>
        <w:spacing w:after="0" w:line="268" w:lineRule="auto"/>
        <w:tabs>
          <w:tab w:leader="none" w:pos="1260" w:val="left"/>
        </w:tabs>
        <w:numPr>
          <w:ilvl w:val="2"/>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Common Shares awarded under the Restricted Share Award Agreement may be subject to forfeiture to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a vesting schedule to be determined by a majority of the Company’s Independent Directors or the Independent Compensation Committee.</w:t>
      </w:r>
    </w:p>
    <w:p>
      <w:pPr>
        <w:spacing w:after="0" w:line="170" w:lineRule="exact"/>
        <w:rPr>
          <w:rFonts w:ascii="Times New Roman" w:cs="Times New Roman" w:eastAsia="Times New Roman" w:hAnsi="Times New Roman"/>
          <w:sz w:val="18"/>
          <w:szCs w:val="18"/>
          <w:b w:val="1"/>
          <w:bCs w:val="1"/>
          <w:color w:val="auto"/>
        </w:rPr>
      </w:pPr>
    </w:p>
    <w:p>
      <w:pPr>
        <w:ind w:left="4" w:right="120" w:firstLine="987"/>
        <w:spacing w:after="0" w:line="268" w:lineRule="auto"/>
        <w:tabs>
          <w:tab w:leader="none" w:pos="1310" w:val="left"/>
        </w:tabs>
        <w:numPr>
          <w:ilvl w:val="2"/>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Participant’s Continuous Service. </w:t>
      </w:r>
      <w:r>
        <w:rPr>
          <w:rFonts w:ascii="Times New Roman" w:cs="Times New Roman" w:eastAsia="Times New Roman" w:hAnsi="Times New Roman"/>
          <w:sz w:val="18"/>
          <w:szCs w:val="18"/>
          <w:color w:val="auto"/>
        </w:rPr>
        <w:t>If a Participant’s Continuous Service terminates, the Company may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a forfeiture condition or a repurchase right any or all of the Common Shares held by the Participant as of the date of termination of Continuous Service under the terms of the Restricted Share Award Agreement.</w:t>
      </w:r>
    </w:p>
    <w:p>
      <w:pPr>
        <w:spacing w:after="0" w:line="170" w:lineRule="exact"/>
        <w:rPr>
          <w:rFonts w:ascii="Times New Roman" w:cs="Times New Roman" w:eastAsia="Times New Roman" w:hAnsi="Times New Roman"/>
          <w:sz w:val="18"/>
          <w:szCs w:val="18"/>
          <w:b w:val="1"/>
          <w:bCs w:val="1"/>
          <w:color w:val="auto"/>
        </w:rPr>
      </w:pPr>
    </w:p>
    <w:p>
      <w:pPr>
        <w:jc w:val="both"/>
        <w:ind w:left="4" w:right="180" w:firstLine="987"/>
        <w:spacing w:after="0" w:line="291" w:lineRule="auto"/>
        <w:tabs>
          <w:tab w:leader="none" w:pos="1300" w:val="left"/>
        </w:tabs>
        <w:numPr>
          <w:ilvl w:val="2"/>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Transferability. </w:t>
      </w:r>
      <w:r>
        <w:rPr>
          <w:rFonts w:ascii="Times New Roman" w:cs="Times New Roman" w:eastAsia="Times New Roman" w:hAnsi="Times New Roman"/>
          <w:sz w:val="17"/>
          <w:szCs w:val="17"/>
          <w:color w:val="auto"/>
        </w:rPr>
        <w:t>Common Shares acquired under the Restricted Share Award Agreement will be transferable by the Participant only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such terms and conditions as are set forth in the Restricted Share Award Agreement, as the Board will determine in its sole discretion, so long as Common Shares awarded under the Restricted Share Award Agreement remains subject to the terms of the Restricted Share Award Agreement.</w:t>
      </w:r>
    </w:p>
    <w:p>
      <w:pPr>
        <w:spacing w:after="0" w:line="152" w:lineRule="exact"/>
        <w:rPr>
          <w:rFonts w:ascii="Times New Roman" w:cs="Times New Roman" w:eastAsia="Times New Roman" w:hAnsi="Times New Roman"/>
          <w:sz w:val="17"/>
          <w:szCs w:val="17"/>
          <w:b w:val="1"/>
          <w:bCs w:val="1"/>
          <w:color w:val="auto"/>
        </w:rPr>
      </w:pPr>
    </w:p>
    <w:p>
      <w:pPr>
        <w:ind w:left="4" w:right="40" w:firstLine="987"/>
        <w:spacing w:after="0" w:line="286" w:lineRule="auto"/>
        <w:tabs>
          <w:tab w:leader="none" w:pos="1250" w:val="left"/>
        </w:tabs>
        <w:numPr>
          <w:ilvl w:val="2"/>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A Restricted Share Award Agreement may provide that any dividends paid on Restricted Shares will be subject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and forfeiture restrictions as apply to the shares subject to the Restricted Share Award to which they relate.</w:t>
      </w:r>
    </w:p>
    <w:p>
      <w:pPr>
        <w:spacing w:after="0" w:line="154" w:lineRule="exact"/>
        <w:rPr>
          <w:rFonts w:ascii="Times New Roman" w:cs="Times New Roman" w:eastAsia="Times New Roman" w:hAnsi="Times New Roman"/>
          <w:sz w:val="18"/>
          <w:szCs w:val="18"/>
          <w:b w:val="1"/>
          <w:bCs w:val="1"/>
          <w:color w:val="auto"/>
        </w:rPr>
      </w:pPr>
    </w:p>
    <w:p>
      <w:pPr>
        <w:ind w:left="4" w:right="60" w:firstLine="436"/>
        <w:spacing w:after="0" w:line="259" w:lineRule="auto"/>
        <w:tabs>
          <w:tab w:leader="none" w:pos="709"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Share Unit Awards. </w:t>
      </w:r>
      <w:r>
        <w:rPr>
          <w:rFonts w:ascii="Times New Roman" w:cs="Times New Roman" w:eastAsia="Times New Roman" w:hAnsi="Times New Roman"/>
          <w:sz w:val="18"/>
          <w:szCs w:val="18"/>
          <w:color w:val="auto"/>
        </w:rPr>
        <w:t>Each Restricted Share Unit Award Agreement will be in such form and will contain such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as a majority of the Company’s Independent Directors or the Independent Compensation Committee deems appropriate. The terms and conditions of Restricted Share Unit Award Agreements may change from time to time, and the terms and conditions of separate Restricted Share Unit Award Agreements need not be identical. Each Restricted Share Unit Award Agreement will conform to (through incorporation of the provisions hereof by reference in the Restricted Share Unit Award Agreement or otherwise) the substance of each of the following provisions: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9" w:name="page20"/>
    <w:bookmarkEnd w:id="19"/>
    <w:p>
      <w:pPr>
        <w:ind w:right="20" w:firstLine="987"/>
        <w:spacing w:after="0" w:line="259" w:lineRule="auto"/>
        <w:tabs>
          <w:tab w:leader="none" w:pos="1206"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Consideration. </w:t>
      </w:r>
      <w:r>
        <w:rPr>
          <w:rFonts w:ascii="Times New Roman" w:cs="Times New Roman" w:eastAsia="Times New Roman" w:hAnsi="Times New Roman"/>
          <w:sz w:val="18"/>
          <w:szCs w:val="18"/>
          <w:color w:val="auto"/>
        </w:rPr>
        <w:t>At the time of grant of a Restricted Share Unit Award, a majority of the Company’s Independent Directors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Compensation Committee will determine the consideration, if any, to be paid by the Participant upon delivery of each Common Share subject to the Restricted Share Unit Award. The consideration to be paid (if any) by the Participant for each Common Share subject to a Restricted Share Unit Award may be paid in any form of legal consideration that may be acceptable to a majority of the Company’s Independent Directors or the Independent Compensation Committee, and permissible under applicable law.</w:t>
      </w:r>
    </w:p>
    <w:p>
      <w:pPr>
        <w:spacing w:after="0" w:line="179" w:lineRule="exact"/>
        <w:rPr>
          <w:rFonts w:ascii="Times New Roman" w:cs="Times New Roman" w:eastAsia="Times New Roman" w:hAnsi="Times New Roman"/>
          <w:sz w:val="18"/>
          <w:szCs w:val="18"/>
          <w:b w:val="1"/>
          <w:bCs w:val="1"/>
          <w:color w:val="auto"/>
        </w:rPr>
      </w:pPr>
    </w:p>
    <w:p>
      <w:pPr>
        <w:ind w:right="100" w:firstLine="987"/>
        <w:spacing w:after="0" w:line="268" w:lineRule="auto"/>
        <w:tabs>
          <w:tab w:leader="none" w:pos="1256"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At the time of the grant of a Restricted Share Unit Award, a majority of the Company’s Independent Directors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Compensation Committee may impose such restrictions on or conditions to the vesting of the Restricted Share Unit Award as it, a majority of the Company’s Independent Directors or the Independent Compensation Committee deems appropriate.</w:t>
      </w:r>
    </w:p>
    <w:p>
      <w:pPr>
        <w:spacing w:after="0" w:line="170" w:lineRule="exact"/>
        <w:rPr>
          <w:rFonts w:ascii="Times New Roman" w:cs="Times New Roman" w:eastAsia="Times New Roman" w:hAnsi="Times New Roman"/>
          <w:sz w:val="18"/>
          <w:szCs w:val="18"/>
          <w:b w:val="1"/>
          <w:bCs w:val="1"/>
          <w:color w:val="auto"/>
        </w:rPr>
      </w:pPr>
    </w:p>
    <w:p>
      <w:pPr>
        <w:jc w:val="both"/>
        <w:ind w:right="200" w:firstLine="987"/>
        <w:spacing w:after="0" w:line="268" w:lineRule="auto"/>
        <w:tabs>
          <w:tab w:leader="none" w:pos="1306"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A Restricted Share Unit Award may be settled by the delivery of Common Shares, their cash equivalent,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in any other form of consideration, as determined by a majority of the Company’s Independent Directors or the Independent Compensation Committee and contained in the Restricted Share Unit Award Agreement.</w:t>
      </w:r>
    </w:p>
    <w:p>
      <w:pPr>
        <w:spacing w:after="0" w:line="170" w:lineRule="exact"/>
        <w:rPr>
          <w:rFonts w:ascii="Times New Roman" w:cs="Times New Roman" w:eastAsia="Times New Roman" w:hAnsi="Times New Roman"/>
          <w:sz w:val="18"/>
          <w:szCs w:val="18"/>
          <w:b w:val="1"/>
          <w:bCs w:val="1"/>
          <w:color w:val="auto"/>
        </w:rPr>
      </w:pPr>
    </w:p>
    <w:p>
      <w:pPr>
        <w:ind w:right="140" w:firstLine="987"/>
        <w:spacing w:after="0" w:line="291" w:lineRule="auto"/>
        <w:tabs>
          <w:tab w:leader="none" w:pos="1296" w:val="left"/>
        </w:tabs>
        <w:numPr>
          <w:ilvl w:val="1"/>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Additional Restrictions. </w:t>
      </w:r>
      <w:r>
        <w:rPr>
          <w:rFonts w:ascii="Times New Roman" w:cs="Times New Roman" w:eastAsia="Times New Roman" w:hAnsi="Times New Roman"/>
          <w:sz w:val="17"/>
          <w:szCs w:val="17"/>
          <w:color w:val="auto"/>
        </w:rPr>
        <w:t>At the time of the grant of a Restricted Share Unit Award, a majority of the Company’s Independent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Directors or the Independent Compensation Committee, as it deems appropriate, may impose such restrictions or conditions that delay the delivery of the Common Shares (or their cash equivalent) subject to a Restricted Share Unit Award to a time after the vesting of such Restricted Share Unit Award.</w:t>
      </w:r>
    </w:p>
    <w:p>
      <w:pPr>
        <w:spacing w:after="0" w:line="152" w:lineRule="exact"/>
        <w:rPr>
          <w:rFonts w:ascii="Times New Roman" w:cs="Times New Roman" w:eastAsia="Times New Roman" w:hAnsi="Times New Roman"/>
          <w:sz w:val="17"/>
          <w:szCs w:val="17"/>
          <w:b w:val="1"/>
          <w:bCs w:val="1"/>
          <w:color w:val="auto"/>
        </w:rPr>
      </w:pPr>
    </w:p>
    <w:p>
      <w:pPr>
        <w:ind w:right="20" w:firstLine="987"/>
        <w:spacing w:after="0" w:line="256" w:lineRule="auto"/>
        <w:tabs>
          <w:tab w:leader="none" w:pos="1246"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 Equivalents. </w:t>
      </w:r>
      <w:r>
        <w:rPr>
          <w:rFonts w:ascii="Times New Roman" w:cs="Times New Roman" w:eastAsia="Times New Roman" w:hAnsi="Times New Roman"/>
          <w:sz w:val="18"/>
          <w:szCs w:val="18"/>
          <w:color w:val="auto"/>
        </w:rPr>
        <w:t>Dividend equivalents may be credited in respect of Common Shares covered by a Restricted Share Unit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determined by a majority of the Company’s Independent Directors or the Independent Compensation Committee and contained in the Restricted Share Unit Award Agreement. At the sole discretion of a majority of the Company’s Independent Directors or the Independent Compensation Committee, such dividend equivalents may be converted into additional Common Shares covered by the Restricted Share Unit Award in such manner as determined by a majority of the Company’s Independent Directors or the Independent Compensation Committee. Any additional shares covered by the Restricted Share Unit Award credited by reason of such dividend equivalents will be subject to all of the same terms and conditions of the underlying Restricted Share Unit Award Agreement to which they relate.</w:t>
      </w:r>
    </w:p>
    <w:p>
      <w:pPr>
        <w:spacing w:after="0" w:line="182" w:lineRule="exact"/>
        <w:rPr>
          <w:rFonts w:ascii="Times New Roman" w:cs="Times New Roman" w:eastAsia="Times New Roman" w:hAnsi="Times New Roman"/>
          <w:sz w:val="18"/>
          <w:szCs w:val="18"/>
          <w:b w:val="1"/>
          <w:bCs w:val="1"/>
          <w:color w:val="auto"/>
        </w:rPr>
      </w:pPr>
    </w:p>
    <w:p>
      <w:pPr>
        <w:ind w:right="140" w:firstLine="987"/>
        <w:spacing w:after="0" w:line="268" w:lineRule="auto"/>
        <w:tabs>
          <w:tab w:leader="none" w:pos="1296"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Participant’s Continuous Service. </w:t>
      </w:r>
      <w:r>
        <w:rPr>
          <w:rFonts w:ascii="Times New Roman" w:cs="Times New Roman" w:eastAsia="Times New Roman" w:hAnsi="Times New Roman"/>
          <w:sz w:val="18"/>
          <w:szCs w:val="18"/>
          <w:color w:val="auto"/>
        </w:rPr>
        <w:t>Except as otherwise provided in the applicable Restricted Share Unit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other written agreement between a Participant and the Company or an Affiliate, such portion of the Restricted Share Unit Award that has not vested will be forfeited upon the Participant’s termination of Continuous Service.</w:t>
      </w:r>
    </w:p>
    <w:p>
      <w:pPr>
        <w:spacing w:after="0" w:line="170"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56" w:lineRule="auto"/>
        <w:tabs>
          <w:tab w:leader="none" w:pos="1206"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Share Awards</w:t>
      </w:r>
      <w:r>
        <w:rPr>
          <w:rFonts w:ascii="Times New Roman" w:cs="Times New Roman" w:eastAsia="Times New Roman" w:hAnsi="Times New Roman"/>
          <w:sz w:val="18"/>
          <w:szCs w:val="18"/>
          <w:color w:val="auto"/>
        </w:rPr>
        <w:t>. A Performance Share Award is a Share Award that is payable (including that may be granted, may vest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settled) contingent upon the attainment during a Performance Period of certain Performance Goals. A Performance Share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a majority of the Company’s Independent Directors or the Independent Compensation Committee. In addition, to the extent permitted by applicable law and the applicable Award Agreement, a majority of the Company’s Independent Directors or the Independent Compensation Committee may determine that cash may be used in payment of Performance Share Awards.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6" w:right="439" w:bottom="1440" w:gutter="0" w:footer="0" w:header="0"/>
        </w:sectPr>
      </w:pPr>
    </w:p>
    <w:bookmarkStart w:id="20" w:name="page21"/>
    <w:bookmarkEnd w:id="20"/>
    <w:p>
      <w:pPr>
        <w:ind w:left="4" w:right="20" w:firstLine="987"/>
        <w:spacing w:after="0" w:line="255" w:lineRule="auto"/>
        <w:tabs>
          <w:tab w:leader="none" w:pos="1260"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Cash Awards</w:t>
      </w:r>
      <w:r>
        <w:rPr>
          <w:rFonts w:ascii="Times New Roman" w:cs="Times New Roman" w:eastAsia="Times New Roman" w:hAnsi="Times New Roman"/>
          <w:sz w:val="18"/>
          <w:szCs w:val="18"/>
          <w:color w:val="auto"/>
        </w:rPr>
        <w:t>. A Performance Cash Award is a cash award that is payable contingent upon the attainment during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a majority of the Company’s Independent Directors or the Independent Compensation Committee, in its sole discretion. A majority of the Company’s Independent Directors or the Independent Compensation Committee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84" w:lineRule="exact"/>
        <w:rPr>
          <w:rFonts w:ascii="Times New Roman" w:cs="Times New Roman" w:eastAsia="Times New Roman" w:hAnsi="Times New Roman"/>
          <w:sz w:val="18"/>
          <w:szCs w:val="18"/>
          <w:b w:val="1"/>
          <w:bCs w:val="1"/>
          <w:color w:val="auto"/>
        </w:rPr>
      </w:pPr>
    </w:p>
    <w:p>
      <w:pPr>
        <w:ind w:left="4" w:right="60" w:firstLine="987"/>
        <w:spacing w:after="0" w:line="262" w:lineRule="auto"/>
        <w:tabs>
          <w:tab w:leader="none" w:pos="1310"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Discretion</w:t>
      </w:r>
      <w:r>
        <w:rPr>
          <w:rFonts w:ascii="Times New Roman" w:cs="Times New Roman" w:eastAsia="Times New Roman" w:hAnsi="Times New Roman"/>
          <w:sz w:val="18"/>
          <w:szCs w:val="18"/>
          <w:color w:val="auto"/>
        </w:rPr>
        <w:t>. A majority of the Company’s Independent Directors or the Independent Compensation Committee retains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to adjust or eliminate the compensation or economic 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Share Award Agreement or the written terms of a Performance Cash Award.</w:t>
      </w:r>
    </w:p>
    <w:p>
      <w:pPr>
        <w:spacing w:after="0" w:line="176" w:lineRule="exact"/>
        <w:rPr>
          <w:rFonts w:ascii="Times New Roman" w:cs="Times New Roman" w:eastAsia="Times New Roman" w:hAnsi="Times New Roman"/>
          <w:sz w:val="18"/>
          <w:szCs w:val="18"/>
          <w:b w:val="1"/>
          <w:bCs w:val="1"/>
          <w:color w:val="auto"/>
        </w:rPr>
      </w:pPr>
    </w:p>
    <w:p>
      <w:pPr>
        <w:ind w:left="4" w:right="60" w:firstLine="436"/>
        <w:spacing w:after="0" w:line="256" w:lineRule="auto"/>
        <w:tabs>
          <w:tab w:leader="none" w:pos="709"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Share Awards</w:t>
      </w:r>
      <w:r>
        <w:rPr>
          <w:rFonts w:ascii="Times New Roman" w:cs="Times New Roman" w:eastAsia="Times New Roman" w:hAnsi="Times New Roman"/>
          <w:sz w:val="18"/>
          <w:szCs w:val="18"/>
          <w:color w:val="auto"/>
        </w:rPr>
        <w:t>. Other forms of Share Awards valued in whole or in part by reference to, or otherwise based on, Common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appreciation in value thereof (e.g., options or share rights with an exercise price or strike price less than 100% of the Fair Market Value of the Common Shares at the time of grant) may be granted either alone or in addition to Share Awards provided for under Section 5 and the preceding provisions of this Section 6. Subject to the provisions of the Plan, a majority of the Company’s Independent Directors or the Independent Compensation Committee will have sole and complete authority to determine the persons to whom and the time or times at which such Other Share Awards will be granted, the number of Common Shares (or the cash equivalent thereof) to be granted pursuant to such Other Share Awards and all other terms and conditions of such Other Share Awards.</w:t>
      </w:r>
    </w:p>
    <w:p>
      <w:pPr>
        <w:spacing w:after="0" w:line="290"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500" w:firstLine="436"/>
        <w:spacing w:after="0" w:line="286" w:lineRule="auto"/>
        <w:tabs>
          <w:tab w:leader="none" w:pos="699"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Availability of Shares. </w:t>
      </w:r>
      <w:r>
        <w:rPr>
          <w:rFonts w:ascii="Times New Roman" w:cs="Times New Roman" w:eastAsia="Times New Roman" w:hAnsi="Times New Roman"/>
          <w:sz w:val="18"/>
          <w:szCs w:val="18"/>
          <w:color w:val="auto"/>
        </w:rPr>
        <w:t>The Company will keep available at all times the number of Common Shares reasonably required to satisfy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Share Awards.</w:t>
      </w:r>
    </w:p>
    <w:p>
      <w:pPr>
        <w:spacing w:after="0" w:line="154" w:lineRule="exact"/>
        <w:rPr>
          <w:rFonts w:ascii="Times New Roman" w:cs="Times New Roman" w:eastAsia="Times New Roman" w:hAnsi="Times New Roman"/>
          <w:sz w:val="18"/>
          <w:szCs w:val="18"/>
          <w:b w:val="1"/>
          <w:bCs w:val="1"/>
          <w:color w:val="auto"/>
        </w:rPr>
      </w:pPr>
    </w:p>
    <w:p>
      <w:pPr>
        <w:ind w:left="4" w:firstLine="436"/>
        <w:spacing w:after="0" w:line="254" w:lineRule="auto"/>
        <w:tabs>
          <w:tab w:leader="none" w:pos="709"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The Company will seek to obtain from each regulatory commission or agency having jurisdiction over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necessary, such authority as may be required to grant Share Awards and to issue Common Shares upon exercise or settlement of the Share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undertaking will not require the Company to register under the Securities Act or other securities or applicable laws,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any Share Award or any Common Shares issued or issuable pursuant to any such Share Award. If, after reasonable efforts and at a reasonable cost, the Company is unable to obtain from any such regulatory commission or agency the authority that counsel for the Company deems necessary or advisable for the lawful issuance of Common Shares under the Plan, the Company will be relieved from any liability for failure to issue Common Shares upon exercise or settlement of such Share Awards unless and until such authority is obtained. A Participant will not be eligible for the grant of an Award or the subsequent issuance of cash or Common Shares pursuant to the Award if such grant or issuance would be in violation of any applicable securities law.</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6" w:right="459" w:bottom="1440" w:gutter="0" w:footer="0" w:header="0"/>
        </w:sectPr>
      </w:pPr>
    </w:p>
    <w:bookmarkStart w:id="21" w:name="page22"/>
    <w:bookmarkEnd w:id="21"/>
    <w:p>
      <w:pPr>
        <w:ind w:left="4" w:right="20" w:firstLine="436"/>
        <w:spacing w:after="0" w:line="262" w:lineRule="auto"/>
        <w:tabs>
          <w:tab w:leader="none" w:pos="689"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Obligation to Notify or Minimize Taxes. </w:t>
      </w:r>
      <w:r>
        <w:rPr>
          <w:rFonts w:ascii="Times New Roman" w:cs="Times New Roman" w:eastAsia="Times New Roman" w:hAnsi="Times New Roman"/>
          <w:sz w:val="18"/>
          <w:szCs w:val="18"/>
          <w:color w:val="auto"/>
        </w:rPr>
        <w:t>The Company will have no duty or obligation to any Participant to advise such holder as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treatment or time or manner of exercising such Share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284"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firstLine="436"/>
        <w:spacing w:after="0" w:line="286" w:lineRule="auto"/>
        <w:tabs>
          <w:tab w:leader="none" w:pos="699"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Issuance of Common Shares. </w:t>
      </w:r>
      <w:r>
        <w:rPr>
          <w:rFonts w:ascii="Times New Roman" w:cs="Times New Roman" w:eastAsia="Times New Roman" w:hAnsi="Times New Roman"/>
          <w:sz w:val="18"/>
          <w:szCs w:val="18"/>
          <w:color w:val="auto"/>
        </w:rPr>
        <w:t>Proceeds from the issuance of Common Shares pursuant to Share Awards will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funds of the Company.</w:t>
      </w:r>
    </w:p>
    <w:p>
      <w:pPr>
        <w:spacing w:after="0" w:line="154" w:lineRule="exact"/>
        <w:rPr>
          <w:rFonts w:ascii="Times New Roman" w:cs="Times New Roman" w:eastAsia="Times New Roman" w:hAnsi="Times New Roman"/>
          <w:sz w:val="18"/>
          <w:szCs w:val="18"/>
          <w:b w:val="1"/>
          <w:bCs w:val="1"/>
          <w:color w:val="auto"/>
        </w:rPr>
      </w:pPr>
    </w:p>
    <w:p>
      <w:pPr>
        <w:ind w:left="4" w:firstLine="436"/>
        <w:spacing w:after="0" w:line="256" w:lineRule="auto"/>
        <w:tabs>
          <w:tab w:leader="none" w:pos="709"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82" w:lineRule="exact"/>
        <w:rPr>
          <w:rFonts w:ascii="Times New Roman" w:cs="Times New Roman" w:eastAsia="Times New Roman" w:hAnsi="Times New Roman"/>
          <w:sz w:val="18"/>
          <w:szCs w:val="18"/>
          <w:b w:val="1"/>
          <w:bCs w:val="1"/>
          <w:color w:val="auto"/>
        </w:rPr>
      </w:pPr>
    </w:p>
    <w:p>
      <w:pPr>
        <w:jc w:val="both"/>
        <w:ind w:left="4" w:right="140" w:firstLine="436"/>
        <w:spacing w:after="0" w:line="262" w:lineRule="auto"/>
        <w:tabs>
          <w:tab w:leader="none" w:pos="689"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subject to an Award unless and until (i) such Participant has satisfied all requirements for exercise of, or the issuance of Common Shares under, the Award pursuant to its terms, and (ii) the issuance of the Common Shares subject to such Award has been entered into the books and records of the Company.</w:t>
      </w:r>
    </w:p>
    <w:p>
      <w:pPr>
        <w:spacing w:after="0" w:line="176" w:lineRule="exact"/>
        <w:rPr>
          <w:rFonts w:ascii="Times New Roman" w:cs="Times New Roman" w:eastAsia="Times New Roman" w:hAnsi="Times New Roman"/>
          <w:sz w:val="18"/>
          <w:szCs w:val="18"/>
          <w:b w:val="1"/>
          <w:bCs w:val="1"/>
          <w:color w:val="auto"/>
        </w:rPr>
      </w:pPr>
    </w:p>
    <w:p>
      <w:pPr>
        <w:ind w:left="4" w:right="20" w:firstLine="436"/>
        <w:spacing w:after="0" w:line="254" w:lineRule="auto"/>
        <w:tabs>
          <w:tab w:leader="none" w:pos="709"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will affect the right of the Company or an Affiliate to terminate (i) subject to applicable employment standards legislation,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 For clarity, if a Participant ceases to be an Employee, such Participant will not be entitled to any compensation for any loss of any right or benefit or prospective right or benefit pursuant to or in connection with the Plan whether such compensation is claimed by way of damages for wrongful dismissal or other breach of contract or by way of compensation for loss of employment or office or otherwise howsoever.</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66" w:right="479" w:bottom="1440" w:gutter="0" w:footer="0" w:header="0"/>
        </w:sectPr>
      </w:pPr>
    </w:p>
    <w:bookmarkStart w:id="22" w:name="page23"/>
    <w:bookmarkEnd w:id="22"/>
    <w:p>
      <w:pPr>
        <w:ind w:left="4" w:right="20" w:firstLine="436"/>
        <w:spacing w:after="0" w:line="256" w:lineRule="auto"/>
        <w:tabs>
          <w:tab w:leader="none" w:pos="689"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in Time Commitment</w:t>
      </w:r>
      <w:r>
        <w:rPr>
          <w:rFonts w:ascii="Times New Roman" w:cs="Times New Roman" w:eastAsia="Times New Roman" w:hAnsi="Times New Roman"/>
          <w:sz w:val="18"/>
          <w:szCs w:val="18"/>
          <w:color w:val="auto"/>
        </w:rPr>
        <w:t>. 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 leave of absence) after the date of grant of any Award to the Participant, subject to applicable employment standards legislation,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2" w:lineRule="exact"/>
        <w:rPr>
          <w:rFonts w:ascii="Times New Roman" w:cs="Times New Roman" w:eastAsia="Times New Roman" w:hAnsi="Times New Roman"/>
          <w:sz w:val="18"/>
          <w:szCs w:val="18"/>
          <w:b w:val="1"/>
          <w:bCs w:val="1"/>
          <w:color w:val="auto"/>
        </w:rPr>
      </w:pPr>
    </w:p>
    <w:p>
      <w:pPr>
        <w:ind w:left="664" w:hanging="224"/>
        <w:spacing w:after="0"/>
        <w:tabs>
          <w:tab w:leader="none" w:pos="664"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Assurances. </w:t>
      </w:r>
      <w:r>
        <w:rPr>
          <w:rFonts w:ascii="Times New Roman" w:cs="Times New Roman" w:eastAsia="Times New Roman" w:hAnsi="Times New Roman"/>
          <w:sz w:val="18"/>
          <w:szCs w:val="18"/>
          <w:color w:val="auto"/>
        </w:rPr>
        <w:t>The Company may require a Participant, as a condition of exercising or acquiring Common Shares under any Award,</w:t>
      </w:r>
    </w:p>
    <w:p>
      <w:pPr>
        <w:spacing w:after="0" w:line="31" w:lineRule="exact"/>
        <w:rPr>
          <w:rFonts w:ascii="Times New Roman" w:cs="Times New Roman" w:eastAsia="Times New Roman" w:hAnsi="Times New Roman"/>
          <w:sz w:val="18"/>
          <w:szCs w:val="18"/>
          <w:b w:val="1"/>
          <w:bCs w:val="1"/>
          <w:color w:val="auto"/>
        </w:rPr>
      </w:pPr>
    </w:p>
    <w:p>
      <w:pPr>
        <w:ind w:left="4" w:hanging="4"/>
        <w:spacing w:after="0" w:line="251" w:lineRule="auto"/>
        <w:tabs>
          <w:tab w:leader="none" w:pos="2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Shares subject to the Award for the Participant’s own account and not with any present intention of selling or otherwise distributing the Common Shares. The foregoing requirements, and any assurances given pursuant to such requirements, will be inoperative if (A) the issuance of the shares upon the exercise or acquisition of Common Shares under the Share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share certificates issued under the Plan as such counsel deems necessary or appropriate in order to comply with applicable securities laws, including, but not limited to, legends restricting the transfer of the Common Shares.</w:t>
      </w:r>
    </w:p>
    <w:p>
      <w:pPr>
        <w:spacing w:after="0" w:line="188" w:lineRule="exact"/>
        <w:rPr>
          <w:rFonts w:ascii="Times New Roman" w:cs="Times New Roman" w:eastAsia="Times New Roman" w:hAnsi="Times New Roman"/>
          <w:sz w:val="18"/>
          <w:szCs w:val="18"/>
          <w:color w:val="auto"/>
        </w:rPr>
      </w:pPr>
    </w:p>
    <w:p>
      <w:pPr>
        <w:ind w:left="4" w:right="160" w:firstLine="436"/>
        <w:spacing w:after="0" w:line="256" w:lineRule="auto"/>
        <w:tabs>
          <w:tab w:leader="none" w:pos="69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Obligations. </w:t>
      </w:r>
      <w:r>
        <w:rPr>
          <w:rFonts w:ascii="Times New Roman" w:cs="Times New Roman" w:eastAsia="Times New Roman" w:hAnsi="Times New Roman"/>
          <w:sz w:val="18"/>
          <w:szCs w:val="18"/>
          <w:color w:val="auto"/>
        </w:rPr>
        <w:t>Unless prohibited by the terms of an Award Agreement, the Company may, in its sole discretion, satisfy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federal, foreign, state, provincial or local tax withholding obligation relating to an Award by any of the following means or by a combination of such means: (i) causing the Participant to tender a cash payment; (ii) withholding Common Shares from the Common Shares issued or otherwise issuable to the Participant in connection with the Share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Common Shares are withheld with a value exceeding the maximum amount of tax required to be withheld by law (or such lesser amount as may be necessary to avoid classification of the Share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182"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Any reference herein to a “written” agreement or document will include any agreement or document delivered</w:t>
      </w:r>
    </w:p>
    <w:p>
      <w:pPr>
        <w:spacing w:after="0" w:line="31" w:lineRule="exact"/>
        <w:rPr>
          <w:rFonts w:ascii="Times New Roman" w:cs="Times New Roman" w:eastAsia="Times New Roman" w:hAnsi="Times New Roman"/>
          <w:sz w:val="18"/>
          <w:szCs w:val="18"/>
          <w:b w:val="1"/>
          <w:bCs w:val="1"/>
          <w:color w:val="auto"/>
        </w:rPr>
      </w:pPr>
    </w:p>
    <w:p>
      <w:pPr>
        <w:ind w:left="4" w:right="8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electronically, filed publicly at www.sec.gov (or any successor website thereto) or posted on the Company’s intranet (or other shared electronic medium controlled by the Company to which the Participant has access).</w:t>
      </w:r>
    </w:p>
    <w:p>
      <w:pPr>
        <w:spacing w:after="0" w:line="177" w:lineRule="exact"/>
        <w:rPr>
          <w:rFonts w:ascii="Times New Roman" w:cs="Times New Roman" w:eastAsia="Times New Roman" w:hAnsi="Times New Roman"/>
          <w:sz w:val="18"/>
          <w:szCs w:val="18"/>
          <w:b w:val="1"/>
          <w:bCs w:val="1"/>
          <w:color w:val="auto"/>
        </w:rPr>
      </w:pPr>
    </w:p>
    <w:p>
      <w:pPr>
        <w:ind w:left="4" w:right="100" w:firstLine="436"/>
        <w:spacing w:after="0" w:line="256" w:lineRule="auto"/>
        <w:tabs>
          <w:tab w:leader="none" w:pos="65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Shares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or the Tax Act, as applicable. Consistent with Section 409A of the Code or the Tax Act, as applicable,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66" w:right="439" w:bottom="1440" w:gutter="0" w:footer="0" w:header="0"/>
        </w:sectPr>
      </w:pPr>
    </w:p>
    <w:bookmarkStart w:id="23" w:name="page24"/>
    <w:bookmarkEnd w:id="23"/>
    <w:p>
      <w:pPr>
        <w:ind w:left="4" w:right="20" w:firstLine="436"/>
        <w:spacing w:after="0" w:line="255" w:lineRule="auto"/>
        <w:tabs>
          <w:tab w:leader="none" w:pos="669"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Clawback/Recovery</w:t>
      </w:r>
      <w:r>
        <w:rPr>
          <w:rFonts w:ascii="Times New Roman" w:cs="Times New Roman" w:eastAsia="Times New Roman" w:hAnsi="Times New Roman"/>
          <w:sz w:val="18"/>
          <w:szCs w:val="18"/>
          <w:color w:val="auto"/>
        </w:rPr>
        <w:t>. 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Common Shares or other cash or property upon the occurrence of an event constituting Cause. No recovery of compensation under such a clawback policy will be an event giving rise to a right to voluntary terminate employment upon a “resignation for good reason,” or for a “constructive termination” or any similar term under any plan of or agreement with the Company.</w:t>
      </w:r>
    </w:p>
    <w:p>
      <w:pPr>
        <w:spacing w:after="0" w:line="184" w:lineRule="exact"/>
        <w:rPr>
          <w:rFonts w:ascii="Times New Roman" w:cs="Times New Roman" w:eastAsia="Times New Roman" w:hAnsi="Times New Roman"/>
          <w:sz w:val="18"/>
          <w:szCs w:val="18"/>
          <w:b w:val="1"/>
          <w:bCs w:val="1"/>
          <w:color w:val="auto"/>
        </w:rPr>
      </w:pPr>
    </w:p>
    <w:p>
      <w:pPr>
        <w:ind w:left="4" w:right="20" w:firstLine="436"/>
        <w:spacing w:after="0" w:line="268" w:lineRule="auto"/>
        <w:tabs>
          <w:tab w:leader="none" w:pos="709" w:val="left"/>
        </w:tabs>
        <w:numPr>
          <w:ilvl w:val="1"/>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Compliance with Section 409A of the Code. </w:t>
      </w:r>
      <w:r>
        <w:rPr>
          <w:rFonts w:ascii="Times New Roman" w:cs="Times New Roman" w:eastAsia="Times New Roman" w:hAnsi="Times New Roman"/>
          <w:sz w:val="17"/>
          <w:szCs w:val="17"/>
          <w:color w:val="auto"/>
        </w:rPr>
        <w:t>Unless otherwise expressly provided for in an Award Agreement, to the extent applicable,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Plan and Award Agreements will be interpreted to the greatest extent possible in a manner that makes the Plan and the Awards granted hereunder exempt from Section 409A of the Code, and, to the extent not so exempt, in compliance with Section 409A of the Code. To the extent Section 409A of the Code is applicable,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Common Shares are publicly traded, and if a Participant holding an Award that constitutes “deferred compensation” under</w:t>
      </w:r>
    </w:p>
    <w:p>
      <w:pPr>
        <w:spacing w:after="0" w:line="4" w:lineRule="exact"/>
        <w:rPr>
          <w:rFonts w:ascii="Times New Roman" w:cs="Times New Roman" w:eastAsia="Times New Roman" w:hAnsi="Times New Roman"/>
          <w:sz w:val="17"/>
          <w:szCs w:val="17"/>
          <w:b w:val="1"/>
          <w:bCs w:val="1"/>
          <w:color w:val="auto"/>
        </w:rPr>
      </w:pPr>
    </w:p>
    <w:p>
      <w:pPr>
        <w:ind w:left="4"/>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82" w:lineRule="exact"/>
        <w:rPr>
          <w:rFonts w:ascii="Times New Roman" w:cs="Times New Roman" w:eastAsia="Times New Roman" w:hAnsi="Times New Roman"/>
          <w:sz w:val="17"/>
          <w:szCs w:val="17"/>
          <w:b w:val="1"/>
          <w:bCs w:val="1"/>
          <w:color w:val="auto"/>
        </w:rPr>
      </w:pPr>
    </w:p>
    <w:p>
      <w:pPr>
        <w:ind w:left="4" w:right="160" w:firstLine="436"/>
        <w:spacing w:after="0" w:line="268" w:lineRule="auto"/>
        <w:tabs>
          <w:tab w:leader="none" w:pos="659"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 Act Elections. </w:t>
      </w:r>
      <w:r>
        <w:rPr>
          <w:rFonts w:ascii="Times New Roman" w:cs="Times New Roman" w:eastAsia="Times New Roman" w:hAnsi="Times New Roman"/>
          <w:sz w:val="18"/>
          <w:szCs w:val="18"/>
          <w:color w:val="auto"/>
        </w:rPr>
        <w:t>In the sole discretion of the Board, the Company may elect where applicable under subsection 110(1.1) of the Tax Act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of the following: (i) “net surrender” of an Option pursuant to Section 5(c)(iii), (ii) cancellation of an Option pursuant to Section 9(c)(v), or (iii) payment in respect of an Option pursuant to Section 9(c)(vi).</w:t>
      </w:r>
    </w:p>
    <w:p>
      <w:pPr>
        <w:spacing w:after="0" w:line="278"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280" w:firstLine="436"/>
        <w:spacing w:after="0" w:line="268" w:lineRule="auto"/>
        <w:tabs>
          <w:tab w:leader="none" w:pos="699"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will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securities subject to the Plan pursuant to Section 3(a) and (ii) the class(es) and number of securities and price per share subject to outstanding Share Awards. The Board will make such adjustments, and its determination will be final, binding and conclusive.</w:t>
      </w:r>
    </w:p>
    <w:p>
      <w:pPr>
        <w:spacing w:after="0" w:line="107"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4"/>
          </w:cols>
          <w:pgMar w:left="436" w:top="266" w:right="539" w:bottom="1440" w:gutter="0" w:footer="0" w:header="0"/>
        </w:sectPr>
      </w:pPr>
    </w:p>
    <w:bookmarkStart w:id="24" w:name="page25"/>
    <w:bookmarkEnd w:id="24"/>
    <w:p>
      <w:pPr>
        <w:ind w:right="20" w:firstLine="436"/>
        <w:spacing w:after="0" w:line="256" w:lineRule="auto"/>
        <w:tabs>
          <w:tab w:leader="none" w:pos="70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Dissolution</w:t>
      </w:r>
      <w:r>
        <w:rPr>
          <w:rFonts w:ascii="Times New Roman" w:cs="Times New Roman" w:eastAsia="Times New Roman" w:hAnsi="Times New Roman"/>
          <w:sz w:val="18"/>
          <w:szCs w:val="18"/>
          <w:color w:val="auto"/>
        </w:rPr>
        <w:t>. Except as otherwise provided in the Share Award Agreement, in the event of a Dissolution of the Company, all outstanding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Awards (other than Share Awards consisting of vested and outstanding Common Shares not subject to a forfeiture condition or the Company’s right of repurchase) will terminate immediately prior to the completion of such Dissolution, and the Common Shares subject to the Company’s repurchase rights or subject to a forfeiture condition may be repurchased or reacquired by the Company notwithstanding the fact that the holder of such Share Award is providing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may, in its sole discretion, cause some or all Share Awards to become fully vested, exercisable and/or no longer subject to repurchase or forfeiture (to the extent such Share Awards have not previously expired or terminated) before the Dissolution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62" w:lineRule="auto"/>
        <w:tabs>
          <w:tab w:leader="none" w:pos="68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Transaction. </w:t>
      </w:r>
      <w:r>
        <w:rPr>
          <w:rFonts w:ascii="Times New Roman" w:cs="Times New Roman" w:eastAsia="Times New Roman" w:hAnsi="Times New Roman"/>
          <w:sz w:val="18"/>
          <w:szCs w:val="18"/>
          <w:color w:val="auto"/>
        </w:rPr>
        <w:t>The following provisions will apply to Share Awards in the event of a Transaction unless otherwise provided in the Share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any other written agreement between the Company or any Affiliate and the Participant or unless otherwise expressly provided by the Board at the time of grant of a Share Award. In the event of a Transaction, then, notwithstanding any other provision of the Plan, the Board may take one or more of the following actions with respect to Share Awards, contingent upon the closing or completion of the Transaction:</w:t>
      </w:r>
    </w:p>
    <w:p>
      <w:pPr>
        <w:spacing w:after="0" w:line="72" w:lineRule="exact"/>
        <w:rPr>
          <w:rFonts w:ascii="Times New Roman" w:cs="Times New Roman" w:eastAsia="Times New Roman" w:hAnsi="Times New Roman"/>
          <w:sz w:val="18"/>
          <w:szCs w:val="18"/>
          <w:b w:val="1"/>
          <w:bCs w:val="1"/>
          <w:color w:val="auto"/>
        </w:rPr>
      </w:pPr>
    </w:p>
    <w:p>
      <w:pPr>
        <w:ind w:right="160" w:firstLine="987"/>
        <w:spacing w:after="0" w:line="266" w:lineRule="auto"/>
        <w:tabs>
          <w:tab w:leader="none" w:pos="1206"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arrange for the surviving corporation or acquiring corporation (or the surviving or acquiring corporation’s parent company) to assume or continue the Share Award or to substitute a similar share award for the Share Award (including, but not limited to, an award to acquire the same consideration paid to the shareholders of the Company pursuant to the Transaction);</w:t>
      </w:r>
    </w:p>
    <w:p>
      <w:pPr>
        <w:spacing w:after="0" w:line="175" w:lineRule="exact"/>
        <w:rPr>
          <w:rFonts w:ascii="Times New Roman" w:cs="Times New Roman" w:eastAsia="Times New Roman" w:hAnsi="Times New Roman"/>
          <w:sz w:val="18"/>
          <w:szCs w:val="18"/>
          <w:b w:val="1"/>
          <w:bCs w:val="1"/>
          <w:color w:val="auto"/>
        </w:rPr>
      </w:pPr>
    </w:p>
    <w:p>
      <w:pPr>
        <w:jc w:val="both"/>
        <w:ind w:right="620" w:firstLine="987"/>
        <w:spacing w:after="0" w:line="312" w:lineRule="auto"/>
        <w:tabs>
          <w:tab w:leader="none" w:pos="1256" w:val="left"/>
        </w:tabs>
        <w:numPr>
          <w:ilvl w:val="1"/>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arrange for the assignment of any reacquisition or repurchase rights held by the Company in respect of Common Shares issued pursuant to the Share Award to the surviving corporation or acquiring corporation (or the surviving or acquiring corporation’s parent company);</w:t>
      </w:r>
    </w:p>
    <w:p>
      <w:pPr>
        <w:spacing w:after="0" w:line="139" w:lineRule="exact"/>
        <w:rPr>
          <w:rFonts w:ascii="Times New Roman" w:cs="Times New Roman" w:eastAsia="Times New Roman" w:hAnsi="Times New Roman"/>
          <w:sz w:val="17"/>
          <w:szCs w:val="17"/>
          <w:b w:val="1"/>
          <w:bCs w:val="1"/>
          <w:color w:val="auto"/>
        </w:rPr>
      </w:pPr>
    </w:p>
    <w:p>
      <w:pPr>
        <w:ind w:right="200" w:firstLine="987"/>
        <w:spacing w:after="0" w:line="258" w:lineRule="auto"/>
        <w:tabs>
          <w:tab w:leader="none" w:pos="1306"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accelerate the vesting, in whole or in part, of the Share Award (and, if applicable, the time at which the Share Award may be exercised) to a date prior to the effective time of such Transaction as the Board determines (or, if the Board does not determine such a date, to the date that is five days prior to the effective date of the Transaction), with such Share Award terminating if not exercised (if applicable) at or prior to the effective time of the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require Participants to complete and deliver to the Company a notice of exercise before the effective date of a Transaction, which exercise is contingent upon the effectiveness of such Transaction;</w:t>
      </w:r>
    </w:p>
    <w:p>
      <w:pPr>
        <w:spacing w:after="0" w:line="183"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arrange for the lapse, in whole or in part, of any reacquisition or repurchase rights held by the Company with respect to the Share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Award;</w:t>
      </w:r>
    </w:p>
    <w:p>
      <w:pPr>
        <w:spacing w:after="0" w:line="206" w:lineRule="exact"/>
        <w:rPr>
          <w:rFonts w:ascii="Times New Roman" w:cs="Times New Roman" w:eastAsia="Times New Roman" w:hAnsi="Times New Roman"/>
          <w:sz w:val="18"/>
          <w:szCs w:val="18"/>
          <w:b w:val="1"/>
          <w:bCs w:val="1"/>
          <w:color w:val="auto"/>
        </w:rPr>
      </w:pPr>
    </w:p>
    <w:p>
      <w:pPr>
        <w:ind w:right="360" w:firstLine="987"/>
        <w:spacing w:after="0" w:line="282" w:lineRule="auto"/>
        <w:tabs>
          <w:tab w:leader="none" w:pos="1246"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cancel or arrange for the cancellation of the Share Award, to the extent not vested or not exercised prior to the effective time of the Transaction, in exchange for such cash consideration, if any, as the Board, in its sole discretion, may consider appropriate; and</w:t>
      </w:r>
    </w:p>
    <w:p>
      <w:pPr>
        <w:spacing w:after="0" w:line="161" w:lineRule="exact"/>
        <w:rPr>
          <w:rFonts w:ascii="Times New Roman" w:cs="Times New Roman" w:eastAsia="Times New Roman" w:hAnsi="Times New Roman"/>
          <w:sz w:val="18"/>
          <w:szCs w:val="18"/>
          <w:b w:val="1"/>
          <w:bCs w:val="1"/>
          <w:color w:val="auto"/>
        </w:rPr>
      </w:pPr>
    </w:p>
    <w:p>
      <w:pPr>
        <w:ind w:right="20" w:firstLine="987"/>
        <w:spacing w:after="0" w:line="258" w:lineRule="auto"/>
        <w:tabs>
          <w:tab w:leader="none" w:pos="1296"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make a payment, in such form as may be determined by the Board equal to the excess, if any, of (A) the value of the property the Participant would have received upon the exercise of the Share Award immediately prior to the effective time of the Transaction, over (B) any exercise price payable by such holder in connection with such exercise. For clarity, this payment may be $0 if the value of the property is equal to or less than the exercise price. Payments under this provision may be delayed to the same extent that payment of consideration to the holders of the Company’s Common Shares in connection with the Transaction is delayed as a result of escrows, earn outs, holdbacks or any other contingencies.</w:t>
      </w:r>
    </w:p>
    <w:p>
      <w:pPr>
        <w:spacing w:after="0" w:line="183"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Board need not take the same action or actions with respect to all Share Awards or portions thereof or with respect to all Participants. The Board may take different actions with respect to the vested and unvested portions of a Share Award.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25" w:name="page26"/>
    <w:bookmarkEnd w:id="25"/>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in the event of a Transaction in which the surviving corporation or acquiring corporation (or its parent company) does not assume or continue outstanding Share Awards or substitute similar awards for such outstanding Share Awards, then with respect to Share Awards that have not been assumed, continued or substituted and that are held by Participants whose Continuous Service has not terminated prior to the effective time of the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and that would otherwise terminate in connection with the Transaction, the vesting of such Share Awards (and, with respect to Options and Share Appreciation Rights, the time when such Share Awards may be exercised) will be accelerated in full to a date prior to the effective time of such Transaction (contingent upon the effectiveness of the Transaction) as the Board determines (or, if the Board does not determine such a date, to the date that is 5 days prior to the effective time of the Transaction), and such Share Awards will terminate if not exercised (if applicable) at or prior to the effective time of the Transaction, and any reacquisition or repurchase rights held by the Company with respect to such Awards will lapse (contingent upon the effectiveness of the Transaction). With respect to the vesting of Performance Share Awards or Performance Cash Awards that will accelerate upon the occurrence of a Transaction pursuant to this paragraph and that have multiple vesting levels depending on the level of performance, unless otherwise provided in the Award Agreement, the vesting of such Awards will accelerate at 100% of the target level upon the occurrence of the Transaction. With respect to the vesting of Awards that will accelerate upon the occurrence of a Transaction pursuant to this paragraph and are settled in the form of a cash payment, such cash payment will be made no later than 30 days following the occurrence of the Transaction.</w:t>
      </w:r>
    </w:p>
    <w:p>
      <w:pPr>
        <w:spacing w:after="0" w:line="193" w:lineRule="exact"/>
        <w:rPr>
          <w:sz w:val="20"/>
          <w:szCs w:val="20"/>
          <w:color w:val="auto"/>
        </w:rPr>
      </w:pPr>
    </w:p>
    <w:p>
      <w:pPr>
        <w:jc w:val="both"/>
        <w:ind w:left="4" w:right="120" w:firstLine="436"/>
        <w:spacing w:after="0" w:line="268" w:lineRule="auto"/>
        <w:tabs>
          <w:tab w:leader="none" w:pos="709"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In addition, a Share Award may be subject to additional acceleration of vesting and exercisability upon or after a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Control as may be provided in the Share Award Agreement for such Share Award or as may be provided in any other written agreement between the Company or any Affiliate and the Participant, but in the absence of such provision, no such acceleration will occur.</w:t>
      </w:r>
    </w:p>
    <w:p>
      <w:pPr>
        <w:spacing w:after="0" w:line="278"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ARLIER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 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USPENSION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The Board may suspend or terminate the Plan at any time. No Awards may be granted under the Plan while the Plan is suspended or after it is terminated.</w:t>
      </w:r>
    </w:p>
    <w:p>
      <w:pPr>
        <w:spacing w:after="0" w:line="266" w:lineRule="exact"/>
        <w:rPr>
          <w:sz w:val="20"/>
          <w:szCs w:val="20"/>
          <w:color w:val="auto"/>
        </w:rPr>
      </w:pPr>
    </w:p>
    <w:p>
      <w:pPr>
        <w:ind w:left="264" w:hanging="264"/>
        <w:spacing w:after="0"/>
        <w:tabs>
          <w:tab w:leader="none" w:pos="26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XISTENCE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Plan will take effect on the date on which it is adopted by the Board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264" w:hanging="264"/>
        <w:spacing w:after="0"/>
        <w:tabs>
          <w:tab w:leader="none" w:pos="26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The laws of the province of Quebec and the laws of Canada applicable therein will govern all questions concerning the construction, validity and interpretation of this Plan.</w:t>
      </w:r>
    </w:p>
    <w:p>
      <w:pPr>
        <w:spacing w:after="0" w:line="158" w:lineRule="exact"/>
        <w:rPr>
          <w:sz w:val="20"/>
          <w:szCs w:val="20"/>
          <w:color w:val="auto"/>
        </w:rPr>
      </w:pPr>
    </w:p>
    <w:p>
      <w:pPr>
        <w:ind w:left="264" w:hanging="264"/>
        <w:spacing w:after="0"/>
        <w:tabs>
          <w:tab w:leader="none" w:pos="26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117" w:lineRule="exact"/>
        <w:rPr>
          <w:rFonts w:ascii="Times New Roman" w:cs="Times New Roman" w:eastAsia="Times New Roman" w:hAnsi="Times New Roman"/>
          <w:sz w:val="18"/>
          <w:szCs w:val="18"/>
          <w:b w:val="1"/>
          <w:bCs w:val="1"/>
          <w:color w:val="auto"/>
        </w:rPr>
      </w:pPr>
    </w:p>
    <w:p>
      <w:pPr>
        <w:ind w:left="4" w:right="420" w:firstLine="436"/>
        <w:spacing w:after="0" w:line="268" w:lineRule="auto"/>
        <w:tabs>
          <w:tab w:leader="none" w:pos="699"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 Share Award or a Performance Cash Award.</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70" w:right="439" w:bottom="1440" w:gutter="0" w:footer="0" w:header="0"/>
        </w:sectPr>
      </w:pPr>
    </w:p>
    <w:bookmarkStart w:id="26" w:name="page27"/>
    <w:bookmarkEnd w:id="26"/>
    <w:p>
      <w:pPr>
        <w:ind w:left="680" w:hanging="244"/>
        <w:spacing w:after="0"/>
        <w:tabs>
          <w:tab w:leader="none" w:pos="6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w:t>
      </w:r>
    </w:p>
    <w:p>
      <w:pPr>
        <w:spacing w:after="0" w:line="225"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firstLine="436"/>
        <w:spacing w:after="0" w:line="256" w:lineRule="auto"/>
        <w:tabs>
          <w:tab w:leader="none" w:pos="68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Shares subject to the Plan or subject to any Share Award after the Effective Date without the receipt of consideration by the Company through merger, amalgamation, arrangement, consolidation, reorganization, recapitalization, reincorporation, share dividend, dividend in property other than cash, large nonrecurring cash dividend, share split, reverse share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2" w:lineRule="exact"/>
        <w:rPr>
          <w:rFonts w:ascii="Times New Roman" w:cs="Times New Roman" w:eastAsia="Times New Roman" w:hAnsi="Times New Roman"/>
          <w:sz w:val="18"/>
          <w:szCs w:val="18"/>
          <w:b w:val="1"/>
          <w:bCs w:val="1"/>
          <w:color w:val="auto"/>
        </w:rPr>
      </w:pPr>
    </w:p>
    <w:p>
      <w:pPr>
        <w:ind w:right="20" w:firstLine="436"/>
        <w:spacing w:after="0" w:line="252" w:lineRule="auto"/>
        <w:tabs>
          <w:tab w:leader="none" w:pos="66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shall have the meaning ascribed to such term in any written agreement between the Participant and the Company or an Affiliate defining such term and, in the absence of such agreement, such term means, with respect to a Participant, in addition to such meaning as shall have been or shall hereafter be ascribed to such term or similar terms from time to time by the jurisprudence or law: (i) a failure or refusal by the Participant to perform his or her customary duties or services for the Company or any Affiliate without lawful justification after being provided with 10 business days’ notice from the Company and an opportunity to cure such failure to perform, in a manner satisfactory to the Company or any Affiliate; (ii) the Participant’s conviction for a criminal act or other indictable offence pursuant to the provisions of the </w:t>
      </w:r>
      <w:r>
        <w:rPr>
          <w:rFonts w:ascii="Times New Roman" w:cs="Times New Roman" w:eastAsia="Times New Roman" w:hAnsi="Times New Roman"/>
          <w:sz w:val="18"/>
          <w:szCs w:val="18"/>
          <w:i w:val="1"/>
          <w:iCs w:val="1"/>
          <w:color w:val="auto"/>
        </w:rPr>
        <w:t>Criminal Code</w:t>
      </w:r>
      <w:r>
        <w:rPr>
          <w:rFonts w:ascii="Times New Roman" w:cs="Times New Roman" w:eastAsia="Times New Roman" w:hAnsi="Times New Roman"/>
          <w:sz w:val="18"/>
          <w:szCs w:val="18"/>
          <w:color w:val="auto"/>
        </w:rPr>
        <w:t xml:space="preserve"> or of any other criminal or penal statute of any jurisdiction which the Company or any Affiliate reasonably determines may have an adverse effect upon the reputation or good will of the Company or any Affiliate or on the performance of the Participant’s duties, or the commission by the Participant of any indictable or criminal offence or act which denotes moral turpitude, whether relating or not to the course of employment; (iii) a breach by the Participant of, or his or her failure or refusal to perform, in any material respect, any of his or her obligations under any employment agreement, employee invention and confidentiality agreement or such other material written agreement between participant and the company or any related entity; (iv) any breach of any non-compete or non-solicitation covenant of the participant; (v) any dishonest or fraudulent act relating directly or indirectly to the course of employment; or (vi) any other act or omission (or series thereof) by the Participant which, pursuant to applicable law, would permit an employer to terminate an employee’s employment without notice or payment in lieu of notice.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193"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events:</w:t>
      </w:r>
    </w:p>
    <w:p>
      <w:pPr>
        <w:spacing w:after="0" w:line="98" w:lineRule="exact"/>
        <w:rPr>
          <w:rFonts w:ascii="Times New Roman" w:cs="Times New Roman" w:eastAsia="Times New Roman" w:hAnsi="Times New Roman"/>
          <w:sz w:val="18"/>
          <w:szCs w:val="18"/>
          <w:b w:val="1"/>
          <w:bCs w:val="1"/>
          <w:color w:val="auto"/>
        </w:rPr>
      </w:pPr>
    </w:p>
    <w:p>
      <w:pPr>
        <w:ind w:right="20" w:firstLine="987"/>
        <w:spacing w:after="0" w:line="258" w:lineRule="auto"/>
        <w:tabs>
          <w:tab w:leader="none" w:pos="1206"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amalgamation, arrangement,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66" w:right="439" w:bottom="1440" w:gutter="0" w:footer="0" w:header="0"/>
        </w:sectPr>
      </w:pPr>
    </w:p>
    <w:bookmarkStart w:id="27" w:name="page28"/>
    <w:bookmarkEnd w:id="2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primary purpose of which is to obtain financing for the Company through the issuance of equity securities, (C) on account of the acquisition of securities of the Company by any individual who was, on the IPO Date, either an executive officer or a Director (either, an “</w:t>
      </w:r>
      <w:r>
        <w:rPr>
          <w:rFonts w:ascii="Times New Roman" w:cs="Times New Roman" w:eastAsia="Times New Roman" w:hAnsi="Times New Roman"/>
          <w:sz w:val="18"/>
          <w:szCs w:val="18"/>
          <w:b w:val="1"/>
          <w:bCs w:val="1"/>
          <w:i w:val="1"/>
          <w:iCs w:val="1"/>
          <w:color w:val="auto"/>
        </w:rPr>
        <w:t>IPO Investor</w:t>
      </w:r>
      <w:r>
        <w:rPr>
          <w:rFonts w:ascii="Times New Roman" w:cs="Times New Roman" w:eastAsia="Times New Roman" w:hAnsi="Times New Roman"/>
          <w:sz w:val="18"/>
          <w:szCs w:val="18"/>
          <w:color w:val="auto"/>
        </w:rPr>
        <w:t>”) and/or any entity in which an IPO Investor has a direct or indirect interest (whether in the form of voting rights or participation in profits or capital contributions) of more than 50% (collectively, the “</w:t>
      </w:r>
      <w:r>
        <w:rPr>
          <w:rFonts w:ascii="Times New Roman" w:cs="Times New Roman" w:eastAsia="Times New Roman" w:hAnsi="Times New Roman"/>
          <w:sz w:val="18"/>
          <w:szCs w:val="18"/>
          <w:b w:val="1"/>
          <w:bCs w:val="1"/>
          <w:i w:val="1"/>
          <w:iCs w:val="1"/>
          <w:color w:val="auto"/>
        </w:rPr>
        <w:t>IPO Entities</w:t>
      </w:r>
      <w:r>
        <w:rPr>
          <w:rFonts w:ascii="Times New Roman" w:cs="Times New Roman" w:eastAsia="Times New Roman" w:hAnsi="Times New Roman"/>
          <w:sz w:val="18"/>
          <w:szCs w:val="18"/>
          <w:color w:val="auto"/>
        </w:rPr>
        <w:t>”) or on account of the IPO Entities continuing to hold shares that come to represent more than 50% of the combined voting power of the Company’s then outstanding securities as a result of the conversion of any class of the Company’s securities into another class of the Company’s securities having a different number of votes per share pursuant to the conversion provisions set forth in the Company’s Amended and Restated Certificate of Incorporation; or (D) solely because the level of Ownership held by any Exchange Act Person (the “</w:t>
      </w:r>
      <w:r>
        <w:rPr>
          <w:rFonts w:ascii="Times New Roman" w:cs="Times New Roman" w:eastAsia="Times New Roman" w:hAnsi="Times New Roman"/>
          <w:sz w:val="18"/>
          <w:szCs w:val="18"/>
          <w:b w:val="1"/>
          <w:bCs w:val="1"/>
          <w:i w:val="1"/>
          <w:iCs w:val="1"/>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90" w:lineRule="exact"/>
        <w:rPr>
          <w:sz w:val="20"/>
          <w:szCs w:val="20"/>
          <w:color w:val="auto"/>
        </w:rPr>
      </w:pPr>
    </w:p>
    <w:p>
      <w:pPr>
        <w:ind w:right="20" w:firstLine="987"/>
        <w:spacing w:after="0" w:line="254" w:lineRule="auto"/>
        <w:tabs>
          <w:tab w:leader="none" w:pos="125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there is consummated a merger, amalgamation, arrangement, consolidation or similar transaction involving (directly or indirectly) the Company and, immediately after the consummation of such merger, amalgamation, arrangement, consolidation or similar transaction, the shareholders of the Company immediately prior thereto do not Own, directly or indirectly, either (A) outstanding voting securities representing more than 50% of the combined outstanding voting power of the surviving Entity in such merger, amalgamation, arrangement, consolidation or similar transaction or (B) more than 50% of the combined outstanding voting power of the parent of the surviving Entity in such merger, amalgamation, arrangement, consolidation or similar transaction, in each case in substantially the same proportions as their Ownership of the outstanding voting securities of the Company immediately prior to such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merger, amalgamation, arrangement, consolidation or similar transaction will not constitute a Change in Control under this prong of the definition if the outstanding voting securities representing more than 50% of the combined voting power of the surviving Entity or its parent are owned by the IPO Entities;</w:t>
      </w:r>
    </w:p>
    <w:p>
      <w:pPr>
        <w:spacing w:after="0" w:line="188" w:lineRule="exact"/>
        <w:rPr>
          <w:rFonts w:ascii="Times New Roman" w:cs="Times New Roman" w:eastAsia="Times New Roman" w:hAnsi="Times New Roman"/>
          <w:sz w:val="18"/>
          <w:szCs w:val="18"/>
          <w:b w:val="1"/>
          <w:bCs w:val="1"/>
          <w:color w:val="auto"/>
        </w:rPr>
      </w:pPr>
    </w:p>
    <w:p>
      <w:pPr>
        <w:ind w:right="160" w:firstLine="987"/>
        <w:spacing w:after="0" w:line="255" w:lineRule="auto"/>
        <w:tabs>
          <w:tab w:leader="none" w:pos="130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shareholders of the Company in substantially the same proportions as their Ownership of the outstanding voting securities of the Company immediately prior to such sale, lease, license or other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IPO Entities;</w:t>
      </w:r>
    </w:p>
    <w:p>
      <w:pPr>
        <w:spacing w:after="0" w:line="188" w:lineRule="exact"/>
        <w:rPr>
          <w:rFonts w:ascii="Times New Roman" w:cs="Times New Roman" w:eastAsia="Times New Roman" w:hAnsi="Times New Roman"/>
          <w:sz w:val="18"/>
          <w:szCs w:val="18"/>
          <w:b w:val="1"/>
          <w:bCs w:val="1"/>
          <w:color w:val="auto"/>
        </w:rPr>
      </w:pPr>
    </w:p>
    <w:p>
      <w:pPr>
        <w:ind w:right="280" w:firstLine="987"/>
        <w:spacing w:after="0" w:line="282" w:lineRule="auto"/>
        <w:tabs>
          <w:tab w:leader="none" w:pos="129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shareholders of the Company approve or the Board approves a plan of complete dissolution or liquidation of the Company, or a complete dissolution or liquidation of the Company will otherwise occur, except for a liquidation into a parent corporation; or</w:t>
      </w:r>
    </w:p>
    <w:p>
      <w:pPr>
        <w:spacing w:after="0" w:line="157" w:lineRule="exact"/>
        <w:rPr>
          <w:rFonts w:ascii="Times New Roman" w:cs="Times New Roman" w:eastAsia="Times New Roman" w:hAnsi="Times New Roman"/>
          <w:sz w:val="18"/>
          <w:szCs w:val="18"/>
          <w:b w:val="1"/>
          <w:bCs w:val="1"/>
          <w:color w:val="auto"/>
        </w:rPr>
      </w:pPr>
    </w:p>
    <w:p>
      <w:pPr>
        <w:ind w:right="240" w:firstLine="987"/>
        <w:spacing w:after="0" w:line="286" w:lineRule="auto"/>
        <w:tabs>
          <w:tab w:leader="none" w:pos="124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IPO Date, were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8" w:name="page29"/>
    <w:bookmarkEnd w:id="28"/>
    <w:p>
      <w:pPr>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provided, however, </w:t>
      </w:r>
      <w:r>
        <w:rPr>
          <w:rFonts w:ascii="Times New Roman" w:cs="Times New Roman" w:eastAsia="Times New Roman" w:hAnsi="Times New Roman"/>
          <w:sz w:val="18"/>
          <w:szCs w:val="18"/>
          <w:color w:val="auto"/>
        </w:rPr>
        <w:t>that if the appointment or election (or nomination for election) of any new Board member was approved or recommended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vote of the members of the Incumbent Board then still in office, such new member will, for purposes of this Plan, be considered as a member of the Incumbent Board.</w:t>
      </w:r>
    </w:p>
    <w:p>
      <w:pPr>
        <w:spacing w:after="0" w:line="17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definition or any other provision of the Plan, (A) the term Change in Control will not include a sale of assets, merger amalgamation, arrangement,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no definition of Change in Control or any analogous term is set forth in such an individual written agreement, the foregoing definition will apply.</w:t>
      </w:r>
    </w:p>
    <w:p>
      <w:pPr>
        <w:spacing w:after="0" w:line="179" w:lineRule="exact"/>
        <w:rPr>
          <w:sz w:val="20"/>
          <w:szCs w:val="20"/>
          <w:color w:val="auto"/>
        </w:rPr>
      </w:pPr>
    </w:p>
    <w:p>
      <w:pPr>
        <w:ind w:left="700" w:hanging="264"/>
        <w:spacing w:after="0"/>
        <w:tabs>
          <w:tab w:leader="none" w:pos="7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right="40" w:firstLine="436"/>
        <w:spacing w:after="0" w:line="286" w:lineRule="auto"/>
        <w:tabs>
          <w:tab w:leader="none" w:pos="65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Independent Directors to whom authority has been delegated by the Board in accordance with Section 2(c).</w:t>
      </w:r>
    </w:p>
    <w:p>
      <w:pPr>
        <w:spacing w:after="0" w:line="154" w:lineRule="exact"/>
        <w:rPr>
          <w:rFonts w:ascii="Times New Roman" w:cs="Times New Roman" w:eastAsia="Times New Roman" w:hAnsi="Times New Roman"/>
          <w:sz w:val="18"/>
          <w:szCs w:val="18"/>
          <w:b w:val="1"/>
          <w:bCs w:val="1"/>
          <w:color w:val="auto"/>
        </w:rPr>
      </w:pPr>
    </w:p>
    <w:p>
      <w:pPr>
        <w:ind w:left="660" w:hanging="224"/>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Share</w:t>
      </w:r>
      <w:r>
        <w:rPr>
          <w:rFonts w:ascii="Times New Roman" w:cs="Times New Roman" w:eastAsia="Times New Roman" w:hAnsi="Times New Roman"/>
          <w:sz w:val="18"/>
          <w:szCs w:val="18"/>
          <w:color w:val="auto"/>
        </w:rPr>
        <w:t>” means a common share in the share capital of the Company.</w:t>
      </w:r>
    </w:p>
    <w:p>
      <w:pPr>
        <w:spacing w:after="0" w:line="225"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Repare Therapeutics Inc. and any successor corporation thereto.</w:t>
      </w:r>
    </w:p>
    <w:p>
      <w:pPr>
        <w:spacing w:after="0" w:line="225" w:lineRule="exact"/>
        <w:rPr>
          <w:rFonts w:ascii="Times New Roman" w:cs="Times New Roman" w:eastAsia="Times New Roman" w:hAnsi="Times New Roman"/>
          <w:sz w:val="18"/>
          <w:szCs w:val="18"/>
          <w:b w:val="1"/>
          <w:bCs w:val="1"/>
          <w:color w:val="auto"/>
        </w:rPr>
      </w:pPr>
    </w:p>
    <w:p>
      <w:pPr>
        <w:ind w:right="60" w:firstLine="436"/>
        <w:spacing w:after="0" w:line="257" w:lineRule="auto"/>
        <w:tabs>
          <w:tab w:leader="none" w:pos="65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Consultants are not eligible to receive Awards under the Plan with respect to their service in such capacity.</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53" w:lineRule="auto"/>
        <w:tabs>
          <w:tab w:leader="none" w:pos="75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For clarity, except as may be required by applicable employment standards legislation, no period of notice that was given or that ought to have been given shall constitute Continuous Service for the purposes of determining any entitlements under the Plan.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8" w:right="459" w:bottom="1440" w:gutter="0" w:footer="0" w:header="0"/>
        </w:sectPr>
      </w:pPr>
    </w:p>
    <w:bookmarkStart w:id="29" w:name="page30"/>
    <w:bookmarkEnd w:id="29"/>
    <w:p>
      <w:pPr>
        <w:ind w:right="380" w:firstLine="436"/>
        <w:spacing w:after="0" w:line="286" w:lineRule="auto"/>
        <w:tabs>
          <w:tab w:leader="none" w:pos="70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50" w:lineRule="exact"/>
        <w:rPr>
          <w:rFonts w:ascii="Times New Roman" w:cs="Times New Roman" w:eastAsia="Times New Roman" w:hAnsi="Times New Roman"/>
          <w:sz w:val="18"/>
          <w:szCs w:val="18"/>
          <w:b w:val="1"/>
          <w:bCs w:val="1"/>
          <w:color w:val="auto"/>
        </w:rPr>
      </w:pPr>
    </w:p>
    <w:p>
      <w:pPr>
        <w:ind w:right="140" w:firstLine="987"/>
        <w:spacing w:after="0" w:line="282" w:lineRule="auto"/>
        <w:tabs>
          <w:tab w:leader="none" w:pos="1206"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161"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amalgamation, arrangement, consolidation or similar transaction following which the Company is not the surviving</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corporation; or</w:t>
      </w:r>
    </w:p>
    <w:p>
      <w:pPr>
        <w:spacing w:after="0" w:line="206" w:lineRule="exact"/>
        <w:rPr>
          <w:rFonts w:ascii="Times New Roman" w:cs="Times New Roman" w:eastAsia="Times New Roman" w:hAnsi="Times New Roman"/>
          <w:sz w:val="18"/>
          <w:szCs w:val="18"/>
          <w:b w:val="1"/>
          <w:bCs w:val="1"/>
          <w:color w:val="auto"/>
        </w:rPr>
      </w:pPr>
    </w:p>
    <w:p>
      <w:pPr>
        <w:jc w:val="both"/>
        <w:ind w:right="40" w:firstLine="987"/>
        <w:spacing w:after="0" w:line="266" w:lineRule="auto"/>
        <w:tabs>
          <w:tab w:leader="none" w:pos="1296"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amalgamation, arrangement, consolidation or similar transaction following which the Company is the surviving corporation but the Common Shares outstanding immediately preceding the merger, consolidation or similar transaction are converted or exchanged by virtue of the merger, amalgamation, arrangement, consolidation or similar transaction into other property, whether in the form of securities, cash or otherwise.</w:t>
      </w:r>
    </w:p>
    <w:p>
      <w:pPr>
        <w:spacing w:after="0" w:line="171"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 Directors are not eligible to receive Awards under the Plan with respect to their service in such</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capacity.</w:t>
      </w:r>
    </w:p>
    <w:p>
      <w:pPr>
        <w:spacing w:after="0" w:line="202" w:lineRule="exact"/>
        <w:rPr>
          <w:rFonts w:ascii="Times New Roman" w:cs="Times New Roman" w:eastAsia="Times New Roman" w:hAnsi="Times New Roman"/>
          <w:sz w:val="18"/>
          <w:szCs w:val="18"/>
          <w:b w:val="1"/>
          <w:bCs w:val="1"/>
          <w:color w:val="auto"/>
        </w:rPr>
      </w:pPr>
    </w:p>
    <w:p>
      <w:pPr>
        <w:ind w:firstLine="436"/>
        <w:spacing w:after="0" w:line="262" w:lineRule="auto"/>
        <w:tabs>
          <w:tab w:leader="none" w:pos="70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right="60" w:firstLine="436"/>
        <w:spacing w:after="0" w:line="286" w:lineRule="auto"/>
        <w:tabs>
          <w:tab w:leader="none" w:pos="70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Dissolution</w:t>
      </w:r>
      <w:r>
        <w:rPr>
          <w:rFonts w:ascii="Times New Roman" w:cs="Times New Roman" w:eastAsia="Times New Roman" w:hAnsi="Times New Roman"/>
          <w:sz w:val="18"/>
          <w:szCs w:val="18"/>
          <w:color w:val="auto"/>
        </w:rPr>
        <w:t>” means when the Company, after having executed a certificate of dissolution with the Registraire des entreprises du Quebec, has completely wound up its affairs.</w:t>
      </w:r>
    </w:p>
    <w:p>
      <w:pPr>
        <w:spacing w:after="0" w:line="154" w:lineRule="exact"/>
        <w:rPr>
          <w:rFonts w:ascii="Times New Roman" w:cs="Times New Roman" w:eastAsia="Times New Roman" w:hAnsi="Times New Roman"/>
          <w:sz w:val="18"/>
          <w:szCs w:val="18"/>
          <w:b w:val="1"/>
          <w:bCs w:val="1"/>
          <w:color w:val="auto"/>
        </w:rPr>
      </w:pPr>
    </w:p>
    <w:p>
      <w:pPr>
        <w:ind w:right="140" w:firstLine="436"/>
        <w:spacing w:after="0" w:line="286" w:lineRule="auto"/>
        <w:tabs>
          <w:tab w:leader="none" w:pos="68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660" w:hanging="224"/>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right="20" w:firstLine="436"/>
        <w:spacing w:after="0" w:line="273" w:lineRule="auto"/>
        <w:tabs>
          <w:tab w:leader="none" w:pos="705"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 Person</w:t>
      </w:r>
      <w:r>
        <w:rPr>
          <w:rFonts w:ascii="Times New Roman" w:cs="Times New Roman" w:eastAsia="Times New Roman" w:hAnsi="Times New Roman"/>
          <w:sz w:val="17"/>
          <w:szCs w:val="17"/>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shareholders of the Company in substantially the same proportions as their Ownership of shares of the Company; or (v) any natural person, Entity or “group” (within the meaning of Section 13(d) or 14(d) of the Exchange Act) that, as of the IPO Date, was the Owner, directly or indirectly, of securities of the Company representing more than 50% of the combined voting power of the Company’s then outstanding securities.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66" w:right="479" w:bottom="1440" w:gutter="0" w:footer="0" w:header="0"/>
        </w:sectPr>
      </w:pPr>
    </w:p>
    <w:bookmarkStart w:id="30" w:name="page31"/>
    <w:bookmarkEnd w:id="30"/>
    <w:p>
      <w:pPr>
        <w:ind w:left="704" w:hanging="264"/>
        <w:spacing w:after="0"/>
        <w:tabs>
          <w:tab w:leader="none" w:pos="704"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Shares determined as follows:</w:t>
      </w:r>
    </w:p>
    <w:p>
      <w:pPr>
        <w:spacing w:after="0" w:line="121" w:lineRule="exact"/>
        <w:rPr>
          <w:rFonts w:ascii="Times New Roman" w:cs="Times New Roman" w:eastAsia="Times New Roman" w:hAnsi="Times New Roman"/>
          <w:sz w:val="18"/>
          <w:szCs w:val="18"/>
          <w:b w:val="1"/>
          <w:bCs w:val="1"/>
          <w:color w:val="auto"/>
        </w:rPr>
      </w:pPr>
    </w:p>
    <w:p>
      <w:pPr>
        <w:ind w:left="4" w:right="40" w:firstLine="987"/>
        <w:spacing w:after="0" w:line="261" w:lineRule="auto"/>
        <w:tabs>
          <w:tab w:leader="none" w:pos="1210" w:val="left"/>
        </w:tabs>
        <w:numPr>
          <w:ilvl w:val="2"/>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Shares are listed on any established stock exchange or traded on any established market, the Fair Market Value of a Common Share will be, unless otherwise determined by the Board at any time, the average of the daily volume-weighted average trading prices for such share on each of the five Trading Days immediately preceding the date of determination, as reported on such exchange or market (or, if not reported therein, as reported in a source the Board deems reliable.)</w:t>
      </w:r>
    </w:p>
    <w:p>
      <w:pPr>
        <w:spacing w:after="0" w:line="179" w:lineRule="exact"/>
        <w:rPr>
          <w:rFonts w:ascii="Times New Roman" w:cs="Times New Roman" w:eastAsia="Times New Roman" w:hAnsi="Times New Roman"/>
          <w:sz w:val="18"/>
          <w:szCs w:val="18"/>
          <w:b w:val="1"/>
          <w:bCs w:val="1"/>
          <w:color w:val="auto"/>
        </w:rPr>
      </w:pPr>
    </w:p>
    <w:p>
      <w:pPr>
        <w:ind w:left="4" w:right="160" w:firstLine="987"/>
        <w:spacing w:after="0" w:line="282" w:lineRule="auto"/>
        <w:tabs>
          <w:tab w:leader="none" w:pos="1260" w:val="left"/>
        </w:tabs>
        <w:numPr>
          <w:ilvl w:val="2"/>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Shares, the Fair Market Value will be determined by the Board in good faith and in a manner that complies with Section 409A of the Code.</w:t>
      </w:r>
    </w:p>
    <w:p>
      <w:pPr>
        <w:spacing w:after="0" w:line="157" w:lineRule="exact"/>
        <w:rPr>
          <w:rFonts w:ascii="Times New Roman" w:cs="Times New Roman" w:eastAsia="Times New Roman" w:hAnsi="Times New Roman"/>
          <w:sz w:val="18"/>
          <w:szCs w:val="18"/>
          <w:b w:val="1"/>
          <w:bCs w:val="1"/>
          <w:color w:val="auto"/>
        </w:rPr>
      </w:pPr>
    </w:p>
    <w:p>
      <w:pPr>
        <w:ind w:left="744" w:hanging="304"/>
        <w:spacing w:after="0"/>
        <w:tabs>
          <w:tab w:leader="none" w:pos="744"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June 18, 2020.</w:t>
      </w:r>
    </w:p>
    <w:p>
      <w:pPr>
        <w:spacing w:after="0" w:line="225" w:lineRule="exact"/>
        <w:rPr>
          <w:rFonts w:ascii="Times New Roman" w:cs="Times New Roman" w:eastAsia="Times New Roman" w:hAnsi="Times New Roman"/>
          <w:sz w:val="18"/>
          <w:szCs w:val="18"/>
          <w:b w:val="1"/>
          <w:bCs w:val="1"/>
          <w:color w:val="auto"/>
        </w:rPr>
      </w:pPr>
    </w:p>
    <w:p>
      <w:pPr>
        <w:ind w:left="4" w:right="160" w:firstLine="436"/>
        <w:spacing w:after="0" w:line="270" w:lineRule="auto"/>
        <w:tabs>
          <w:tab w:leader="none" w:pos="699" w:val="left"/>
        </w:tabs>
        <w:numPr>
          <w:ilvl w:val="1"/>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Non-Employee Director</w:t>
      </w:r>
      <w:r>
        <w:rPr>
          <w:rFonts w:ascii="Times New Roman" w:cs="Times New Roman" w:eastAsia="Times New Roman" w:hAnsi="Times New Roman"/>
          <w:sz w:val="17"/>
          <w:szCs w:val="17"/>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7"/>
          <w:szCs w:val="17"/>
          <w:b w:val="1"/>
          <w:bCs w:val="1"/>
          <w:i w:val="1"/>
          <w:iCs w:val="1"/>
          <w:color w:val="auto"/>
        </w:rPr>
        <w:t>Regulation S-K</w:t>
      </w:r>
      <w:r>
        <w:rPr>
          <w:rFonts w:ascii="Times New Roman" w:cs="Times New Roman" w:eastAsia="Times New Roman" w:hAnsi="Times New Roman"/>
          <w:sz w:val="17"/>
          <w:szCs w:val="17"/>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2" w:lineRule="exact"/>
        <w:rPr>
          <w:rFonts w:ascii="Times New Roman" w:cs="Times New Roman" w:eastAsia="Times New Roman" w:hAnsi="Times New Roman"/>
          <w:sz w:val="17"/>
          <w:szCs w:val="17"/>
          <w:b w:val="1"/>
          <w:bCs w:val="1"/>
          <w:color w:val="auto"/>
        </w:rPr>
      </w:pPr>
    </w:p>
    <w:p>
      <w:pPr>
        <w:ind w:left="264" w:hanging="264"/>
        <w:spacing w:after="0"/>
        <w:tabs>
          <w:tab w:leader="none" w:pos="2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considered a “non-employee director” for purposes of Rule 16b-3.</w:t>
      </w:r>
    </w:p>
    <w:p>
      <w:pPr>
        <w:spacing w:after="0" w:line="202" w:lineRule="exact"/>
        <w:rPr>
          <w:rFonts w:ascii="Times New Roman" w:cs="Times New Roman" w:eastAsia="Times New Roman" w:hAnsi="Times New Roman"/>
          <w:sz w:val="18"/>
          <w:szCs w:val="18"/>
          <w:color w:val="auto"/>
        </w:rPr>
      </w:pPr>
    </w:p>
    <w:p>
      <w:pPr>
        <w:ind w:left="4" w:right="120" w:firstLine="436"/>
        <w:spacing w:after="0" w:line="286" w:lineRule="auto"/>
        <w:tabs>
          <w:tab w:leader="none" w:pos="699"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5 of the Plan that does not qualify as an “incentive stock option” within the meaning of Section 422 of the Code.</w:t>
      </w:r>
    </w:p>
    <w:p>
      <w:pPr>
        <w:spacing w:after="0" w:line="154"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sz w:val="20"/>
          <w:szCs w:val="20"/>
          <w:color w:val="auto"/>
        </w:rPr>
      </w:pPr>
    </w:p>
    <w:p>
      <w:pPr>
        <w:ind w:left="784" w:hanging="344"/>
        <w:spacing w:after="0"/>
        <w:tabs>
          <w:tab w:leader="none" w:pos="78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 Nonstatutory Stock Option to purchase Common Shares granted pursuant to the Plan.</w:t>
      </w:r>
    </w:p>
    <w:p>
      <w:pPr>
        <w:spacing w:after="0" w:line="225" w:lineRule="exact"/>
        <w:rPr>
          <w:rFonts w:ascii="Times New Roman" w:cs="Times New Roman" w:eastAsia="Times New Roman" w:hAnsi="Times New Roman"/>
          <w:sz w:val="18"/>
          <w:szCs w:val="18"/>
          <w:b w:val="1"/>
          <w:bCs w:val="1"/>
          <w:color w:val="auto"/>
        </w:rPr>
      </w:pPr>
    </w:p>
    <w:p>
      <w:pPr>
        <w:ind w:left="4" w:right="460" w:firstLine="436"/>
        <w:spacing w:after="0" w:line="286" w:lineRule="auto"/>
        <w:tabs>
          <w:tab w:leader="none" w:pos="809"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left="4" w:right="740" w:firstLine="436"/>
        <w:spacing w:after="0" w:line="286" w:lineRule="auto"/>
        <w:tabs>
          <w:tab w:leader="none" w:pos="769"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54" w:lineRule="exact"/>
        <w:rPr>
          <w:rFonts w:ascii="Times New Roman" w:cs="Times New Roman" w:eastAsia="Times New Roman" w:hAnsi="Times New Roman"/>
          <w:sz w:val="18"/>
          <w:szCs w:val="18"/>
          <w:b w:val="1"/>
          <w:bCs w:val="1"/>
          <w:color w:val="auto"/>
        </w:rPr>
      </w:pPr>
    </w:p>
    <w:p>
      <w:pPr>
        <w:ind w:left="4" w:right="140" w:firstLine="436"/>
        <w:spacing w:after="0" w:line="286" w:lineRule="auto"/>
        <w:tabs>
          <w:tab w:leader="none" w:pos="809"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Share Award</w:t>
      </w:r>
      <w:r>
        <w:rPr>
          <w:rFonts w:ascii="Times New Roman" w:cs="Times New Roman" w:eastAsia="Times New Roman" w:hAnsi="Times New Roman"/>
          <w:sz w:val="18"/>
          <w:szCs w:val="18"/>
          <w:color w:val="auto"/>
        </w:rPr>
        <w:t>” means an award based in whole or in part by reference to the Common Shares which is granted pursuant to the terms and conditions of Section 6(d).</w:t>
      </w:r>
    </w:p>
    <w:p>
      <w:pPr>
        <w:spacing w:after="0" w:line="154" w:lineRule="exact"/>
        <w:rPr>
          <w:rFonts w:ascii="Times New Roman" w:cs="Times New Roman" w:eastAsia="Times New Roman" w:hAnsi="Times New Roman"/>
          <w:sz w:val="18"/>
          <w:szCs w:val="18"/>
          <w:b w:val="1"/>
          <w:bCs w:val="1"/>
          <w:color w:val="auto"/>
        </w:rPr>
      </w:pPr>
    </w:p>
    <w:p>
      <w:pPr>
        <w:ind w:left="4" w:right="300" w:firstLine="436"/>
        <w:spacing w:after="0" w:line="317" w:lineRule="auto"/>
        <w:tabs>
          <w:tab w:leader="none" w:pos="769"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Other Share Award Agreement</w:t>
      </w:r>
      <w:r>
        <w:rPr>
          <w:rFonts w:ascii="Times New Roman" w:cs="Times New Roman" w:eastAsia="Times New Roman" w:hAnsi="Times New Roman"/>
          <w:sz w:val="17"/>
          <w:szCs w:val="17"/>
          <w:color w:val="auto"/>
        </w:rPr>
        <w:t>” means a written agreement between the Company and a holder of an Other Share Award evidencing the terms and conditions of an Other Share Award grant. Each Other Share Award Agreement will be subject to the terms and conditions of the Plan.</w:t>
      </w:r>
    </w:p>
    <w:p>
      <w:pPr>
        <w:spacing w:after="0" w:line="131" w:lineRule="exact"/>
        <w:rPr>
          <w:rFonts w:ascii="Times New Roman" w:cs="Times New Roman" w:eastAsia="Times New Roman" w:hAnsi="Times New Roman"/>
          <w:sz w:val="17"/>
          <w:szCs w:val="17"/>
          <w:b w:val="1"/>
          <w:bCs w:val="1"/>
          <w:color w:val="auto"/>
        </w:rPr>
      </w:pPr>
    </w:p>
    <w:p>
      <w:pPr>
        <w:ind w:left="4" w:firstLine="436"/>
        <w:spacing w:after="0" w:line="268" w:lineRule="auto"/>
        <w:tabs>
          <w:tab w:leader="none" w:pos="729"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6" w:right="459" w:bottom="1440" w:gutter="0" w:footer="0" w:header="0"/>
        </w:sectPr>
      </w:pPr>
    </w:p>
    <w:bookmarkStart w:id="31" w:name="page32"/>
    <w:bookmarkEnd w:id="31"/>
    <w:p>
      <w:pPr>
        <w:ind w:left="-20" w:right="140" w:firstLine="436"/>
        <w:spacing w:after="0" w:line="286" w:lineRule="auto"/>
        <w:tabs>
          <w:tab w:leader="none" w:pos="76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Eligible Employee to whom an Award is granted pursuant to the Plan or, if applicable, such other person who holds an outstanding Award.</w:t>
      </w:r>
    </w:p>
    <w:p>
      <w:pPr>
        <w:spacing w:after="0" w:line="154" w:lineRule="exact"/>
        <w:rPr>
          <w:rFonts w:ascii="Times New Roman" w:cs="Times New Roman" w:eastAsia="Times New Roman" w:hAnsi="Times New Roman"/>
          <w:sz w:val="18"/>
          <w:szCs w:val="18"/>
          <w:b w:val="1"/>
          <w:bCs w:val="1"/>
          <w:color w:val="auto"/>
        </w:rPr>
      </w:pPr>
    </w:p>
    <w:p>
      <w:pPr>
        <w:ind w:left="780" w:hanging="364"/>
        <w:spacing w:after="0"/>
        <w:tabs>
          <w:tab w:leader="none" w:pos="7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Cash Award</w:t>
      </w:r>
      <w:r>
        <w:rPr>
          <w:rFonts w:ascii="Times New Roman" w:cs="Times New Roman" w:eastAsia="Times New Roman" w:hAnsi="Times New Roman"/>
          <w:sz w:val="18"/>
          <w:szCs w:val="18"/>
          <w:color w:val="auto"/>
        </w:rPr>
        <w:t>” means an award of cash granted pursuant to the terms and conditions of Section 6(c)(ii).</w:t>
      </w:r>
    </w:p>
    <w:p>
      <w:pPr>
        <w:spacing w:after="0" w:line="225" w:lineRule="exact"/>
        <w:rPr>
          <w:rFonts w:ascii="Times New Roman" w:cs="Times New Roman" w:eastAsia="Times New Roman" w:hAnsi="Times New Roman"/>
          <w:sz w:val="18"/>
          <w:szCs w:val="18"/>
          <w:b w:val="1"/>
          <w:bCs w:val="1"/>
          <w:color w:val="auto"/>
        </w:rPr>
      </w:pPr>
    </w:p>
    <w:p>
      <w:pPr>
        <w:ind w:left="-20" w:firstLine="436"/>
        <w:spacing w:after="0" w:line="267" w:lineRule="auto"/>
        <w:tabs>
          <w:tab w:leader="none" w:pos="685"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Performance Criteria</w:t>
      </w:r>
      <w:r>
        <w:rPr>
          <w:rFonts w:ascii="Times New Roman" w:cs="Times New Roman" w:eastAsia="Times New Roman" w:hAnsi="Times New Roman"/>
          <w:sz w:val="17"/>
          <w:szCs w:val="17"/>
          <w:color w:val="auto"/>
        </w:rPr>
        <w:t>” means one or more criteria that a majority of the Company’s Independent Directors or the Independent Compensation Committee will select for purposes of establishing the Performance Goals for a Performance Period. The Performance Criteria that will be used to establish such Performance Goals may be based on any one of, or combination of, the following as determined by a majority of the Company’s Independent Directors or the Independent Compensation Committee: (i) sales; (ii) revenues; (iii) assets; (iv) expenses; (v) market penetration or expansion; (vi) earnings from operations; (vii) earnings before or after deduction for all or any portion of interest, taxes, depreciation, amortization, incentives, service fees or extraordinary or special items, whether or not on a continuing operations or an aggregate or per share basis; (viii) net income or net income per common share (basic or diluted); (ix) return on equity, investment, capital or assets; (x) one or more operating ratios; (xi) borrowing levels, leverage ratios or credit rating; (xii) market share; (xiii) capital expenditures; (xiv) cash flow, free cash flow, cash flow return on investment, or net cash provided by operations; (xv) share price, dividends or total shareholder return; (xvi) development of new technologies or products; (xvii) sales of particular products or services; (xviii) economic value created or added; (xix) operating margin or profit margin; (xx) customer acquisition or retention; (xxi) raising or refinancing of capital; (xxii) successful hiring of key individuals; (xxiii) resolution of significant litigation; (xxiv) acquisitions and divestitures (in whole or in part); (xxv) joint ventures and strategic alliances; (xxvi) spin-offs, split-ups and the like; (xxvii) reorganizations; (xxviii) recapitalizations, restructurings, financings (issuance of debt or equity) or refinancings; (xxix) or strategic business criteria, consisting of one or more objectives based on the following goals: achievement of timely development, design management or enrollment, meeting specified market penetration or value added, payor acceptance, patient adherence, peer reviewed publications, issuance of new patents, establishment of or securing of licenses to intellectual property, product development or introduction (including, without limitation, any clinical trial accomplishments, regulatory or other filings, approvals or milestones, discovery of novel products, maintenance of multiple products in pipeline, product launch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 party collaborations), manufacturing or process development, legal compliance or risk reduction, patent application or issuance goals, or goals relating to acquisitions, divestitures or other business combinations (in whole or in part), joint ventures or strategic alliances; and (xxx) other measures of performance selected by a majority of the Company’s Independent Directors or the Independent Compensation Committee.</w:t>
      </w:r>
    </w:p>
    <w:p>
      <w:pPr>
        <w:spacing w:after="0" w:line="200" w:lineRule="exact"/>
        <w:rPr>
          <w:rFonts w:ascii="Times New Roman" w:cs="Times New Roman" w:eastAsia="Times New Roman" w:hAnsi="Times New Roman"/>
          <w:sz w:val="17"/>
          <w:szCs w:val="17"/>
          <w:b w:val="1"/>
          <w:bCs w:val="1"/>
          <w:color w:val="auto"/>
        </w:rPr>
      </w:pPr>
    </w:p>
    <w:p>
      <w:pPr>
        <w:spacing w:after="0" w:line="201" w:lineRule="exact"/>
        <w:rPr>
          <w:rFonts w:ascii="Times New Roman" w:cs="Times New Roman" w:eastAsia="Times New Roman" w:hAnsi="Times New Roman"/>
          <w:sz w:val="17"/>
          <w:szCs w:val="17"/>
          <w:b w:val="1"/>
          <w:bCs w:val="1"/>
          <w:color w:val="auto"/>
        </w:rPr>
      </w:pPr>
    </w:p>
    <w:p>
      <w:pPr>
        <w:ind w:left="-20" w:firstLine="436"/>
        <w:spacing w:after="0" w:line="256" w:lineRule="auto"/>
        <w:tabs>
          <w:tab w:leader="none" w:pos="70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a majority of the Company’s Independent Directors or the Independent Compensation Committee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A majority of the Company’s Independent Directors or the Independent Compensation Committee is authorized at any time in its sole discretion, to adjust or modify the calculation of a Performance Goal for such Performance Period in order to prevent the dilution or enlargement of the rights of Participants, (a) in the event of, or in anticipation of, 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60" w:top="266" w:right="479" w:bottom="1440" w:gutter="0" w:footer="0" w:header="0"/>
        </w:sectPr>
      </w:pPr>
    </w:p>
    <w:bookmarkStart w:id="32" w:name="page33"/>
    <w:bookmarkEnd w:id="32"/>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unusual or extraordinary corporate item, transaction, event or development; (b) in recognition of, or in anticipation of, any other unusual or nonrecurring events affecting the Company, or the financial statements of the Company in response to, or in anticipation of, changes in applicable laws, regulations, accounting principles, or business conditions; or (c) in view of a majority of the Company’s Independent Directors or the Independent Compensation Committee’s assessment of the business strategy of the Company, performance of comparable organizations, economic and business conditions, and any other circumstances deemed relevant. Specifically, a majority of the Company’s Independent Directors or the Independent Compensation Committee is authorized to make adjustment in the method of calculating attainment of Performance Goals and objectives for a Performance Period as follows: (i) to exclude the dilutive effects of acquisitions or joint ventures; (ii) to assume that any business divested by the Company achieved performance objectives at targeted levels during the balance of a Performance Period following such divestiture; and (iii) to exclude the effect of any change in the outstanding Common Shares of the Company by reason of any share dividend or split, share repurchase, reorganization, recapitalization, merger, consolidation, spin-off, combination or exchange of shares or other similar corporate change, or any distributions to common shareholders other than regular cash dividends. In addition, a majority of the Company’s Independent Directors or the Independent Compensation Committee is authorized to make adjustment in the method of calculating attainment of Performance Goals and objectives for a Performance Period as follows: (i) to exclude restructuring and/or other nonrecurring charges; (ii) to exclude exchange rate effects, as applicable, for non-U.S. dollar denominated net sales and operating earnings; (iii) to exclude the effects of changes to generally accepted accounting standards required by the Financial Accounting Standards Board; (iv) to exclude the effects of any items that are “unusual” in nature or occur “infrequently” as determined under generally accepted accounting principles; (v) to exclude the effects to any statutory adjustments to corporate tax rates; and (vi) to make other appropriate adjustments determined by a majority of the Company’s Independent Directors or the Independent Compensation Committee.</w:t>
      </w:r>
    </w:p>
    <w:p>
      <w:pPr>
        <w:spacing w:after="0" w:line="189" w:lineRule="exact"/>
        <w:rPr>
          <w:sz w:val="20"/>
          <w:szCs w:val="20"/>
          <w:color w:val="auto"/>
        </w:rPr>
      </w:pPr>
    </w:p>
    <w:p>
      <w:pPr>
        <w:ind w:right="80" w:firstLine="436"/>
        <w:spacing w:after="0" w:line="262" w:lineRule="auto"/>
        <w:tabs>
          <w:tab w:leader="none" w:pos="80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a majority of the Company’s Independent Directors or the Independent Compensation Committee over which the attainment of one or more Performance Goals will be measured for the purpose of determining a Participant’s right to and the payment of a Share Award or a Performance Cash Award. Performance Periods may be of varying and overlapping duration, at the sole discretion of a majority of the Company’s Independent Directors or the Independent Compensation Committee.</w:t>
      </w:r>
    </w:p>
    <w:p>
      <w:pPr>
        <w:spacing w:after="0" w:line="176"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Share Award</w:t>
      </w:r>
      <w:r>
        <w:rPr>
          <w:rFonts w:ascii="Times New Roman" w:cs="Times New Roman" w:eastAsia="Times New Roman" w:hAnsi="Times New Roman"/>
          <w:sz w:val="18"/>
          <w:szCs w:val="18"/>
          <w:color w:val="auto"/>
        </w:rPr>
        <w:t>” means a Share Award granted under the terms and conditions of Section 6(c)(i).</w:t>
      </w:r>
    </w:p>
    <w:p>
      <w:pPr>
        <w:spacing w:after="0" w:line="225" w:lineRule="exact"/>
        <w:rPr>
          <w:rFonts w:ascii="Times New Roman" w:cs="Times New Roman" w:eastAsia="Times New Roman" w:hAnsi="Times New Roman"/>
          <w:sz w:val="18"/>
          <w:szCs w:val="18"/>
          <w:b w:val="1"/>
          <w:bCs w:val="1"/>
          <w:color w:val="auto"/>
        </w:rPr>
      </w:pPr>
    </w:p>
    <w:p>
      <w:pPr>
        <w:ind w:left="900" w:hanging="464"/>
        <w:spacing w:after="0"/>
        <w:tabs>
          <w:tab w:leader="none" w:pos="9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Repare Therapeutics Inc. 2024 Inducement Plan.</w:t>
      </w:r>
    </w:p>
    <w:p>
      <w:pPr>
        <w:spacing w:after="0" w:line="225" w:lineRule="exact"/>
        <w:rPr>
          <w:rFonts w:ascii="Times New Roman" w:cs="Times New Roman" w:eastAsia="Times New Roman" w:hAnsi="Times New Roman"/>
          <w:sz w:val="18"/>
          <w:szCs w:val="18"/>
          <w:b w:val="1"/>
          <w:bCs w:val="1"/>
          <w:color w:val="auto"/>
        </w:rPr>
      </w:pPr>
    </w:p>
    <w:p>
      <w:pPr>
        <w:ind w:left="800" w:hanging="364"/>
        <w:spacing w:after="0"/>
        <w:tabs>
          <w:tab w:leader="none" w:pos="8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Share Award</w:t>
      </w:r>
      <w:r>
        <w:rPr>
          <w:rFonts w:ascii="Times New Roman" w:cs="Times New Roman" w:eastAsia="Times New Roman" w:hAnsi="Times New Roman"/>
          <w:sz w:val="18"/>
          <w:szCs w:val="18"/>
          <w:color w:val="auto"/>
        </w:rPr>
        <w:t>” means an award of Common Shares which is granted pursuant to the terms and conditions of Section 6(a).</w:t>
      </w:r>
    </w:p>
    <w:p>
      <w:pPr>
        <w:spacing w:after="0" w:line="225" w:lineRule="exact"/>
        <w:rPr>
          <w:rFonts w:ascii="Times New Roman" w:cs="Times New Roman" w:eastAsia="Times New Roman" w:hAnsi="Times New Roman"/>
          <w:sz w:val="18"/>
          <w:szCs w:val="18"/>
          <w:b w:val="1"/>
          <w:bCs w:val="1"/>
          <w:color w:val="auto"/>
        </w:rPr>
      </w:pPr>
    </w:p>
    <w:p>
      <w:pPr>
        <w:ind w:firstLine="436"/>
        <w:spacing w:after="0" w:line="268" w:lineRule="auto"/>
        <w:tabs>
          <w:tab w:leader="none" w:pos="78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Share Award Agreement</w:t>
      </w:r>
      <w:r>
        <w:rPr>
          <w:rFonts w:ascii="Times New Roman" w:cs="Times New Roman" w:eastAsia="Times New Roman" w:hAnsi="Times New Roman"/>
          <w:sz w:val="18"/>
          <w:szCs w:val="18"/>
          <w:color w:val="auto"/>
        </w:rPr>
        <w:t>” means a written agreement between the Company and a holder of a Restricted Share Award evidencing the terms and conditions of a Restricted Share Award grant. Each Restricted Share Award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left="800" w:hanging="364"/>
        <w:spacing w:after="0"/>
        <w:tabs>
          <w:tab w:leader="none" w:pos="8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Share Unit Award</w:t>
      </w:r>
      <w:r>
        <w:rPr>
          <w:rFonts w:ascii="Times New Roman" w:cs="Times New Roman" w:eastAsia="Times New Roman" w:hAnsi="Times New Roman"/>
          <w:sz w:val="18"/>
          <w:szCs w:val="18"/>
          <w:color w:val="auto"/>
        </w:rPr>
        <w:t>” means a right to receive Common Shares which is granted pursuant to the terms and conditions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6(b).</w:t>
      </w:r>
    </w:p>
    <w:p>
      <w:pPr>
        <w:spacing w:after="0" w:line="203" w:lineRule="exact"/>
        <w:rPr>
          <w:sz w:val="20"/>
          <w:szCs w:val="20"/>
          <w:color w:val="auto"/>
        </w:rPr>
      </w:pPr>
    </w:p>
    <w:p>
      <w:pPr>
        <w:ind w:right="80" w:firstLine="436"/>
        <w:spacing w:after="0" w:line="268" w:lineRule="auto"/>
        <w:tabs>
          <w:tab w:leader="none" w:pos="80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Share Unit Award Agreement</w:t>
      </w:r>
      <w:r>
        <w:rPr>
          <w:rFonts w:ascii="Times New Roman" w:cs="Times New Roman" w:eastAsia="Times New Roman" w:hAnsi="Times New Roman"/>
          <w:sz w:val="18"/>
          <w:szCs w:val="18"/>
          <w:color w:val="auto"/>
        </w:rPr>
        <w:t>” means a written agreement between the Company and a holder of a Restricted Share Unit Award evidencing the terms and conditions of a Restricted Share Unit Award grant. Each Restricted Share Unit Award Agreement will be subject to the terms and conditions of the Plan.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3" w:name="page34"/>
    <w:bookmarkEnd w:id="33"/>
    <w:p>
      <w:pPr>
        <w:ind w:left="324" w:hanging="324"/>
        <w:spacing w:after="0"/>
        <w:tabs>
          <w:tab w:leader="none" w:pos="324"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rFonts w:ascii="Times New Roman" w:cs="Times New Roman" w:eastAsia="Times New Roman" w:hAnsi="Times New Roman"/>
          <w:sz w:val="18"/>
          <w:szCs w:val="18"/>
          <w:b w:val="1"/>
          <w:bCs w:val="1"/>
          <w:color w:val="auto"/>
        </w:rPr>
      </w:pPr>
    </w:p>
    <w:p>
      <w:pPr>
        <w:ind w:left="304" w:hanging="304"/>
        <w:spacing w:after="0"/>
        <w:tabs>
          <w:tab w:leader="none" w:pos="304"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436" w:firstLine="436"/>
        <w:spacing w:after="0" w:line="286" w:lineRule="auto"/>
        <w:tabs>
          <w:tab w:leader="none" w:pos="289"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Shares that is granted pursuant to the terms and conditions of Section 5.</w:t>
      </w:r>
    </w:p>
    <w:p>
      <w:pPr>
        <w:spacing w:after="0" w:line="154" w:lineRule="exact"/>
        <w:rPr>
          <w:rFonts w:ascii="Times New Roman" w:cs="Times New Roman" w:eastAsia="Times New Roman" w:hAnsi="Times New Roman"/>
          <w:sz w:val="18"/>
          <w:szCs w:val="18"/>
          <w:b w:val="1"/>
          <w:bCs w:val="1"/>
          <w:color w:val="auto"/>
        </w:rPr>
      </w:pPr>
    </w:p>
    <w:p>
      <w:pPr>
        <w:ind w:left="-436" w:right="200" w:firstLine="436"/>
        <w:spacing w:after="0" w:line="268" w:lineRule="auto"/>
        <w:tabs>
          <w:tab w:leader="none" w:pos="369"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Appreciation Right Agreement</w:t>
      </w:r>
      <w:r>
        <w:rPr>
          <w:rFonts w:ascii="Times New Roman" w:cs="Times New Roman" w:eastAsia="Times New Roman" w:hAnsi="Times New Roman"/>
          <w:sz w:val="18"/>
          <w:szCs w:val="18"/>
          <w:color w:val="auto"/>
        </w:rPr>
        <w:t>” means a written agreement between the Company and a holder of a Share Appreciation Right evidencing the terms and conditions of a Share Appreciation Right grant. Each Share Appreciation Right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left="-436" w:right="300" w:firstLine="436"/>
        <w:spacing w:after="0" w:line="286" w:lineRule="auto"/>
        <w:tabs>
          <w:tab w:leader="none" w:pos="349"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Award</w:t>
      </w:r>
      <w:r>
        <w:rPr>
          <w:rFonts w:ascii="Times New Roman" w:cs="Times New Roman" w:eastAsia="Times New Roman" w:hAnsi="Times New Roman"/>
          <w:sz w:val="18"/>
          <w:szCs w:val="18"/>
          <w:color w:val="auto"/>
        </w:rPr>
        <w:t>” means any right to receive Common Shares granted under the Plan, including a Nonstatutory Stock Option, a Restricted Share Award, a Restricted Share Unit Award, a Share Appreciation Right, a Performance Share Award or any Other Share Award.</w:t>
      </w:r>
    </w:p>
    <w:p>
      <w:pPr>
        <w:spacing w:after="0" w:line="154" w:lineRule="exact"/>
        <w:rPr>
          <w:rFonts w:ascii="Times New Roman" w:cs="Times New Roman" w:eastAsia="Times New Roman" w:hAnsi="Times New Roman"/>
          <w:sz w:val="18"/>
          <w:szCs w:val="18"/>
          <w:b w:val="1"/>
          <w:bCs w:val="1"/>
          <w:color w:val="auto"/>
        </w:rPr>
      </w:pPr>
    </w:p>
    <w:p>
      <w:pPr>
        <w:ind w:left="-436" w:right="200" w:firstLine="436"/>
        <w:spacing w:after="0" w:line="286" w:lineRule="auto"/>
        <w:tabs>
          <w:tab w:leader="none" w:pos="429"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Award Agreement</w:t>
      </w:r>
      <w:r>
        <w:rPr>
          <w:rFonts w:ascii="Times New Roman" w:cs="Times New Roman" w:eastAsia="Times New Roman" w:hAnsi="Times New Roman"/>
          <w:sz w:val="18"/>
          <w:szCs w:val="18"/>
          <w:color w:val="auto"/>
        </w:rPr>
        <w:t>” means a written agreement between the Company and a Participant evidencing the terms and conditions of a Share Award grant. Each Share Award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left="-436" w:right="120" w:firstLine="436"/>
        <w:spacing w:after="0" w:line="259" w:lineRule="auto"/>
        <w:tabs>
          <w:tab w:leader="none" w:pos="349"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18"/>
          <w:szCs w:val="18"/>
          <w:b w:val="1"/>
          <w:bCs w:val="1"/>
          <w:color w:val="auto"/>
        </w:rPr>
      </w:pPr>
    </w:p>
    <w:p>
      <w:pPr>
        <w:ind w:left="344" w:hanging="344"/>
        <w:spacing w:after="0"/>
        <w:tabs>
          <w:tab w:leader="none" w:pos="344"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Act</w:t>
      </w:r>
      <w:r>
        <w:rPr>
          <w:rFonts w:ascii="Times New Roman" w:cs="Times New Roman" w:eastAsia="Times New Roman" w:hAnsi="Times New Roman"/>
          <w:sz w:val="18"/>
          <w:szCs w:val="18"/>
          <w:color w:val="auto"/>
        </w:rPr>
        <w:t>” means the Income Tax Act (Canada),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left="-436" w:right="120" w:firstLine="436"/>
        <w:spacing w:after="0" w:line="286" w:lineRule="auto"/>
        <w:tabs>
          <w:tab w:leader="none" w:pos="329"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exchange(s) or market(s) on which Common Shares are listed, including but not limited to the NYSE, Nasdaq Global Select Market, the Nasdaq Global Market, the Nasdaq Capital Market or any successors thereto, is open for trading.</w:t>
      </w:r>
    </w:p>
    <w:p>
      <w:pPr>
        <w:spacing w:after="0" w:line="155" w:lineRule="exact"/>
        <w:rPr>
          <w:sz w:val="20"/>
          <w:szCs w:val="20"/>
          <w:color w:val="auto"/>
        </w:rPr>
      </w:pPr>
    </w:p>
    <w:p>
      <w:pPr>
        <w:ind w:left="4964" w:right="4940" w:hanging="4964"/>
        <w:spacing w:after="0" w:line="500" w:lineRule="auto"/>
        <w:tabs>
          <w:tab w:leader="none" w:pos="443"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Transaction</w:t>
      </w:r>
      <w:r>
        <w:rPr>
          <w:rFonts w:ascii="Times New Roman" w:cs="Times New Roman" w:eastAsia="Times New Roman" w:hAnsi="Times New Roman"/>
          <w:sz w:val="17"/>
          <w:szCs w:val="17"/>
          <w:color w:val="auto"/>
        </w:rPr>
        <w:t>” means a Corporate Transaction or a Change in Control. 23.</w:t>
      </w:r>
    </w:p>
    <w:p>
      <w:pPr>
        <w:sectPr>
          <w:pgSz w:w="11900" w:h="16838" w:orient="portrait"/>
          <w:cols w:equalWidth="0" w:num="1">
            <w:col w:w="10444"/>
          </w:cols>
          <w:pgMar w:left="876" w:top="266" w:right="5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US Standard Form</w:t>
      </w:r>
    </w:p>
    <w:p>
      <w:pPr>
        <w:spacing w:after="0" w:line="2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EPARE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2024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20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Repare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2024 Inducement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grants to Optionholder an option to purchase the number of the Company’s Common Shares set forth below. This option is granted in compliance with Nasdaq Listing Rule 5635(c)(4) as a material inducement to Optionholder entering into employment with the Company. This option is subject to all of the terms and conditions as set forth in this Stock Option Grant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Stock Option Grant Notice and the Plan, the terms of the Plan will control.</w:t>
      </w:r>
    </w:p>
    <w:p>
      <w:pPr>
        <w:spacing w:after="0" w:line="214" w:lineRule="exact"/>
        <w:rPr>
          <w:sz w:val="20"/>
          <w:szCs w:val="20"/>
          <w:color w:val="auto"/>
        </w:rPr>
      </w:pPr>
    </w:p>
    <w:p>
      <w:pPr>
        <w:spacing w:after="0"/>
        <w:tabs>
          <w:tab w:leader="none" w:pos="1100" w:val="left"/>
          <w:tab w:leader="none" w:pos="1000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Optionholder:</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Number of Common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Type of Grant: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Nonstatutory Stock Option</w:t>
      </w:r>
    </w:p>
    <w:p>
      <w:pPr>
        <w:spacing w:after="0" w:line="125" w:lineRule="exact"/>
        <w:rPr>
          <w:sz w:val="20"/>
          <w:szCs w:val="20"/>
          <w:color w:val="auto"/>
        </w:rPr>
      </w:pPr>
    </w:p>
    <w:p>
      <w:pPr>
        <w:sectPr>
          <w:pgSz w:w="11900" w:h="16838" w:orient="portrait"/>
          <w:cols w:equalWidth="0" w:num="2">
            <w:col w:w="1700" w:space="720"/>
            <w:col w:w="860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Exercise Schedule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Same as Vesting Schedule</w:t>
      </w:r>
    </w:p>
    <w:p>
      <w:pPr>
        <w:spacing w:after="0" w:line="125" w:lineRule="exact"/>
        <w:rPr>
          <w:sz w:val="20"/>
          <w:szCs w:val="20"/>
          <w:color w:val="auto"/>
        </w:rPr>
      </w:pPr>
    </w:p>
    <w:p>
      <w:pPr>
        <w:sectPr>
          <w:pgSz w:w="11900" w:h="16838" w:orient="portrait"/>
          <w:cols w:equalWidth="0" w:num="2">
            <w:col w:w="1700" w:space="720"/>
            <w:col w:w="860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______________], subject to Optionholder’s Continuous Service as of each such date.</w:t>
      </w:r>
    </w:p>
    <w:p>
      <w:pPr>
        <w:spacing w:after="0" w:line="129" w:lineRule="exact"/>
        <w:rPr>
          <w:sz w:val="20"/>
          <w:szCs w:val="20"/>
          <w:color w:val="auto"/>
        </w:rPr>
      </w:pPr>
    </w:p>
    <w:p>
      <w:pPr>
        <w:sectPr>
          <w:pgSz w:w="11900" w:h="16838" w:orient="portrait"/>
          <w:cols w:equalWidth="0" w:num="2">
            <w:col w:w="1700" w:space="720"/>
            <w:col w:w="860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By one or a combination of the following items (described in the Option Agreement):</w:t>
      </w:r>
    </w:p>
    <w:p>
      <w:pPr>
        <w:spacing w:after="0" w:line="27"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By cash, check, bank draft or money order payable to the Company</w:t>
      </w:r>
    </w:p>
    <w:p>
      <w:pPr>
        <w:spacing w:after="0" w:line="11"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a Regulation T Program if the shares are publicly traded</w:t>
      </w:r>
    </w:p>
    <w:p>
      <w:pPr>
        <w:spacing w:after="0" w:line="9"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Subject to the Company’s consent at the time of exercise, by a “net exercise” arrangement</w:t>
      </w:r>
    </w:p>
    <w:p>
      <w:pPr>
        <w:spacing w:after="0" w:line="149" w:lineRule="exact"/>
        <w:rPr>
          <w:sz w:val="20"/>
          <w:szCs w:val="20"/>
          <w:color w:val="auto"/>
        </w:rPr>
      </w:pPr>
    </w:p>
    <w:p>
      <w:pPr>
        <w:sectPr>
          <w:pgSz w:w="11900" w:h="16838" w:orient="portrait"/>
          <w:cols w:equalWidth="0" w:num="2">
            <w:col w:w="1700" w:space="720"/>
            <w:col w:w="8600"/>
          </w:cols>
          <w:pgMar w:left="440" w:top="117"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type w:val="continuous"/>
        </w:sectPr>
      </w:pPr>
    </w:p>
    <w:bookmarkStart w:id="35" w:name="page36"/>
    <w:bookmarkEnd w:id="35"/>
    <w:p>
      <w:pPr>
        <w:ind w:right="1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Additional Terms/Acknowledgements: </w:t>
      </w:r>
      <w:r>
        <w:rPr>
          <w:rFonts w:ascii="Times New Roman" w:cs="Times New Roman" w:eastAsia="Times New Roman" w:hAnsi="Times New Roman"/>
          <w:sz w:val="18"/>
          <w:szCs w:val="18"/>
          <w:color w:val="auto"/>
        </w:rPr>
        <w:t>Optionholder acknowledges receipt of, and understands and agrees to, this Stock Option Grant Notice,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if applicable, (i) equity awards previously granted and delivered to Optionholder, (ii) any compensation recovery policy that is adopted by the Company or is otherwise required by applicable law and (iii) any written employment or severance arrangement or other written agreement entered into between the Company and Optionholder specifying the terms that should govern this option upon the terms and conditions set forth therein.</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By accepting this option, Optionholder acknowledges having received and read the Stock Option Grant Notice, the Option Agreement and the Plan and agrees to all of the terms and conditions set forth in these documents. Optionholder consents to receive Plan and related documents by electronic delivery and to participate in the Plan through an on-line or electronic system established and maintained by the Company or another third party designated by the Company. Optionholder acknowledges and agrees that all information (including personal information) provided to the Company or an Affiliate in order to administer the Plan may be disclosed to third parties (including persons located in jurisdictions other than the Optionholder’s jurisdiction of residence) and may be disclosed to such persons, in connection with the administration of the Plan.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EPARE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c>
          <w:tcPr>
            <w:tcW w:w="586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PTIONHOLDER</w:t>
            </w:r>
            <w:r>
              <w:rPr>
                <w:rFonts w:ascii="Times New Roman" w:cs="Times New Roman" w:eastAsia="Times New Roman" w:hAnsi="Times New Roman"/>
                <w:sz w:val="18"/>
                <w:szCs w:val="18"/>
                <w:b w:val="1"/>
                <w:bCs w:val="1"/>
                <w:color w:val="auto"/>
              </w:rPr>
              <w:t>:</w:t>
            </w:r>
          </w:p>
        </w:tc>
      </w:tr>
      <w:tr>
        <w:trPr>
          <w:trHeight w:val="43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ind w:left="1780"/>
              <w:spacing w:after="0" w:line="191" w:lineRule="exact"/>
              <w:rPr>
                <w:sz w:val="20"/>
                <w:szCs w:val="20"/>
                <w:color w:val="auto"/>
              </w:rPr>
            </w:pPr>
            <w:r>
              <w:rPr>
                <w:rFonts w:ascii="Times New Roman" w:cs="Times New Roman" w:eastAsia="Times New Roman" w:hAnsi="Times New Roman"/>
                <w:sz w:val="18"/>
                <w:szCs w:val="18"/>
                <w:color w:val="auto"/>
              </w:rPr>
              <w:t>Signature</w:t>
            </w:r>
          </w:p>
        </w:tc>
        <w:tc>
          <w:tcPr>
            <w:tcW w:w="1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ind w:left="1780"/>
              <w:spacing w:after="0" w:line="191" w:lineRule="exact"/>
              <w:rPr>
                <w:sz w:val="20"/>
                <w:szCs w:val="20"/>
                <w:color w:val="auto"/>
              </w:rPr>
            </w:pPr>
            <w:r>
              <w:rPr>
                <w:rFonts w:ascii="Times New Roman" w:cs="Times New Roman" w:eastAsia="Times New Roman" w:hAnsi="Times New Roman"/>
                <w:sz w:val="18"/>
                <w:szCs w:val="18"/>
                <w:color w:val="auto"/>
              </w:rPr>
              <w:t>Signature</w:t>
            </w:r>
          </w:p>
        </w:tc>
      </w:tr>
      <w:tr>
        <w:trPr>
          <w:trHeight w:val="23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Borders>
              <w:bottom w:val="single" w:sz="8" w:color="auto"/>
            </w:tcBorders>
          </w:tcPr>
          <w:p>
            <w:pPr>
              <w:spacing w:after="0"/>
              <w:rPr>
                <w:sz w:val="20"/>
                <w:szCs w:val="20"/>
                <w:color w:val="auto"/>
              </w:rPr>
            </w:pP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tcBorders>
              <w:bottom w:val="single" w:sz="8" w:color="auto"/>
            </w:tcBorders>
          </w:tcPr>
          <w:p>
            <w:pPr>
              <w:spacing w:after="0"/>
              <w:rPr>
                <w:sz w:val="20"/>
                <w:szCs w:val="20"/>
                <w:color w:val="auto"/>
              </w:rPr>
            </w:pPr>
          </w:p>
        </w:tc>
      </w:tr>
      <w:tr>
        <w:trPr>
          <w:trHeight w:val="439"/>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40" w:type="dxa"/>
            <w:vAlign w:val="bottom"/>
          </w:tcPr>
          <w:p>
            <w:pPr>
              <w:spacing w:after="0"/>
              <w:rPr>
                <w:sz w:val="24"/>
                <w:szCs w:val="24"/>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TTACHMENTS</w:t>
      </w:r>
      <w:r>
        <w:rPr>
          <w:rFonts w:ascii="Times New Roman" w:cs="Times New Roman" w:eastAsia="Times New Roman" w:hAnsi="Times New Roman"/>
          <w:sz w:val="18"/>
          <w:szCs w:val="18"/>
          <w:color w:val="auto"/>
        </w:rPr>
        <w:t>: Option Agreement, 2024 Inducement Plan and Notice of Exercise</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36" w:name="page37"/>
    <w:bookmarkEnd w:id="36"/>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1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EPARE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2024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ONSTATUTORY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Pursuant to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this Option Agreement, Repare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its 2024 Inducement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the number of shares of the Company’s Common Shares indicated in your Grant Notice at the exercise price indicated in your Grant Notice. Your option is granted in compliance with Nasdaq Listing Rule 5635(c)(4) as a material inducement to you entering into employment with the Company. The option is granted to you effective as of the date of grant set forth in the Grant Notice (the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details of your option, in addition to those set forth in the Grant Notice and the Plan, are as follows:</w:t>
      </w:r>
    </w:p>
    <w:p>
      <w:pPr>
        <w:spacing w:after="0" w:line="113" w:lineRule="exact"/>
        <w:rPr>
          <w:sz w:val="20"/>
          <w:szCs w:val="20"/>
          <w:color w:val="auto"/>
        </w:rPr>
      </w:pPr>
    </w:p>
    <w:p>
      <w:pPr>
        <w:ind w:right="520" w:firstLine="436"/>
        <w:spacing w:after="0" w:line="286" w:lineRule="auto"/>
        <w:tabs>
          <w:tab w:leader="none" w:pos="6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contained herein, your option will vest as provided in your Grant Notice. Vesting will cease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your Continuous Service.</w:t>
      </w:r>
    </w:p>
    <w:p>
      <w:pPr>
        <w:spacing w:after="0" w:line="154" w:lineRule="exact"/>
        <w:rPr>
          <w:rFonts w:ascii="Times New Roman" w:cs="Times New Roman" w:eastAsia="Times New Roman" w:hAnsi="Times New Roman"/>
          <w:sz w:val="18"/>
          <w:szCs w:val="18"/>
          <w:b w:val="1"/>
          <w:bCs w:val="1"/>
          <w:color w:val="auto"/>
        </w:rPr>
      </w:pPr>
    </w:p>
    <w:p>
      <w:pPr>
        <w:ind w:right="60" w:firstLine="436"/>
        <w:spacing w:after="0" w:line="286" w:lineRule="auto"/>
        <w:tabs>
          <w:tab w:leader="none" w:pos="6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UMBER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Common Shares subject to your option and your exercise price per share in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Notice will be adjusted for Capitalization Adjustments.</w:t>
      </w:r>
    </w:p>
    <w:p>
      <w:pPr>
        <w:spacing w:after="0" w:line="154" w:lineRule="exact"/>
        <w:rPr>
          <w:rFonts w:ascii="Times New Roman" w:cs="Times New Roman" w:eastAsia="Times New Roman" w:hAnsi="Times New Roman"/>
          <w:sz w:val="18"/>
          <w:szCs w:val="18"/>
          <w:b w:val="1"/>
          <w:bCs w:val="1"/>
          <w:color w:val="auto"/>
        </w:rPr>
      </w:pPr>
    </w:p>
    <w:p>
      <w:pPr>
        <w:ind w:right="100" w:firstLine="436"/>
        <w:spacing w:after="0" w:line="256" w:lineRule="auto"/>
        <w:tabs>
          <w:tab w:leader="none" w:pos="6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ESTRICTION FOR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XEMPT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are an Employee eligible for overtime compensation under the Fair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Act of 1938, as amended (that is, a “</w:t>
      </w:r>
      <w:r>
        <w:rPr>
          <w:rFonts w:ascii="Times New Roman" w:cs="Times New Roman" w:eastAsia="Times New Roman" w:hAnsi="Times New Roman"/>
          <w:sz w:val="18"/>
          <w:szCs w:val="18"/>
          <w:b w:val="1"/>
          <w:bCs w:val="1"/>
          <w:i w:val="1"/>
          <w:iCs w:val="1"/>
          <w:color w:val="auto"/>
        </w:rPr>
        <w:t>Non-Exempt Employee</w:t>
      </w:r>
      <w:r>
        <w:rPr>
          <w:rFonts w:ascii="Times New Roman" w:cs="Times New Roman" w:eastAsia="Times New Roman" w:hAnsi="Times New Roman"/>
          <w:sz w:val="18"/>
          <w:szCs w:val="18"/>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82" w:lineRule="exact"/>
        <w:rPr>
          <w:rFonts w:ascii="Times New Roman" w:cs="Times New Roman" w:eastAsia="Times New Roman" w:hAnsi="Times New Roman"/>
          <w:sz w:val="18"/>
          <w:szCs w:val="18"/>
          <w:b w:val="1"/>
          <w:bCs w:val="1"/>
          <w:color w:val="auto"/>
        </w:rPr>
      </w:pPr>
    </w:p>
    <w:p>
      <w:pPr>
        <w:jc w:val="both"/>
        <w:ind w:firstLine="436"/>
        <w:spacing w:after="0" w:line="268" w:lineRule="auto"/>
        <w:tabs>
          <w:tab w:leader="none" w:pos="6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ETHOD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must pay the full amount of the exercise price for the shares you wish to exercise. You may pay the 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cash or by check, bank draft or money order payable to the Company or in any other manner </w:t>
      </w:r>
      <w:r>
        <w:rPr>
          <w:rFonts w:ascii="Times New Roman" w:cs="Times New Roman" w:eastAsia="Times New Roman" w:hAnsi="Times New Roman"/>
          <w:sz w:val="18"/>
          <w:szCs w:val="18"/>
          <w:b w:val="1"/>
          <w:bCs w:val="1"/>
          <w:i w:val="1"/>
          <w:iCs w:val="1"/>
          <w:color w:val="auto"/>
        </w:rPr>
        <w:t>permitted by your Grant Notice,</w:t>
      </w:r>
      <w:r>
        <w:rPr>
          <w:rFonts w:ascii="Times New Roman" w:cs="Times New Roman" w:eastAsia="Times New Roman" w:hAnsi="Times New Roman"/>
          <w:sz w:val="18"/>
          <w:szCs w:val="18"/>
          <w:color w:val="auto"/>
        </w:rPr>
        <w:t xml:space="preserve"> which may include one or more of the following:</w:t>
      </w:r>
    </w:p>
    <w:p>
      <w:pPr>
        <w:spacing w:after="0" w:line="66" w:lineRule="exact"/>
        <w:rPr>
          <w:rFonts w:ascii="Times New Roman" w:cs="Times New Roman" w:eastAsia="Times New Roman" w:hAnsi="Times New Roman"/>
          <w:sz w:val="18"/>
          <w:szCs w:val="18"/>
          <w:b w:val="1"/>
          <w:bCs w:val="1"/>
          <w:color w:val="auto"/>
        </w:rPr>
      </w:pPr>
    </w:p>
    <w:p>
      <w:pPr>
        <w:ind w:right="40" w:firstLine="987"/>
        <w:spacing w:after="0" w:line="261" w:lineRule="auto"/>
        <w:tabs>
          <w:tab w:leader="none" w:pos="1246"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Provided that at the time of exercise the Common Shares are publicly traded, pursuant to a program developed under Regulation T as promulgated by the Federal Reserve Board that, prior to the issuance of Common Shares,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37" w:name="page38"/>
    <w:bookmarkEnd w:id="37"/>
    <w:p>
      <w:pPr>
        <w:ind w:left="4" w:right="40" w:firstLine="987"/>
        <w:spacing w:after="0" w:line="270" w:lineRule="auto"/>
        <w:tabs>
          <w:tab w:leader="none" w:pos="1260" w:val="left"/>
        </w:tabs>
        <w:numPr>
          <w:ilvl w:val="2"/>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consent of the Company at the time of exercise, by a “net exercise” arrangement pursuant to which the Company will reduce the number of Common Shares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Common Shares will no longer be outstanding under your option and will not be exercisable thereafter if those shares</w:t>
      </w:r>
    </w:p>
    <w:p>
      <w:pPr>
        <w:spacing w:after="0" w:line="2" w:lineRule="exact"/>
        <w:rPr>
          <w:rFonts w:ascii="Times New Roman" w:cs="Times New Roman" w:eastAsia="Times New Roman" w:hAnsi="Times New Roman"/>
          <w:sz w:val="17"/>
          <w:szCs w:val="17"/>
          <w:b w:val="1"/>
          <w:bCs w:val="1"/>
          <w:color w:val="auto"/>
        </w:rPr>
      </w:pPr>
    </w:p>
    <w:p>
      <w:pPr>
        <w:ind w:left="4" w:right="160" w:hanging="4"/>
        <w:spacing w:after="0" w:line="260" w:lineRule="auto"/>
        <w:tabs>
          <w:tab w:leader="none" w:pos="2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used to pay the exercise price pursuant to the “net exercise,” (ii) are delivered to you as a result of such exercise, and (iii) are withheld to satisfy your tax withholding obligations.</w:t>
      </w:r>
    </w:p>
    <w:p>
      <w:pPr>
        <w:spacing w:after="0" w:line="177"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HOLE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exercise your option only for whole Common Shares.</w:t>
      </w:r>
    </w:p>
    <w:p>
      <w:pPr>
        <w:spacing w:after="0" w:line="225" w:lineRule="exact"/>
        <w:rPr>
          <w:rFonts w:ascii="Times New Roman" w:cs="Times New Roman" w:eastAsia="Times New Roman" w:hAnsi="Times New Roman"/>
          <w:sz w:val="18"/>
          <w:szCs w:val="18"/>
          <w:b w:val="1"/>
          <w:bCs w:val="1"/>
          <w:color w:val="auto"/>
        </w:rPr>
      </w:pPr>
    </w:p>
    <w:p>
      <w:pPr>
        <w:ind w:left="4" w:right="120" w:firstLine="436"/>
        <w:spacing w:after="0" w:line="278" w:lineRule="auto"/>
        <w:tabs>
          <w:tab w:leader="none" w:pos="624" w:val="left"/>
        </w:tabs>
        <w:numPr>
          <w:ilvl w:val="1"/>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3"/>
          <w:szCs w:val="13"/>
          <w:b w:val="1"/>
          <w:bCs w:val="1"/>
          <w:color w:val="auto"/>
        </w:rPr>
        <w:t>ECURITIES</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3"/>
          <w:szCs w:val="13"/>
          <w:b w:val="1"/>
          <w:bCs w:val="1"/>
          <w:color w:val="auto"/>
        </w:rPr>
        <w:t>AW</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3"/>
          <w:szCs w:val="13"/>
          <w:b w:val="1"/>
          <w:bCs w:val="1"/>
          <w:color w:val="auto"/>
        </w:rPr>
        <w:t>OMPLIANCE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no event may you exercise your option unless the Common Shares issuable upon exercise are then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63" w:lineRule="exact"/>
        <w:rPr>
          <w:rFonts w:ascii="Times New Roman" w:cs="Times New Roman" w:eastAsia="Times New Roman" w:hAnsi="Times New Roman"/>
          <w:sz w:val="17"/>
          <w:szCs w:val="17"/>
          <w:b w:val="1"/>
          <w:bCs w:val="1"/>
          <w:color w:val="auto"/>
        </w:rPr>
      </w:pPr>
    </w:p>
    <w:p>
      <w:pPr>
        <w:ind w:left="4" w:right="80" w:firstLine="436"/>
        <w:spacing w:after="0" w:line="286" w:lineRule="auto"/>
        <w:tabs>
          <w:tab w:leader="none" w:pos="624"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not exercise your option before the Date of Grant or after the expiration of the option’s term. The term of your option expires,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5(h) of the Plan, upon the earliest of the following:</w:t>
      </w:r>
    </w:p>
    <w:p>
      <w:pPr>
        <w:spacing w:after="0" w:line="50"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2"/>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225" w:lineRule="exact"/>
        <w:rPr>
          <w:rFonts w:ascii="Times New Roman" w:cs="Times New Roman" w:eastAsia="Times New Roman" w:hAnsi="Times New Roman"/>
          <w:sz w:val="18"/>
          <w:szCs w:val="18"/>
          <w:b w:val="1"/>
          <w:bCs w:val="1"/>
          <w:color w:val="auto"/>
        </w:rPr>
      </w:pPr>
    </w:p>
    <w:p>
      <w:pPr>
        <w:ind w:left="4" w:firstLine="987"/>
        <w:spacing w:after="0" w:line="269" w:lineRule="auto"/>
        <w:tabs>
          <w:tab w:leader="none" w:pos="1260" w:val="left"/>
        </w:tabs>
        <w:numPr>
          <w:ilvl w:val="2"/>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three (3) months after the termination of your Continuous Service for any reason other than Cause, your Disability or your death (except as otherwise provided in Section 7(d) below);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during any part of such three (3) month period your option is not exercisable solely because of the condition set forth in the section above regarding “Securities Law Compliance,” your option will not expire until the earlier of the Expiration Date or until it has been exercisable for an aggregate period of three (3) months after the termination of your Continuous Service;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if during any part of such three (3) month period, the sale of any Common Shares received upon exercise of your option would violate the Company’s insider trading policy, then your option will not expire until the earlier of the Expiration Date or until it has been exercisable for an aggregate period of three (3) months after the termination of your Continuous Service during which the sale of the Common Shares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spacing w:after="0" w:line="181" w:lineRule="exact"/>
        <w:rPr>
          <w:rFonts w:ascii="Times New Roman" w:cs="Times New Roman" w:eastAsia="Times New Roman" w:hAnsi="Times New Roman"/>
          <w:sz w:val="17"/>
          <w:szCs w:val="17"/>
          <w:b w:val="1"/>
          <w:bCs w:val="1"/>
          <w:color w:val="auto"/>
        </w:rPr>
      </w:pPr>
    </w:p>
    <w:p>
      <w:pPr>
        <w:ind w:left="1244" w:hanging="253"/>
        <w:spacing w:after="0"/>
        <w:tabs>
          <w:tab w:leader="none" w:pos="1244" w:val="left"/>
        </w:tabs>
        <w:numPr>
          <w:ilvl w:val="2"/>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twelve (12) months after the termination of your Continuous Service due to your Disability (except as otherwise provided in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7(d) below);</w:t>
      </w:r>
    </w:p>
    <w:p>
      <w:pPr>
        <w:spacing w:after="0" w:line="207" w:lineRule="exact"/>
        <w:rPr>
          <w:sz w:val="20"/>
          <w:szCs w:val="20"/>
          <w:color w:val="auto"/>
        </w:rPr>
      </w:pPr>
    </w:p>
    <w:p>
      <w:pPr>
        <w:ind w:left="4" w:right="820" w:firstLine="987"/>
        <w:spacing w:after="0" w:line="282" w:lineRule="auto"/>
        <w:tabs>
          <w:tab w:leader="none" w:pos="12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eighteen (18) months after your death if you die either during your Continuous Service or within three (3) months after your Continuous Service terminates for any reason other than Cause;</w:t>
      </w:r>
    </w:p>
    <w:p>
      <w:pPr>
        <w:spacing w:after="0" w:line="161"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38" w:name="page39"/>
    <w:bookmarkEnd w:id="38"/>
    <w:p>
      <w:pPr>
        <w:ind w:left="1220" w:hanging="233"/>
        <w:spacing w:after="0"/>
        <w:tabs>
          <w:tab w:leader="none" w:pos="122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day before the tenth (10th) anniversary of the Date of Grant.</w:t>
      </w:r>
    </w:p>
    <w:p>
      <w:pPr>
        <w:spacing w:after="0" w:line="221"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right="20" w:firstLine="987"/>
        <w:spacing w:after="0" w:line="261" w:lineRule="auto"/>
        <w:tabs>
          <w:tab w:leader="none" w:pos="1246"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equity plan administrator, or such other person as the Company may designate, together with such additional documents as the Company may then require.</w:t>
      </w:r>
    </w:p>
    <w:p>
      <w:pPr>
        <w:spacing w:after="0" w:line="179" w:lineRule="exact"/>
        <w:rPr>
          <w:rFonts w:ascii="Times New Roman" w:cs="Times New Roman" w:eastAsia="Times New Roman" w:hAnsi="Times New Roman"/>
          <w:sz w:val="18"/>
          <w:szCs w:val="18"/>
          <w:b w:val="1"/>
          <w:bCs w:val="1"/>
          <w:color w:val="auto"/>
        </w:rPr>
      </w:pPr>
    </w:p>
    <w:p>
      <w:pPr>
        <w:ind w:firstLine="987"/>
        <w:spacing w:after="0" w:line="261" w:lineRule="auto"/>
        <w:tabs>
          <w:tab w:leader="none" w:pos="1256"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Common Shares are subject at the time of exercise, or (iii) the disposition of Common Shares acquired upon such exercise.</w:t>
      </w:r>
    </w:p>
    <w:p>
      <w:pPr>
        <w:spacing w:after="0" w:line="179" w:lineRule="exact"/>
        <w:rPr>
          <w:rFonts w:ascii="Times New Roman" w:cs="Times New Roman" w:eastAsia="Times New Roman" w:hAnsi="Times New Roman"/>
          <w:sz w:val="18"/>
          <w:szCs w:val="18"/>
          <w:b w:val="1"/>
          <w:bCs w:val="1"/>
          <w:color w:val="auto"/>
        </w:rPr>
      </w:pPr>
    </w:p>
    <w:p>
      <w:pPr>
        <w:ind w:right="40" w:firstLine="987"/>
        <w:spacing w:after="0" w:line="253" w:lineRule="auto"/>
        <w:tabs>
          <w:tab w:leader="none" w:pos="1236"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accepting your option you agree that you will not sell, dispose of, transfer, make any short sale of, grant any option for the purchase of, or enter into any hedging or similar transaction with the same economic effect as a sale with respect to any Common Shares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Common Shares until the end of such period. You also agree that any transferee of any Common Shares (or other securities) of the Company held by you will be bound by this Section 8(c). The underwriters of the Company’s shares are intended third party beneficiaries of this Section 8(c) and will have the right, power and authority to enforce the provisions hereof as though they were a party hereto.</w:t>
      </w:r>
    </w:p>
    <w:p>
      <w:pPr>
        <w:spacing w:after="0" w:line="187"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this Section 9, your option is not transferable, except by will or by the laws of descent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distribution, and is exercisable during your life only by you.</w:t>
      </w:r>
    </w:p>
    <w:p>
      <w:pPr>
        <w:spacing w:after="0" w:line="203" w:lineRule="exact"/>
        <w:rPr>
          <w:sz w:val="20"/>
          <w:szCs w:val="20"/>
          <w:color w:val="auto"/>
        </w:rPr>
      </w:pPr>
    </w:p>
    <w:p>
      <w:pPr>
        <w:jc w:val="both"/>
        <w:ind w:right="140" w:firstLine="987"/>
        <w:spacing w:after="0" w:line="268" w:lineRule="auto"/>
        <w:tabs>
          <w:tab w:leader="none" w:pos="1246"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Trusts. </w:t>
      </w:r>
      <w:r>
        <w:rPr>
          <w:rFonts w:ascii="Times New Roman" w:cs="Times New Roman" w:eastAsia="Times New Roman" w:hAnsi="Times New Roman"/>
          <w:sz w:val="18"/>
          <w:szCs w:val="18"/>
          <w:color w:val="auto"/>
        </w:rPr>
        <w:t>Upon receiving written permission from the Board or its duly authorized designee, you may transfer your option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170" w:lineRule="exact"/>
        <w:rPr>
          <w:rFonts w:ascii="Times New Roman" w:cs="Times New Roman" w:eastAsia="Times New Roman" w:hAnsi="Times New Roman"/>
          <w:sz w:val="18"/>
          <w:szCs w:val="18"/>
          <w:b w:val="1"/>
          <w:bCs w:val="1"/>
          <w:color w:val="auto"/>
        </w:rPr>
      </w:pPr>
    </w:p>
    <w:p>
      <w:pPr>
        <w:jc w:val="both"/>
        <w:ind w:right="20" w:firstLine="987"/>
        <w:spacing w:after="0" w:line="259" w:lineRule="auto"/>
        <w:tabs>
          <w:tab w:leader="none" w:pos="1256"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Upon receiving written permission from the Board or its duly authorized designee, and provided that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w:t>
      </w:r>
    </w:p>
    <w:p>
      <w:pPr>
        <w:ind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9" w:name="page40"/>
    <w:bookmarkEnd w:id="39"/>
    <w:p>
      <w:pPr>
        <w:ind w:left="-20" w:right="120" w:firstLine="987"/>
        <w:spacing w:after="0" w:line="259" w:lineRule="auto"/>
        <w:tabs>
          <w:tab w:leader="none" w:pos="1216"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Beneficiary Designation. </w:t>
      </w:r>
      <w:r>
        <w:rPr>
          <w:rFonts w:ascii="Times New Roman" w:cs="Times New Roman" w:eastAsia="Times New Roman" w:hAnsi="Times New Roman"/>
          <w:sz w:val="18"/>
          <w:szCs w:val="18"/>
          <w:color w:val="auto"/>
        </w:rPr>
        <w:t>Upon receiving written permission from the Board or its duly authorized designee, you may, by delivering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the Company, in a form approved by the Company and any broker designated by the Company to handle option exercises, designate a third party who, on your death, will thereafter be entitled to exercise this option and receive the Common Shares or other consideration resulting from such exercise. In the absence of such a designation, your executor or administrator of your estate will be entitled to exercise this option and receive, on behalf of your estate, the Common Shares or other consideration resulting from such exercise.</w:t>
      </w:r>
    </w:p>
    <w:p>
      <w:pPr>
        <w:spacing w:after="0" w:line="179" w:lineRule="exact"/>
        <w:rPr>
          <w:rFonts w:ascii="Times New Roman" w:cs="Times New Roman" w:eastAsia="Times New Roman" w:hAnsi="Times New Roman"/>
          <w:sz w:val="18"/>
          <w:szCs w:val="18"/>
          <w:b w:val="1"/>
          <w:bCs w:val="1"/>
          <w:color w:val="auto"/>
        </w:rPr>
      </w:pPr>
    </w:p>
    <w:p>
      <w:pPr>
        <w:ind w:left="-20" w:right="20" w:firstLine="436"/>
        <w:spacing w:after="0" w:line="262" w:lineRule="auto"/>
        <w:tabs>
          <w:tab w:leader="none" w:pos="69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 NOT A</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not an employment or service contract, and nothing in your option will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 in any way whatsoever any obligation on your part to continue in the employ of the Company or an Affiliate, or of the Company or an Affiliate to continue your employment. In addition, nothing in your option will obligate the Company or an Affiliate, their respective shareholders, boards of directors, officers or employees to continue any relationship that you might have as a Director or Consultant for the Company or an Affiliate.</w:t>
      </w:r>
    </w:p>
    <w:p>
      <w:pPr>
        <w:spacing w:after="0" w:line="176" w:lineRule="exact"/>
        <w:rPr>
          <w:rFonts w:ascii="Times New Roman" w:cs="Times New Roman" w:eastAsia="Times New Roman" w:hAnsi="Times New Roman"/>
          <w:sz w:val="18"/>
          <w:szCs w:val="18"/>
          <w:b w:val="1"/>
          <w:bCs w:val="1"/>
          <w:color w:val="auto"/>
        </w:rPr>
      </w:pPr>
    </w:p>
    <w:p>
      <w:pPr>
        <w:ind w:left="680" w:hanging="264"/>
        <w:spacing w:after="0"/>
        <w:tabs>
          <w:tab w:leader="none" w:pos="6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20" w:firstLine="987"/>
        <w:spacing w:after="0" w:line="258" w:lineRule="auto"/>
        <w:tabs>
          <w:tab w:leader="none" w:pos="1226"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3" w:lineRule="exact"/>
        <w:rPr>
          <w:rFonts w:ascii="Times New Roman" w:cs="Times New Roman" w:eastAsia="Times New Roman" w:hAnsi="Times New Roman"/>
          <w:sz w:val="18"/>
          <w:szCs w:val="18"/>
          <w:b w:val="1"/>
          <w:bCs w:val="1"/>
          <w:color w:val="auto"/>
        </w:rPr>
      </w:pPr>
    </w:p>
    <w:p>
      <w:pPr>
        <w:ind w:left="-20" w:right="100" w:firstLine="987"/>
        <w:spacing w:after="0" w:line="261" w:lineRule="auto"/>
        <w:tabs>
          <w:tab w:leader="none" w:pos="1236"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your request and subject to approval by the Company, and compliance with any applicable legal conditions or restrictions, the Company may withhold from fully vested Common Shares otherwise issuable to you upon the exercise of your option a number of whole Common Shares having a Fair Market Value, determined by the Company as of the date of exercise, not in excess of the maximum amount of tax permitted to be withheld by law (or such lower amount as may be necessary to avoid classification of your option as a liability for financial accounting purposes).</w:t>
      </w:r>
    </w:p>
    <w:p>
      <w:pPr>
        <w:spacing w:after="0" w:line="179" w:lineRule="exact"/>
        <w:rPr>
          <w:rFonts w:ascii="Times New Roman" w:cs="Times New Roman" w:eastAsia="Times New Roman" w:hAnsi="Times New Roman"/>
          <w:sz w:val="18"/>
          <w:szCs w:val="18"/>
          <w:b w:val="1"/>
          <w:bCs w:val="1"/>
          <w:color w:val="auto"/>
        </w:rPr>
      </w:pPr>
    </w:p>
    <w:p>
      <w:pPr>
        <w:ind w:left="-20" w:right="80" w:firstLine="987"/>
        <w:spacing w:after="0" w:line="261" w:lineRule="auto"/>
        <w:tabs>
          <w:tab w:leader="none" w:pos="1216"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Common Shares or release such Common Shares from any escrow provided for herein, if applicable, unless such obligations are satisfied.</w:t>
      </w:r>
    </w:p>
    <w:p>
      <w:pPr>
        <w:spacing w:after="0" w:line="175" w:lineRule="exact"/>
        <w:rPr>
          <w:rFonts w:ascii="Times New Roman" w:cs="Times New Roman" w:eastAsia="Times New Roman" w:hAnsi="Times New Roman"/>
          <w:sz w:val="18"/>
          <w:szCs w:val="18"/>
          <w:b w:val="1"/>
          <w:bCs w:val="1"/>
          <w:color w:val="auto"/>
        </w:rPr>
      </w:pPr>
    </w:p>
    <w:p>
      <w:pPr>
        <w:ind w:left="-20" w:firstLine="436"/>
        <w:spacing w:after="0" w:line="259" w:lineRule="auto"/>
        <w:tabs>
          <w:tab w:leader="none" w:pos="69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ONSEQUENCES</w:t>
      </w:r>
      <w:r>
        <w:rPr>
          <w:rFonts w:ascii="Times New Roman" w:cs="Times New Roman" w:eastAsia="Times New Roman" w:hAnsi="Times New Roman"/>
          <w:sz w:val="18"/>
          <w:szCs w:val="18"/>
          <w:color w:val="auto"/>
        </w:rPr>
        <w:t>. You hereby agree that the Company does not have a duty to design or administer the Plan or its other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Common Share on the Date of Grant and there is no other impermissible deferral of compensation associated with the option.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66" w:right="479" w:bottom="1440" w:gutter="0" w:footer="0" w:header="0"/>
        </w:sectPr>
      </w:pPr>
    </w:p>
    <w:bookmarkStart w:id="40" w:name="page41"/>
    <w:bookmarkEnd w:id="40"/>
    <w:p>
      <w:pPr>
        <w:ind w:left="-20" w:firstLine="436"/>
        <w:spacing w:after="0" w:line="257" w:lineRule="auto"/>
        <w:tabs>
          <w:tab w:leader="none" w:pos="69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notices provided for in your option or the Plan will be given in writing (including electronically) and will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effectively given upon receipt or, in the case of notices delivered by mail by the Company to you, five (5) days after deposit in the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82" w:lineRule="exact"/>
        <w:rPr>
          <w:rFonts w:ascii="Times New Roman" w:cs="Times New Roman" w:eastAsia="Times New Roman" w:hAnsi="Times New Roman"/>
          <w:sz w:val="18"/>
          <w:szCs w:val="18"/>
          <w:b w:val="1"/>
          <w:bCs w:val="1"/>
          <w:color w:val="auto"/>
        </w:rPr>
      </w:pPr>
    </w:p>
    <w:p>
      <w:pPr>
        <w:ind w:left="-20" w:right="100" w:firstLine="436"/>
        <w:spacing w:after="0" w:line="257" w:lineRule="auto"/>
        <w:tabs>
          <w:tab w:leader="none" w:pos="69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all the provisions of the Plan, the provisions of which are hereby made a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82" w:lineRule="exact"/>
        <w:rPr>
          <w:rFonts w:ascii="Times New Roman" w:cs="Times New Roman" w:eastAsia="Times New Roman" w:hAnsi="Times New Roman"/>
          <w:sz w:val="18"/>
          <w:szCs w:val="18"/>
          <w:b w:val="1"/>
          <w:bCs w:val="1"/>
          <w:color w:val="auto"/>
        </w:rPr>
      </w:pPr>
    </w:p>
    <w:p>
      <w:pPr>
        <w:ind w:left="-20" w:right="80" w:firstLine="436"/>
        <w:spacing w:after="0" w:line="291" w:lineRule="auto"/>
        <w:tabs>
          <w:tab w:leader="none" w:pos="69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hereby acknowledge receipt of and the right to receive a document providing the information required by Rule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152" w:lineRule="exact"/>
        <w:rPr>
          <w:rFonts w:ascii="Times New Roman" w:cs="Times New Roman" w:eastAsia="Times New Roman" w:hAnsi="Times New Roman"/>
          <w:sz w:val="17"/>
          <w:szCs w:val="17"/>
          <w:b w:val="1"/>
          <w:bCs w:val="1"/>
          <w:color w:val="auto"/>
        </w:rPr>
      </w:pPr>
    </w:p>
    <w:p>
      <w:pPr>
        <w:ind w:left="-20" w:right="100" w:firstLine="436"/>
        <w:spacing w:after="0" w:line="262" w:lineRule="auto"/>
        <w:tabs>
          <w:tab w:leader="none" w:pos="69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FFECT 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value of this option will not be included as compensation, earnings, salaries,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6" w:lineRule="exact"/>
        <w:rPr>
          <w:rFonts w:ascii="Times New Roman" w:cs="Times New Roman" w:eastAsia="Times New Roman" w:hAnsi="Times New Roman"/>
          <w:sz w:val="18"/>
          <w:szCs w:val="18"/>
          <w:b w:val="1"/>
          <w:bCs w:val="1"/>
          <w:color w:val="auto"/>
        </w:rPr>
      </w:pPr>
    </w:p>
    <w:p>
      <w:pPr>
        <w:jc w:val="both"/>
        <w:ind w:left="-20" w:right="220" w:firstLine="436"/>
        <w:spacing w:after="0" w:line="262" w:lineRule="auto"/>
        <w:tabs>
          <w:tab w:leader="none" w:pos="69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OTING</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not have voting or any other rights as a shareholder of the Company with respect to the shares to be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option until such shares are issued to you. Upon such issuance, you will obtain full voting and other rights as a shareholder of the Company. Nothing contained in this option, and no action taken pursuant to its provisions, will create or be construed to create a trust of any kind or a fiduciary relationship between you and the Company or any other person.</w:t>
      </w:r>
    </w:p>
    <w:p>
      <w:pPr>
        <w:spacing w:after="0" w:line="176" w:lineRule="exact"/>
        <w:rPr>
          <w:rFonts w:ascii="Times New Roman" w:cs="Times New Roman" w:eastAsia="Times New Roman" w:hAnsi="Times New Roman"/>
          <w:sz w:val="18"/>
          <w:szCs w:val="18"/>
          <w:b w:val="1"/>
          <w:bCs w:val="1"/>
          <w:color w:val="auto"/>
        </w:rPr>
      </w:pPr>
    </w:p>
    <w:p>
      <w:pPr>
        <w:ind w:left="-20" w:right="40" w:firstLine="436"/>
        <w:spacing w:after="0" w:line="262" w:lineRule="auto"/>
        <w:tabs>
          <w:tab w:leader="none" w:pos="69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all or any part of this Option Agreement or the Plan is declared by any court or governmental authority to be unlawful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66" w:right="459" w:bottom="1440" w:gutter="0" w:footer="0" w:header="0"/>
        </w:sectPr>
      </w:pPr>
    </w:p>
    <w:bookmarkStart w:id="41" w:name="page42"/>
    <w:bookmarkEnd w:id="41"/>
    <w:p>
      <w:pPr>
        <w:ind w:left="264" w:hanging="264"/>
        <w:spacing w:after="0"/>
        <w:tabs>
          <w:tab w:leader="none" w:pos="26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436" w:right="500" w:firstLine="987"/>
        <w:spacing w:after="0" w:line="282" w:lineRule="auto"/>
        <w:tabs>
          <w:tab w:leader="none" w:pos="81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161" w:lineRule="exact"/>
        <w:rPr>
          <w:rFonts w:ascii="Times New Roman" w:cs="Times New Roman" w:eastAsia="Times New Roman" w:hAnsi="Times New Roman"/>
          <w:sz w:val="18"/>
          <w:szCs w:val="18"/>
          <w:b w:val="1"/>
          <w:bCs w:val="1"/>
          <w:color w:val="auto"/>
        </w:rPr>
      </w:pPr>
    </w:p>
    <w:p>
      <w:pPr>
        <w:ind w:left="-436" w:right="540" w:firstLine="987"/>
        <w:spacing w:after="0" w:line="282" w:lineRule="auto"/>
        <w:tabs>
          <w:tab w:leader="none" w:pos="82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agree upon request to execute any further documents or instruments necessary or desirable in the sole determination of the Company to carry out the purposes or intent of your option.</w:t>
      </w:r>
    </w:p>
    <w:p>
      <w:pPr>
        <w:spacing w:after="0" w:line="161" w:lineRule="exact"/>
        <w:rPr>
          <w:rFonts w:ascii="Times New Roman" w:cs="Times New Roman" w:eastAsia="Times New Roman" w:hAnsi="Times New Roman"/>
          <w:sz w:val="18"/>
          <w:szCs w:val="18"/>
          <w:b w:val="1"/>
          <w:bCs w:val="1"/>
          <w:color w:val="auto"/>
        </w:rPr>
      </w:pPr>
    </w:p>
    <w:p>
      <w:pPr>
        <w:ind w:left="-436" w:right="20" w:firstLine="987"/>
        <w:spacing w:after="0" w:line="282" w:lineRule="auto"/>
        <w:tabs>
          <w:tab w:leader="none" w:pos="799"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161" w:lineRule="exact"/>
        <w:rPr>
          <w:rFonts w:ascii="Times New Roman" w:cs="Times New Roman" w:eastAsia="Times New Roman" w:hAnsi="Times New Roman"/>
          <w:sz w:val="18"/>
          <w:szCs w:val="18"/>
          <w:b w:val="1"/>
          <w:bCs w:val="1"/>
          <w:color w:val="auto"/>
        </w:rPr>
      </w:pPr>
    </w:p>
    <w:p>
      <w:pPr>
        <w:ind w:left="-436" w:right="480" w:firstLine="987"/>
        <w:spacing w:after="0" w:line="282" w:lineRule="auto"/>
        <w:tabs>
          <w:tab w:leader="none" w:pos="82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Option Agreement will be subject to all applicable laws, rules, and regulations, and to such approvals by any governmental agencies or national securities exchanges as may be required.</w:t>
      </w:r>
    </w:p>
    <w:p>
      <w:pPr>
        <w:spacing w:after="0" w:line="161" w:lineRule="exact"/>
        <w:rPr>
          <w:rFonts w:ascii="Times New Roman" w:cs="Times New Roman" w:eastAsia="Times New Roman" w:hAnsi="Times New Roman"/>
          <w:sz w:val="18"/>
          <w:szCs w:val="18"/>
          <w:b w:val="1"/>
          <w:bCs w:val="1"/>
          <w:color w:val="auto"/>
        </w:rPr>
      </w:pPr>
    </w:p>
    <w:p>
      <w:pPr>
        <w:ind w:left="-436" w:firstLine="987"/>
        <w:spacing w:after="0" w:line="266" w:lineRule="auto"/>
        <w:tabs>
          <w:tab w:leader="none" w:pos="799"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175" w:lineRule="exact"/>
        <w:rPr>
          <w:rFonts w:ascii="Times New Roman" w:cs="Times New Roman" w:eastAsia="Times New Roman" w:hAnsi="Times New Roman"/>
          <w:sz w:val="18"/>
          <w:szCs w:val="18"/>
          <w:b w:val="1"/>
          <w:bCs w:val="1"/>
          <w:color w:val="auto"/>
        </w:rPr>
      </w:pPr>
    </w:p>
    <w:p>
      <w:pPr>
        <w:ind w:left="-436" w:right="20" w:firstLine="987"/>
        <w:spacing w:after="0" w:line="266" w:lineRule="auto"/>
        <w:tabs>
          <w:tab w:leader="none" w:pos="78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acknowledge and agree that your participation in the Plan and acceptance of your option is entirely voluntary and not obligatory and shall not be interpreted as conferring upon you any rights or privileges other than those rights and privileges expressly provided in the Plan and this Option Agreement.</w:t>
      </w:r>
    </w:p>
    <w:p>
      <w:pPr>
        <w:spacing w:after="0" w:line="176" w:lineRule="exact"/>
        <w:rPr>
          <w:sz w:val="20"/>
          <w:szCs w:val="20"/>
          <w:color w:val="auto"/>
        </w:rPr>
      </w:pPr>
    </w:p>
    <w:p>
      <w:pPr>
        <w:jc w:val="center"/>
        <w:ind w:right="376"/>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    * </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jc w:val="center"/>
        <w:ind w:right="316"/>
        <w:spacing w:after="0" w:line="454" w:lineRule="auto"/>
        <w:rPr>
          <w:sz w:val="20"/>
          <w:szCs w:val="20"/>
          <w:color w:val="auto"/>
        </w:rPr>
      </w:pPr>
      <w:r>
        <w:rPr>
          <w:rFonts w:ascii="Times New Roman" w:cs="Times New Roman" w:eastAsia="Times New Roman" w:hAnsi="Times New Roman"/>
          <w:sz w:val="18"/>
          <w:szCs w:val="18"/>
          <w:color w:val="auto"/>
        </w:rPr>
        <w:t>This Option Agreement will be deemed to be signed by you upon the signing by you of the Stock Option Grant Notice to which it is attached. 6</w:t>
      </w:r>
    </w:p>
    <w:p>
      <w:pPr>
        <w:sectPr>
          <w:pgSz w:w="11900" w:h="16838" w:orient="portrait"/>
          <w:cols w:equalWidth="0" w:num="1">
            <w:col w:w="10504"/>
          </w:cols>
          <w:pgMar w:left="876" w:top="266" w:right="51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2024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6" w:right="1440" w:bottom="1440" w:gutter="0" w:footer="0" w:header="0"/>
        </w:sectPr>
      </w:pPr>
    </w:p>
    <w:bookmarkStart w:id="43" w:name="page44"/>
    <w:bookmarkEnd w:id="43"/>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III</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EPARE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ectPr>
          <w:pgSz w:w="11900" w:h="16838" w:orient="portrait"/>
          <w:cols w:equalWidth="0" w:num="1">
            <w:col w:w="10984"/>
          </w:cols>
          <w:pgMar w:left="436" w:top="266" w:right="479" w:bottom="1440" w:gutter="0" w:footer="0" w:header="0"/>
        </w:sectPr>
      </w:pP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7171 Frederick-Banting, Building 2, Suite 270</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Exercise: _______________</w:t>
      </w:r>
    </w:p>
    <w:p>
      <w:pPr>
        <w:spacing w:after="0" w:line="21" w:lineRule="exact"/>
        <w:rPr>
          <w:sz w:val="20"/>
          <w:szCs w:val="20"/>
          <w:color w:val="auto"/>
        </w:rPr>
      </w:pPr>
    </w:p>
    <w:p>
      <w:pPr>
        <w:sectPr>
          <w:pgSz w:w="11900" w:h="16838" w:orient="portrait"/>
          <w:cols w:equalWidth="0" w:num="6">
            <w:col w:w="4464" w:space="720"/>
            <w:col w:w="40" w:space="140"/>
            <w:col w:w="40" w:space="140"/>
            <w:col w:w="40" w:space="140"/>
            <w:col w:w="40" w:space="300"/>
            <w:col w:w="492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St-Laurent, Québec CA H4S 1Z9</w:t>
      </w:r>
    </w:p>
    <w:p>
      <w:pPr>
        <w:sectPr>
          <w:pgSz w:w="11900" w:h="16838" w:orient="portrait"/>
          <w:cols w:equalWidth="0" w:num="1">
            <w:col w:w="10984"/>
          </w:cols>
          <w:pgMar w:left="436" w:top="266" w:right="479" w:bottom="1440" w:gutter="0" w:footer="0" w:header="0"/>
          <w:type w:val="continuous"/>
        </w:sectPr>
      </w:pPr>
    </w:p>
    <w:p>
      <w:pPr>
        <w:spacing w:after="0" w:line="214"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This constitutes notice to Repare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under my stock option that I elect to purchase the below number of Common Shares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for the price set forth below.</w:t>
      </w:r>
    </w:p>
    <w:p>
      <w:pPr>
        <w:spacing w:after="0" w:line="181"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Type of option:</w:t>
            </w:r>
          </w:p>
        </w:tc>
        <w:tc>
          <w:tcPr>
            <w:tcW w:w="10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Nonstatutory</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dated:</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as to which option is exercised:</w:t>
            </w:r>
          </w:p>
        </w:tc>
        <w:tc>
          <w:tcPr>
            <w:tcW w:w="1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to be issued in name of:</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1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 delivered herewith:</w:t>
            </w:r>
          </w:p>
        </w:tc>
        <w:tc>
          <w:tcPr>
            <w:tcW w:w="12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60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color w:val="auto"/>
              </w:rPr>
              <w:t>[Value of ________ Shares delivered pursuant to net exercise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[Regulation T Program (cashless exercise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By this exercise, I agree (i) to provide such additional documents as you may require pursuant to the terms of the Repare Therapeutics Inc. 2024 Inducement Plan and (ii) to provide for the payment by me to you (in the manner designated by you) of your withholding obligation, if any, relating to the exercise of this option.</w:t>
      </w:r>
    </w:p>
    <w:p>
      <w:pPr>
        <w:spacing w:after="0" w:line="176" w:lineRule="exact"/>
        <w:rPr>
          <w:sz w:val="20"/>
          <w:szCs w:val="20"/>
          <w:color w:val="auto"/>
        </w:rPr>
      </w:pPr>
    </w:p>
    <w:p>
      <w:pPr>
        <w:jc w:val="both"/>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3" w:lineRule="exact"/>
        <w:rPr>
          <w:sz w:val="20"/>
          <w:szCs w:val="20"/>
          <w:color w:val="auto"/>
        </w:rPr>
      </w:pPr>
    </w:p>
    <w:p>
      <w:pPr>
        <w:ind w:left="424" w:hanging="424"/>
        <w:spacing w:after="0"/>
        <w:tabs>
          <w:tab w:leader="none" w:pos="424" w:val="left"/>
        </w:tabs>
        <w:numPr>
          <w:ilvl w:val="0"/>
          <w:numId w:val="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Company must have established net exercise procedures at the time of exercise, in order to utilize this payment method.</w:t>
      </w:r>
    </w:p>
    <w:p>
      <w:pPr>
        <w:spacing w:after="0" w:line="1" w:lineRule="exact"/>
        <w:rPr>
          <w:sz w:val="20"/>
          <w:szCs w:val="20"/>
          <w:color w:val="auto"/>
        </w:rPr>
      </w:pPr>
    </w:p>
    <w:p>
      <w:pPr>
        <w:ind w:left="5464" w:right="5340" w:hanging="5464"/>
        <w:spacing w:after="0" w:line="311" w:lineRule="auto"/>
        <w:tabs>
          <w:tab w:leader="none" w:pos="433" w:val="left"/>
        </w:tabs>
        <w:numPr>
          <w:ilvl w:val="0"/>
          <w:numId w:val="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Shares must meet the public trading requirements set forth in the option. 1</w:t>
      </w:r>
    </w:p>
    <w:p>
      <w:pPr>
        <w:sectPr>
          <w:pgSz w:w="11900" w:h="16838" w:orient="portrait"/>
          <w:cols w:equalWidth="0" w:num="1">
            <w:col w:w="10984"/>
          </w:cols>
          <w:pgMar w:left="436" w:top="266" w:right="479" w:bottom="1440" w:gutter="0" w:footer="0" w:header="0"/>
          <w:type w:val="continuous"/>
        </w:sectPr>
      </w:pPr>
    </w:p>
    <w:bookmarkStart w:id="44" w:name="page45"/>
    <w:bookmarkEnd w:id="4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of, or enter into any hedging or similar transaction with the same economic effect as a sale with respect to any Common Shares or other securities of the Company for a period of one hundred eighty (180) days following the effective date of a registration statement of the Company filed under the Securities Act (or such longer period as the underwriters or the Company shall request to facilitate compliance with FINRA Rule 2241 or any successor or similar rule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Canadian Standard Form</w:t>
      </w:r>
    </w:p>
    <w:p>
      <w:pPr>
        <w:spacing w:after="0" w:line="2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EPARE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2024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Repare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2024 Inducement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grants to Optionholder an option to purchase the number of the Company’s Common Shares set forth below. This option is granted in compliance with Nasdaq Listing Rule 5635(c)(4) as a material inducement to Optionholder entering into employment with the Company and is aimed at the prospective retention of the Optionholder. This option is subject to all of the terms and conditions as set forth in this Stock Option Grant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Stock Option Grant Notice and the Plan, the terms of the Plan will control.</w:t>
      </w:r>
    </w:p>
    <w:p>
      <w:pPr>
        <w:spacing w:after="0" w:line="214" w:lineRule="exact"/>
        <w:rPr>
          <w:sz w:val="20"/>
          <w:szCs w:val="20"/>
          <w:color w:val="auto"/>
        </w:rPr>
      </w:pPr>
    </w:p>
    <w:p>
      <w:pPr>
        <w:spacing w:after="0"/>
        <w:tabs>
          <w:tab w:leader="none" w:pos="1100" w:val="left"/>
          <w:tab w:leader="none" w:pos="1000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Optionholder:</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Number of Common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ectPr>
          <w:pgSz w:w="11900" w:h="16838" w:orient="portrait"/>
          <w:cols w:equalWidth="0" w:num="1">
            <w:col w:w="11020"/>
          </w:cols>
          <w:pgMar w:left="440" w:top="268" w:right="439" w:bottom="1440" w:gutter="0" w:footer="0" w:header="0"/>
        </w:sect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Type of Grant:</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Nonstatutory Stock Option</w:t>
      </w:r>
    </w:p>
    <w:p>
      <w:pPr>
        <w:spacing w:after="0" w:line="124" w:lineRule="exact"/>
        <w:rPr>
          <w:sz w:val="20"/>
          <w:szCs w:val="20"/>
          <w:color w:val="auto"/>
        </w:rPr>
      </w:pPr>
    </w:p>
    <w:p>
      <w:pPr>
        <w:sectPr>
          <w:pgSz w:w="11900" w:h="16838" w:orient="portrait"/>
          <w:cols w:equalWidth="0" w:num="2">
            <w:col w:w="1700" w:space="720"/>
            <w:col w:w="8600"/>
          </w:cols>
          <w:pgMar w:left="440" w:top="26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Exercise Schedule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Same as Vesting Schedule</w:t>
      </w:r>
    </w:p>
    <w:p>
      <w:pPr>
        <w:spacing w:after="0" w:line="125" w:lineRule="exact"/>
        <w:rPr>
          <w:sz w:val="20"/>
          <w:szCs w:val="20"/>
          <w:color w:val="auto"/>
        </w:rPr>
      </w:pPr>
    </w:p>
    <w:p>
      <w:pPr>
        <w:sectPr>
          <w:pgSz w:w="11900" w:h="16838" w:orient="portrait"/>
          <w:cols w:equalWidth="0" w:num="2">
            <w:col w:w="1700" w:space="720"/>
            <w:col w:w="8600"/>
          </w:cols>
          <w:pgMar w:left="440" w:top="26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______________], subject to Optionholder’s Continuous Service as of each such date.</w:t>
      </w:r>
    </w:p>
    <w:p>
      <w:pPr>
        <w:spacing w:after="0" w:line="124" w:lineRule="exact"/>
        <w:rPr>
          <w:sz w:val="20"/>
          <w:szCs w:val="20"/>
          <w:color w:val="auto"/>
        </w:rPr>
      </w:pPr>
    </w:p>
    <w:p>
      <w:pPr>
        <w:sectPr>
          <w:pgSz w:w="11900" w:h="16838" w:orient="portrait"/>
          <w:cols w:equalWidth="0" w:num="2">
            <w:col w:w="1700" w:space="720"/>
            <w:col w:w="8600"/>
          </w:cols>
          <w:pgMar w:left="440" w:top="26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b w:val="1"/>
          <w:bCs w:val="1"/>
          <w:color w:val="auto"/>
        </w:rPr>
        <w:t>Payment: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one or a combination of the following items (described in the Option Agreement):</w:t>
      </w:r>
    </w:p>
    <w:p>
      <w:pPr>
        <w:spacing w:after="0" w:line="27"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By cash, check, bank draft or money order payable to the Company</w:t>
      </w:r>
    </w:p>
    <w:p>
      <w:pPr>
        <w:spacing w:after="0" w:line="11"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a Regulation T Program if the shares are publicly traded</w:t>
      </w:r>
    </w:p>
    <w:p>
      <w:pPr>
        <w:spacing w:after="0" w:line="9"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Subject to a notice or election provided to the Company by Optionholder at or before the time of exercise, by a “net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or “net surrender” arrangement</w:t>
      </w:r>
    </w:p>
    <w:p>
      <w:pPr>
        <w:spacing w:after="0" w:line="138" w:lineRule="exact"/>
        <w:rPr>
          <w:sz w:val="20"/>
          <w:szCs w:val="20"/>
          <w:color w:val="auto"/>
        </w:rPr>
      </w:pPr>
    </w:p>
    <w:p>
      <w:pPr>
        <w:sectPr>
          <w:pgSz w:w="11900" w:h="16838" w:orient="portrait"/>
          <w:cols w:equalWidth="0" w:num="2">
            <w:col w:w="1700" w:space="720"/>
            <w:col w:w="8600"/>
          </w:cols>
          <w:pgMar w:left="440" w:top="268"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8" w:right="439" w:bottom="1440" w:gutter="0" w:footer="0" w:header="0"/>
          <w:type w:val="continuous"/>
        </w:sectPr>
      </w:pPr>
    </w:p>
    <w:bookmarkStart w:id="46" w:name="page47"/>
    <w:bookmarkEnd w:id="46"/>
    <w:p>
      <w:pPr>
        <w:ind w:right="1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Terms/Acknowledgements: </w:t>
      </w:r>
      <w:r>
        <w:rPr>
          <w:rFonts w:ascii="Times New Roman" w:cs="Times New Roman" w:eastAsia="Times New Roman" w:hAnsi="Times New Roman"/>
          <w:sz w:val="18"/>
          <w:szCs w:val="18"/>
          <w:color w:val="auto"/>
        </w:rPr>
        <w:t>Optionholder acknowledges receipt of, and understands and agrees to, this Stock Option Grant Notice,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if applicable, (i) equity awards previously granted and delivered to Optionholder, (ii) any compensation recovery policy that is adopted by the Company or is otherwise required by applicable law and (iii) any written employment or severance arrangement or other written agreement entered into between the Company and Optionholder specifying the terms that should govern this option upon the terms and conditions set forth therein.</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By accepting this option, Optionholder acknowledges having received and read the Stock Option Grant Notice, the Option Agreement and the Plan and agrees to all of the terms and conditions set forth in these documents. Optionholder consents to receive Plan and related documents by electronic delivery and to participate in the Plan through an on-line or electronic system established and maintained by the Company or another third party designated by the Company. Optionholder acknowledges and agrees that all information (including personal information) provided to the Company or an Affiliate in order to administer the Plan may be disclosed to third parties (including persons located in jurisdictions other than the Optionholder’s jurisdiction of residence) and may be disclosed to such persons, in connection with the administration of the Plan.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EPARE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c>
          <w:tcPr>
            <w:tcW w:w="586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PTIONHOLDER</w:t>
            </w:r>
            <w:r>
              <w:rPr>
                <w:rFonts w:ascii="Times New Roman" w:cs="Times New Roman" w:eastAsia="Times New Roman" w:hAnsi="Times New Roman"/>
                <w:sz w:val="18"/>
                <w:szCs w:val="18"/>
                <w:b w:val="1"/>
                <w:bCs w:val="1"/>
                <w:color w:val="auto"/>
              </w:rPr>
              <w:t>:</w:t>
            </w:r>
          </w:p>
        </w:tc>
      </w:tr>
      <w:tr>
        <w:trPr>
          <w:trHeight w:val="43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ind w:left="1780"/>
              <w:spacing w:after="0" w:line="191" w:lineRule="exact"/>
              <w:rPr>
                <w:sz w:val="20"/>
                <w:szCs w:val="20"/>
                <w:color w:val="auto"/>
              </w:rPr>
            </w:pPr>
            <w:r>
              <w:rPr>
                <w:rFonts w:ascii="Times New Roman" w:cs="Times New Roman" w:eastAsia="Times New Roman" w:hAnsi="Times New Roman"/>
                <w:sz w:val="18"/>
                <w:szCs w:val="18"/>
                <w:color w:val="auto"/>
              </w:rPr>
              <w:t>Signature</w:t>
            </w:r>
          </w:p>
        </w:tc>
        <w:tc>
          <w:tcPr>
            <w:tcW w:w="1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ind w:left="1780"/>
              <w:spacing w:after="0" w:line="191" w:lineRule="exact"/>
              <w:rPr>
                <w:sz w:val="20"/>
                <w:szCs w:val="20"/>
                <w:color w:val="auto"/>
              </w:rPr>
            </w:pPr>
            <w:r>
              <w:rPr>
                <w:rFonts w:ascii="Times New Roman" w:cs="Times New Roman" w:eastAsia="Times New Roman" w:hAnsi="Times New Roman"/>
                <w:sz w:val="18"/>
                <w:szCs w:val="18"/>
                <w:color w:val="auto"/>
              </w:rPr>
              <w:t>Signature</w:t>
            </w:r>
          </w:p>
        </w:tc>
      </w:tr>
      <w:tr>
        <w:trPr>
          <w:trHeight w:val="23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Borders>
              <w:bottom w:val="single" w:sz="8" w:color="auto"/>
            </w:tcBorders>
          </w:tcPr>
          <w:p>
            <w:pPr>
              <w:spacing w:after="0"/>
              <w:rPr>
                <w:sz w:val="20"/>
                <w:szCs w:val="20"/>
                <w:color w:val="auto"/>
              </w:rPr>
            </w:pP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tcBorders>
              <w:bottom w:val="single" w:sz="8" w:color="auto"/>
            </w:tcBorders>
          </w:tcPr>
          <w:p>
            <w:pPr>
              <w:spacing w:after="0"/>
              <w:rPr>
                <w:sz w:val="20"/>
                <w:szCs w:val="20"/>
                <w:color w:val="auto"/>
              </w:rPr>
            </w:pPr>
          </w:p>
        </w:tc>
      </w:tr>
      <w:tr>
        <w:trPr>
          <w:trHeight w:val="439"/>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40" w:type="dxa"/>
            <w:vAlign w:val="bottom"/>
          </w:tcPr>
          <w:p>
            <w:pPr>
              <w:spacing w:after="0"/>
              <w:rPr>
                <w:sz w:val="24"/>
                <w:szCs w:val="24"/>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TTACHMENTS</w:t>
      </w:r>
      <w:r>
        <w:rPr>
          <w:rFonts w:ascii="Times New Roman" w:cs="Times New Roman" w:eastAsia="Times New Roman" w:hAnsi="Times New Roman"/>
          <w:sz w:val="18"/>
          <w:szCs w:val="18"/>
          <w:color w:val="auto"/>
        </w:rPr>
        <w:t>: Option Agreement, 2024 Inducement Plan and Notice of Exercise</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47" w:name="page48"/>
    <w:bookmarkEnd w:id="47"/>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1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EPARE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2024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ONSTATUTORY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Pursuant to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this Option Agreement, Repare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its 2024 Inducement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the number of shares of the Company’s Common Shares indicated in your Grant Notice at the exercise price indicated in your Grant Notice. Your option is granted in compliance with Nasdaq Listing Rule 5635(c)(4) as a material inducement to you entering into employment with the Company. The option is granted to you effective as of the date of grant set forth in the Grant Notice (the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details of your option, in addition to those set forth in the Grant Notice and the Plan, are as follows:</w:t>
      </w:r>
    </w:p>
    <w:p>
      <w:pPr>
        <w:spacing w:after="0" w:line="113" w:lineRule="exact"/>
        <w:rPr>
          <w:sz w:val="20"/>
          <w:szCs w:val="20"/>
          <w:color w:val="auto"/>
        </w:rPr>
      </w:pPr>
    </w:p>
    <w:p>
      <w:pPr>
        <w:ind w:right="520" w:firstLine="436"/>
        <w:spacing w:after="0" w:line="286" w:lineRule="auto"/>
        <w:tabs>
          <w:tab w:leader="none" w:pos="6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contained herein, your option will vest as provided in your Grant Notice. Vesting will cease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your Continuous Service (as such date is determined in accordance with Section 6).</w:t>
      </w:r>
    </w:p>
    <w:p>
      <w:pPr>
        <w:spacing w:after="0" w:line="154" w:lineRule="exact"/>
        <w:rPr>
          <w:rFonts w:ascii="Times New Roman" w:cs="Times New Roman" w:eastAsia="Times New Roman" w:hAnsi="Times New Roman"/>
          <w:sz w:val="18"/>
          <w:szCs w:val="18"/>
          <w:b w:val="1"/>
          <w:bCs w:val="1"/>
          <w:color w:val="auto"/>
        </w:rPr>
      </w:pPr>
    </w:p>
    <w:p>
      <w:pPr>
        <w:ind w:right="60" w:firstLine="436"/>
        <w:spacing w:after="0" w:line="259" w:lineRule="auto"/>
        <w:tabs>
          <w:tab w:leader="none" w:pos="6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UMBER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Common Shares subject to your option and your exercise price per share in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Notice will be adjusted for Capitalization Adjustments. For clarity, if you would otherwise become entitled to a fractional Common Share upon the exercise of the vested portion of your option, or from an adjustment permitted by the terms of the Plan (including a Capitalization Adjustment), you shall only have the right to receive the next lowest whole number of Common Share with any remaining fractional share disregarded. No payment or other adjustment will be made with respect to the fractional interest so disregarded.</w:t>
      </w:r>
    </w:p>
    <w:p>
      <w:pPr>
        <w:spacing w:after="0" w:line="179" w:lineRule="exact"/>
        <w:rPr>
          <w:rFonts w:ascii="Times New Roman" w:cs="Times New Roman" w:eastAsia="Times New Roman" w:hAnsi="Times New Roman"/>
          <w:sz w:val="18"/>
          <w:szCs w:val="18"/>
          <w:b w:val="1"/>
          <w:bCs w:val="1"/>
          <w:color w:val="auto"/>
        </w:rPr>
      </w:pPr>
    </w:p>
    <w:p>
      <w:pPr>
        <w:jc w:val="both"/>
        <w:ind w:firstLine="436"/>
        <w:spacing w:after="0" w:line="268" w:lineRule="auto"/>
        <w:tabs>
          <w:tab w:leader="none" w:pos="6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ETHOD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must pay the full amount of the exercise price for the shares you wish to exercise. You may pay the 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cash or by check, bank draft or money order payable to the Company or in any other manner </w:t>
      </w:r>
      <w:r>
        <w:rPr>
          <w:rFonts w:ascii="Times New Roman" w:cs="Times New Roman" w:eastAsia="Times New Roman" w:hAnsi="Times New Roman"/>
          <w:sz w:val="18"/>
          <w:szCs w:val="18"/>
          <w:b w:val="1"/>
          <w:bCs w:val="1"/>
          <w:i w:val="1"/>
          <w:iCs w:val="1"/>
          <w:color w:val="auto"/>
        </w:rPr>
        <w:t>permitted by your Grant Notice,</w:t>
      </w:r>
      <w:r>
        <w:rPr>
          <w:rFonts w:ascii="Times New Roman" w:cs="Times New Roman" w:eastAsia="Times New Roman" w:hAnsi="Times New Roman"/>
          <w:sz w:val="18"/>
          <w:szCs w:val="18"/>
          <w:color w:val="auto"/>
        </w:rPr>
        <w:t xml:space="preserve"> which may include one or more of the following:</w:t>
      </w:r>
    </w:p>
    <w:p>
      <w:pPr>
        <w:spacing w:after="0" w:line="66" w:lineRule="exact"/>
        <w:rPr>
          <w:rFonts w:ascii="Times New Roman" w:cs="Times New Roman" w:eastAsia="Times New Roman" w:hAnsi="Times New Roman"/>
          <w:sz w:val="18"/>
          <w:szCs w:val="18"/>
          <w:b w:val="1"/>
          <w:bCs w:val="1"/>
          <w:color w:val="auto"/>
        </w:rPr>
      </w:pPr>
    </w:p>
    <w:p>
      <w:pPr>
        <w:ind w:right="40" w:firstLine="987"/>
        <w:spacing w:after="0" w:line="261" w:lineRule="auto"/>
        <w:tabs>
          <w:tab w:leader="none" w:pos="1246"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Provided that at the time of exercise the Common Shares are publicly traded, pursuant to a program developed under Regulation T as promulgated by the Federal Reserve Board that, prior to the issuance of Common Shares,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48" w:name="page49"/>
    <w:bookmarkEnd w:id="48"/>
    <w:p>
      <w:pPr>
        <w:ind w:left="4" w:right="80" w:firstLine="987"/>
        <w:spacing w:after="0" w:line="255" w:lineRule="auto"/>
        <w:tabs>
          <w:tab w:leader="none" w:pos="1260" w:val="left"/>
        </w:tabs>
        <w:numPr>
          <w:ilvl w:val="2"/>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a notice or election provided by Optionholder to the Company and the consent of the Company at the time of exercise, by a “net exercise” or “net surrender” arrangement by surrendering to the Company for cancellation a portion of your option with respect to the minimum number of shares with a Fair Market Value equal to the aggregate exercise price and all applicable withholding taxes, provided, however that such tax withholding shall not exceed the maximum statutory tax rate applicable to you. You must pay any remaining balance of the aggregate exercise price not satisfied by the “net surrender” in cash or other permitted form of payment. Common Shares will no longer be outstanding under your option and will not be exercisable thereafter if those shares (i) are surrendered by you to pay the exercise price or applicable tax withholding obligations pursuant to the “net surrender,” and (ii) are delivered to you as a result of such exercise.</w:t>
      </w:r>
    </w:p>
    <w:p>
      <w:pPr>
        <w:spacing w:after="0" w:line="184" w:lineRule="exact"/>
        <w:rPr>
          <w:rFonts w:ascii="Times New Roman" w:cs="Times New Roman" w:eastAsia="Times New Roman" w:hAnsi="Times New Roman"/>
          <w:sz w:val="18"/>
          <w:szCs w:val="18"/>
          <w:b w:val="1"/>
          <w:bCs w:val="1"/>
          <w:color w:val="auto"/>
        </w:rPr>
      </w:pPr>
    </w:p>
    <w:p>
      <w:pPr>
        <w:ind w:left="624" w:hanging="184"/>
        <w:spacing w:after="0"/>
        <w:tabs>
          <w:tab w:leader="none" w:pos="624"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HOLE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2, you may exercise your option only for whole Common Shares.</w:t>
      </w:r>
    </w:p>
    <w:p>
      <w:pPr>
        <w:spacing w:after="0" w:line="225" w:lineRule="exact"/>
        <w:rPr>
          <w:rFonts w:ascii="Times New Roman" w:cs="Times New Roman" w:eastAsia="Times New Roman" w:hAnsi="Times New Roman"/>
          <w:sz w:val="18"/>
          <w:szCs w:val="18"/>
          <w:b w:val="1"/>
          <w:bCs w:val="1"/>
          <w:color w:val="auto"/>
        </w:rPr>
      </w:pPr>
    </w:p>
    <w:p>
      <w:pPr>
        <w:ind w:left="4" w:right="120" w:firstLine="436"/>
        <w:spacing w:after="0" w:line="259" w:lineRule="auto"/>
        <w:tabs>
          <w:tab w:leader="none" w:pos="624"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ECURITIES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no event may you exercise your option unless the Common Shares issuable upon exercise are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under the Securities Act or, if not registered, the Company has determined that your exercise and the issuance of the shares would be exempt from the registration requirements of the Securities Act and would be in compliance with other applicable securities law. The exercise of your option also must comply with all other applicable laws and regulations governing your option, and you may not exercise your option if the Company determines that such exercise would not be in material compliance with such laws and regulations.</w:t>
      </w:r>
    </w:p>
    <w:p>
      <w:pPr>
        <w:spacing w:after="0" w:line="179" w:lineRule="exact"/>
        <w:rPr>
          <w:rFonts w:ascii="Times New Roman" w:cs="Times New Roman" w:eastAsia="Times New Roman" w:hAnsi="Times New Roman"/>
          <w:sz w:val="18"/>
          <w:szCs w:val="18"/>
          <w:b w:val="1"/>
          <w:bCs w:val="1"/>
          <w:color w:val="auto"/>
        </w:rPr>
      </w:pPr>
    </w:p>
    <w:p>
      <w:pPr>
        <w:ind w:left="4" w:right="80" w:firstLine="436"/>
        <w:spacing w:after="0" w:line="286" w:lineRule="auto"/>
        <w:tabs>
          <w:tab w:leader="none" w:pos="624"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not exercise your option before the Date of Grant or after the expiration of the option’s term. The term of your option expires,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5(h) of the Plan, upon the earliest of the following:</w:t>
      </w:r>
    </w:p>
    <w:p>
      <w:pPr>
        <w:spacing w:after="0" w:line="50"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2"/>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on the date of termination of your Continuous Service for Cause;</w:t>
      </w:r>
    </w:p>
    <w:p>
      <w:pPr>
        <w:spacing w:after="0" w:line="225" w:lineRule="exact"/>
        <w:rPr>
          <w:rFonts w:ascii="Times New Roman" w:cs="Times New Roman" w:eastAsia="Times New Roman" w:hAnsi="Times New Roman"/>
          <w:sz w:val="18"/>
          <w:szCs w:val="18"/>
          <w:b w:val="1"/>
          <w:bCs w:val="1"/>
          <w:color w:val="auto"/>
        </w:rPr>
      </w:pPr>
    </w:p>
    <w:p>
      <w:pPr>
        <w:ind w:left="4" w:firstLine="987"/>
        <w:spacing w:after="0" w:line="267" w:lineRule="auto"/>
        <w:tabs>
          <w:tab w:leader="none" w:pos="1260" w:val="left"/>
        </w:tabs>
        <w:numPr>
          <w:ilvl w:val="2"/>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three (3) months after the date of termination of your Continuous Service for any reason other than Cause, your Disability or your death (except as otherwise provided in Section 6(d) below);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during any part of such three (3) month period your option is not exercisable solely because of the condition set forth in the section above regarding “Securities Law Compliance,” your option will not expire until the earlier of the Expiration Date or until it has been exercisable for an aggregate period of three (3) months after the date of termination of your Continuous Service;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if during any part of such three (3) month period, the sale of any Common Shares received upon exercise of your option would violate the Company’s insider trading policy, then your option will not expire until the earlier of the Expiration Date or until it has been exercisable for an aggregate period of three (3) months after the date of termination of your Continuous Service during which the sale of the Common Shares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w:t>
      </w:r>
    </w:p>
    <w:p>
      <w:pPr>
        <w:spacing w:after="0" w:line="3" w:lineRule="exact"/>
        <w:rPr>
          <w:rFonts w:ascii="Times New Roman" w:cs="Times New Roman" w:eastAsia="Times New Roman" w:hAnsi="Times New Roman"/>
          <w:sz w:val="17"/>
          <w:szCs w:val="17"/>
          <w:b w:val="1"/>
          <w:bCs w:val="1"/>
          <w:color w:val="auto"/>
        </w:rPr>
      </w:pPr>
    </w:p>
    <w:p>
      <w:pPr>
        <w:ind w:left="4" w:right="640" w:hanging="4"/>
        <w:spacing w:after="0" w:line="260"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Date of Grant, and (B) the date that is three (3) months after the date of termination of your Continuous Service, and (y) the Expiration Date;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49" w:name="page50"/>
    <w:bookmarkEnd w:id="49"/>
    <w:p>
      <w:pPr>
        <w:ind w:right="820" w:firstLine="987"/>
        <w:spacing w:after="0" w:line="282" w:lineRule="auto"/>
        <w:tabs>
          <w:tab w:leader="none" w:pos="1236"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twelve (12) months after the termination of your Continuous Service due to your Disability (except as otherwise provided in Section 6(d) below);</w:t>
      </w:r>
    </w:p>
    <w:p>
      <w:pPr>
        <w:spacing w:after="0" w:line="161" w:lineRule="exact"/>
        <w:rPr>
          <w:rFonts w:ascii="Times New Roman" w:cs="Times New Roman" w:eastAsia="Times New Roman" w:hAnsi="Times New Roman"/>
          <w:sz w:val="18"/>
          <w:szCs w:val="18"/>
          <w:b w:val="1"/>
          <w:bCs w:val="1"/>
          <w:color w:val="auto"/>
        </w:rPr>
      </w:pPr>
    </w:p>
    <w:p>
      <w:pPr>
        <w:ind w:right="820" w:firstLine="987"/>
        <w:spacing w:after="0" w:line="282" w:lineRule="auto"/>
        <w:tabs>
          <w:tab w:leader="none" w:pos="1256"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eighteen (18) months after your death if you die either during your Continuous Service or within three (3) months after your Continuous Service terminates for any reason other than Cause;</w:t>
      </w:r>
    </w:p>
    <w:p>
      <w:pPr>
        <w:spacing w:after="0" w:line="161"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225" w:lineRule="exact"/>
        <w:rPr>
          <w:rFonts w:ascii="Times New Roman" w:cs="Times New Roman" w:eastAsia="Times New Roman" w:hAnsi="Times New Roman"/>
          <w:sz w:val="18"/>
          <w:szCs w:val="18"/>
          <w:b w:val="1"/>
          <w:bCs w:val="1"/>
          <w:color w:val="auto"/>
        </w:rPr>
      </w:pPr>
    </w:p>
    <w:p>
      <w:pPr>
        <w:ind w:left="1220" w:hanging="233"/>
        <w:spacing w:after="0"/>
        <w:tabs>
          <w:tab w:leader="none" w:pos="12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tenth (10th) anniversary of the Date of Grant.</w:t>
      </w:r>
    </w:p>
    <w:p>
      <w:pPr>
        <w:spacing w:after="0" w:line="225" w:lineRule="exact"/>
        <w:rPr>
          <w:sz w:val="20"/>
          <w:szCs w:val="20"/>
          <w:color w:val="auto"/>
        </w:rPr>
      </w:pPr>
    </w:p>
    <w:p>
      <w:pPr>
        <w:ind w:right="40" w:firstLine="440"/>
        <w:spacing w:after="0" w:line="270" w:lineRule="auto"/>
        <w:rPr>
          <w:sz w:val="20"/>
          <w:szCs w:val="20"/>
          <w:color w:val="auto"/>
        </w:rPr>
      </w:pPr>
      <w:r>
        <w:rPr>
          <w:rFonts w:ascii="Times New Roman" w:cs="Times New Roman" w:eastAsia="Times New Roman" w:hAnsi="Times New Roman"/>
          <w:sz w:val="17"/>
          <w:szCs w:val="17"/>
          <w:color w:val="auto"/>
        </w:rPr>
        <w:t>Notwithstanding anything in the Plan, this Option Agreement or any other agreement between you and the Company or an Affiliate, your Continuous Service will be deemed to have terminated on your last day of actual and active employment with the Company or an Affiliate, whether that day is selected by agreement with you, unilaterally by the Company or the applicable Affiliate or otherwise and whether advance notice (pursuant to contract, civil or common law) is or is not given to you. Without limiting the generality of the foregoing, except if required by applicable employment standards legislation, no period of deemed employment in connection with a termination of employment and no period of notice or payment in lieu of notice that follows or is in respect of a period that follows your last day of actual and active employment shall be deemed to extend your period of employment for any purpose, including for the purpose of determining any of your rights or entitlements under the Plan or this Option Agreement. Except as required by applicable employment standards legislation, you will not be entitled to damages or any compensation for any loss or in lieu of receiving any benefit under the Plan or this Option Agreement due to the termination of your employment, including compensation or damages in respect of any option that does not vest or is not awarded as a result of the termination of your employment with the Company or an Affiliate.</w:t>
      </w:r>
    </w:p>
    <w:p>
      <w:pPr>
        <w:spacing w:after="0" w:line="173" w:lineRule="exact"/>
        <w:rPr>
          <w:sz w:val="20"/>
          <w:szCs w:val="20"/>
          <w:color w:val="auto"/>
        </w:rPr>
      </w:pPr>
    </w:p>
    <w:p>
      <w:pPr>
        <w:ind w:left="620" w:hanging="184"/>
        <w:spacing w:after="0"/>
        <w:tabs>
          <w:tab w:leader="none" w:pos="6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right="20" w:firstLine="987"/>
        <w:spacing w:after="0" w:line="261" w:lineRule="auto"/>
        <w:tabs>
          <w:tab w:leader="none" w:pos="1246"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equity plan administrator, or such other person as the Company may designate, together with such additional documents as the Company may then require.</w:t>
      </w:r>
    </w:p>
    <w:p>
      <w:pPr>
        <w:spacing w:after="0" w:line="179" w:lineRule="exact"/>
        <w:rPr>
          <w:rFonts w:ascii="Times New Roman" w:cs="Times New Roman" w:eastAsia="Times New Roman" w:hAnsi="Times New Roman"/>
          <w:sz w:val="18"/>
          <w:szCs w:val="18"/>
          <w:b w:val="1"/>
          <w:bCs w:val="1"/>
          <w:color w:val="auto"/>
        </w:rPr>
      </w:pPr>
    </w:p>
    <w:p>
      <w:pPr>
        <w:ind w:firstLine="987"/>
        <w:spacing w:after="0" w:line="261" w:lineRule="auto"/>
        <w:tabs>
          <w:tab w:leader="none" w:pos="1256"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Common Shares are subject at the time of exercise, or (iii) the disposition of Common Shares acquired upon such exercise.</w:t>
      </w:r>
    </w:p>
    <w:p>
      <w:pPr>
        <w:spacing w:after="0" w:line="179" w:lineRule="exact"/>
        <w:rPr>
          <w:rFonts w:ascii="Times New Roman" w:cs="Times New Roman" w:eastAsia="Times New Roman" w:hAnsi="Times New Roman"/>
          <w:sz w:val="18"/>
          <w:szCs w:val="18"/>
          <w:b w:val="1"/>
          <w:bCs w:val="1"/>
          <w:color w:val="auto"/>
        </w:rPr>
      </w:pPr>
    </w:p>
    <w:p>
      <w:pPr>
        <w:ind w:right="40" w:firstLine="987"/>
        <w:spacing w:after="0" w:line="255" w:lineRule="auto"/>
        <w:tabs>
          <w:tab w:leader="none" w:pos="1236"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accepting your option you agree that you will not sell, dispose of, transfer, make any short sale of, grant any option for the purchase of, or enter into any hedging or similar transaction with the same economic effect as a sale with respect to any Common Shares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section will prevent the exercise of a repurchase option, if any, in favor of the Company during the Lock-Up Period. You further agree to execute and deliver such other agreements as may be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50" w:name="page51"/>
    <w:bookmarkEnd w:id="50"/>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reasonably requested by the Company or the underwriters that are consistent with the foregoing or that are necessary to give further effect thereto. In order to enforce the foregoing covenant, the Company may impose stop-transfer instructions with respect to your Common Shares until the end of such period. You also agree that any transferee of any Common Shares (or other securities) of the Company held by you will be bound by this Section 7(c). The underwriters of the Company’s shares are intended third party beneficiaries of this Section 7(c) and will have the right, power and authority to enforce the provisions hereof as though they were a party hereto.</w:t>
      </w:r>
    </w:p>
    <w:p>
      <w:pPr>
        <w:spacing w:after="0" w:line="183" w:lineRule="exact"/>
        <w:rPr>
          <w:sz w:val="20"/>
          <w:szCs w:val="20"/>
          <w:color w:val="auto"/>
        </w:rPr>
      </w:pPr>
    </w:p>
    <w:p>
      <w:pPr>
        <w:ind w:right="360" w:firstLine="436"/>
        <w:spacing w:after="0" w:line="282" w:lineRule="auto"/>
        <w:tabs>
          <w:tab w:leader="none" w:pos="6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Transferability. Except as otherwise provided in this Section 8, your option is not transferable, except by will or by the laws of descent and distribution, and is exercisable during your life only by you.</w:t>
      </w:r>
    </w:p>
    <w:p>
      <w:pPr>
        <w:spacing w:after="0" w:line="161" w:lineRule="exact"/>
        <w:rPr>
          <w:rFonts w:ascii="Times New Roman" w:cs="Times New Roman" w:eastAsia="Times New Roman" w:hAnsi="Times New Roman"/>
          <w:sz w:val="18"/>
          <w:szCs w:val="18"/>
          <w:b w:val="1"/>
          <w:bCs w:val="1"/>
          <w:color w:val="auto"/>
        </w:rPr>
      </w:pPr>
    </w:p>
    <w:p>
      <w:pPr>
        <w:ind w:right="40" w:firstLine="987"/>
        <w:spacing w:after="0" w:line="266" w:lineRule="auto"/>
        <w:tabs>
          <w:tab w:leader="none" w:pos="1246"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Trusts. Upon receiving written permission from the Board or its duly authorized designee, you may transfer your option to a trust if you are considered to be the sole beneficial owner (determined under Section 671 of the Code and applicable law) while the option is held in the trust. You and the trustee must enter into transfer and other agreements required by the Company.</w:t>
      </w:r>
    </w:p>
    <w:p>
      <w:pPr>
        <w:spacing w:after="0" w:line="175" w:lineRule="exact"/>
        <w:rPr>
          <w:rFonts w:ascii="Times New Roman" w:cs="Times New Roman" w:eastAsia="Times New Roman" w:hAnsi="Times New Roman"/>
          <w:sz w:val="18"/>
          <w:szCs w:val="18"/>
          <w:b w:val="1"/>
          <w:bCs w:val="1"/>
          <w:color w:val="auto"/>
        </w:rPr>
      </w:pPr>
    </w:p>
    <w:p>
      <w:pPr>
        <w:ind w:firstLine="987"/>
        <w:spacing w:after="0" w:line="256" w:lineRule="auto"/>
        <w:tabs>
          <w:tab w:leader="none" w:pos="1256"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Domestic Relations Orders. Upon receiving written permission from the Board or its duly authorized designee, and 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applicable law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w:t>
      </w:r>
    </w:p>
    <w:p>
      <w:pPr>
        <w:spacing w:after="0" w:line="187" w:lineRule="exact"/>
        <w:rPr>
          <w:rFonts w:ascii="Times New Roman" w:cs="Times New Roman" w:eastAsia="Times New Roman" w:hAnsi="Times New Roman"/>
          <w:sz w:val="18"/>
          <w:szCs w:val="18"/>
          <w:b w:val="1"/>
          <w:bCs w:val="1"/>
          <w:color w:val="auto"/>
        </w:rPr>
      </w:pPr>
    </w:p>
    <w:p>
      <w:pPr>
        <w:ind w:right="100" w:firstLine="987"/>
        <w:spacing w:after="0" w:line="258" w:lineRule="auto"/>
        <w:tabs>
          <w:tab w:leader="none" w:pos="1236"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Beneficiary Designation. Upon receiving written permission from the Board or its duly authorized designee, you may, by delivering written notice to the Company, in a form approved by the Company and any broker designated by the Company to handle option exercises, designate a third party who, on your death, will thereafter be entitled to exercise this option and receive the Common Shares or other consideration resulting from such exercise. In the absence of such a designation, your executor or administrator of your estate will be entitled to exercise this option and receive, on behalf of your estate, the Common Shares or other consideration resulting from such exercise.</w:t>
      </w:r>
    </w:p>
    <w:p>
      <w:pPr>
        <w:spacing w:after="0" w:line="179" w:lineRule="exact"/>
        <w:rPr>
          <w:rFonts w:ascii="Times New Roman" w:cs="Times New Roman" w:eastAsia="Times New Roman" w:hAnsi="Times New Roman"/>
          <w:sz w:val="18"/>
          <w:szCs w:val="18"/>
          <w:b w:val="1"/>
          <w:bCs w:val="1"/>
          <w:color w:val="auto"/>
        </w:rPr>
      </w:pPr>
    </w:p>
    <w:p>
      <w:pPr>
        <w:ind w:firstLine="436"/>
        <w:spacing w:after="0" w:line="262" w:lineRule="auto"/>
        <w:tabs>
          <w:tab w:leader="none" w:pos="6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 NOT A</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not an employment or service contract, and nothing in your option will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 in any way whatsoever any obligation on your part to continue in the employ of the Company or an Affiliate, or of the Company or an Affiliate to continue your employment. In addition, nothing in your option will obligate the Company or an Affiliate, their respective shareholders, boards of directors, officers or employees to continue any relationship that you might have as a Director or Consultant for the Company or an Affiliate.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51" w:name="page52"/>
    <w:bookmarkEnd w:id="51"/>
    <w:p>
      <w:pPr>
        <w:ind w:left="700" w:hanging="264"/>
        <w:spacing w:after="0"/>
        <w:tabs>
          <w:tab w:leader="none" w:pos="7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right="20" w:firstLine="987"/>
        <w:spacing w:after="0" w:line="256" w:lineRule="auto"/>
        <w:tabs>
          <w:tab w:leader="none" w:pos="1246"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provincial, local and foreign tax withholding obligations of the Company or an Affiliate, if any, which arise in connection with the exercise of your option. Notwithstanding the provisions of the Plan, the Company may not, without your consent or election, withhold Common Shares issuable under an option to satisfy any withholding obligations in respect of that option.</w:t>
      </w:r>
    </w:p>
    <w:p>
      <w:pPr>
        <w:spacing w:after="0" w:line="187" w:lineRule="exact"/>
        <w:rPr>
          <w:rFonts w:ascii="Times New Roman" w:cs="Times New Roman" w:eastAsia="Times New Roman" w:hAnsi="Times New Roman"/>
          <w:sz w:val="18"/>
          <w:szCs w:val="18"/>
          <w:b w:val="1"/>
          <w:bCs w:val="1"/>
          <w:color w:val="auto"/>
        </w:rPr>
      </w:pPr>
    </w:p>
    <w:p>
      <w:pPr>
        <w:ind w:right="140" w:firstLine="987"/>
        <w:spacing w:after="0" w:line="261" w:lineRule="auto"/>
        <w:tabs>
          <w:tab w:leader="none" w:pos="1256"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your request and subject to approval by the Company, and compliance with any applicable legal conditions or restrictions, you may surrender to the Company for cancellation a portion of your option with an in-the-money value not in excess of the maximum amount of tax permitted to be withheld by law (or such lower amount as may be necessary to avoid classification of your option as a liability for financial accounting purposes).</w:t>
      </w:r>
    </w:p>
    <w:p>
      <w:pPr>
        <w:spacing w:after="0" w:line="179" w:lineRule="exact"/>
        <w:rPr>
          <w:rFonts w:ascii="Times New Roman" w:cs="Times New Roman" w:eastAsia="Times New Roman" w:hAnsi="Times New Roman"/>
          <w:sz w:val="18"/>
          <w:szCs w:val="18"/>
          <w:b w:val="1"/>
          <w:bCs w:val="1"/>
          <w:color w:val="auto"/>
        </w:rPr>
      </w:pPr>
    </w:p>
    <w:p>
      <w:pPr>
        <w:ind w:right="100" w:firstLine="987"/>
        <w:spacing w:after="0" w:line="261" w:lineRule="auto"/>
        <w:tabs>
          <w:tab w:leader="none" w:pos="1236"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Common Shares or release such Common Shares from any escrow provided for herein, if applicable, unless such obligations are satisfied.</w:t>
      </w:r>
    </w:p>
    <w:p>
      <w:pPr>
        <w:spacing w:after="0" w:line="175"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color w:val="auto"/>
        </w:rPr>
        <w:t>. Notwithstanding any provisions in the Plan (including Section 2(b)(xi) or Section 9(c)(vi)), the Board may not cancel or</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cause to be surrendered any outstanding option for consideration other than Common Shares (or substitute shares) without your prior election, even if you would not be adversely affected by such action.</w:t>
      </w:r>
    </w:p>
    <w:p>
      <w:pPr>
        <w:spacing w:after="0" w:line="177" w:lineRule="exact"/>
        <w:rPr>
          <w:sz w:val="20"/>
          <w:szCs w:val="20"/>
          <w:color w:val="auto"/>
        </w:rPr>
      </w:pPr>
    </w:p>
    <w:p>
      <w:pPr>
        <w:ind w:right="80" w:firstLine="436"/>
        <w:spacing w:after="0" w:line="259" w:lineRule="auto"/>
        <w:tabs>
          <w:tab w:leader="none" w:pos="71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RANSACTION</w:t>
      </w:r>
      <w:r>
        <w:rPr>
          <w:rFonts w:ascii="Times New Roman" w:cs="Times New Roman" w:eastAsia="Times New Roman" w:hAnsi="Times New Roman"/>
          <w:sz w:val="18"/>
          <w:szCs w:val="18"/>
          <w:color w:val="auto"/>
        </w:rPr>
        <w:t>. Notwithstanding any provisions in the Plan (including Section 9(c)(vi)), in the event your option will terminate if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prior to the effective time of a Transaction, the Board may provide that you will receive a payment, in such form as may be determined by the Board, equal in value, at the effective time, to the excess, if any, of (1) the value of the property you would have received upon the exercise of the option, over (2) any exercise price payable by you in connection with such exercise. In no event will your option be cancelled or surrendered for proceeds other than Common Shares (or substitute shares) without your prior election.</w:t>
      </w:r>
    </w:p>
    <w:p>
      <w:pPr>
        <w:spacing w:after="0" w:line="179" w:lineRule="exact"/>
        <w:rPr>
          <w:rFonts w:ascii="Times New Roman" w:cs="Times New Roman" w:eastAsia="Times New Roman" w:hAnsi="Times New Roman"/>
          <w:sz w:val="18"/>
          <w:szCs w:val="18"/>
          <w:b w:val="1"/>
          <w:bCs w:val="1"/>
          <w:color w:val="auto"/>
        </w:rPr>
      </w:pPr>
    </w:p>
    <w:p>
      <w:pPr>
        <w:ind w:right="20" w:firstLine="436"/>
        <w:spacing w:after="0" w:line="259" w:lineRule="auto"/>
        <w:tabs>
          <w:tab w:leader="none" w:pos="71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ONSEQUENCES</w:t>
      </w:r>
      <w:r>
        <w:rPr>
          <w:rFonts w:ascii="Times New Roman" w:cs="Times New Roman" w:eastAsia="Times New Roman" w:hAnsi="Times New Roman"/>
          <w:sz w:val="18"/>
          <w:szCs w:val="18"/>
          <w:color w:val="auto"/>
        </w:rPr>
        <w:t>. You hereby agree that the Company does not have a duty to design or administer the Plan or its other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in a manner that minimizes your tax liabilities. You will not make any claim against the Company, or any of its Officers, Directors, Employees or Affiliates related to tax liabilities arising from your option or your other compensation. In particular, you acknowledge that, to the extent applicable, this option is exempt from Section 409A of the Code only if the exercise price per share specified in the Grant Notice is at least equal to the “fair market value” per Common Share on the Date of Grant and there is no other impermissible deferral of compensation associated with the option.</w:t>
      </w:r>
    </w:p>
    <w:p>
      <w:pPr>
        <w:spacing w:after="0" w:line="179" w:lineRule="exact"/>
        <w:rPr>
          <w:rFonts w:ascii="Times New Roman" w:cs="Times New Roman" w:eastAsia="Times New Roman" w:hAnsi="Times New Roman"/>
          <w:sz w:val="18"/>
          <w:szCs w:val="18"/>
          <w:b w:val="1"/>
          <w:bCs w:val="1"/>
          <w:color w:val="auto"/>
        </w:rPr>
      </w:pPr>
    </w:p>
    <w:p>
      <w:pPr>
        <w:ind w:firstLine="436"/>
        <w:spacing w:after="0" w:line="262" w:lineRule="auto"/>
        <w:tabs>
          <w:tab w:leader="none" w:pos="71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notices provided for in your option or the Plan will be given in writing (including electronically) and will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effectively given upon receipt or, in the case of notices delivered by mail by the Company to you, five (5) days after deposit in the mail, postage prepaid, addressed to you at the last address you provided to the Company. The Company may, in its sole discretion, decide to deliver any documents related to participation in the Plan and this option by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52" w:name="page53"/>
    <w:bookmarkEnd w:id="52"/>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72" w:lineRule="exact"/>
        <w:rPr>
          <w:sz w:val="20"/>
          <w:szCs w:val="20"/>
          <w:color w:val="auto"/>
        </w:rPr>
      </w:pPr>
    </w:p>
    <w:p>
      <w:pPr>
        <w:ind w:right="60" w:firstLine="436"/>
        <w:spacing w:after="0" w:line="257" w:lineRule="auto"/>
        <w:tabs>
          <w:tab w:leader="none" w:pos="71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all the provisions of the Plan, the provisions of which are hereby made a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82" w:lineRule="exact"/>
        <w:rPr>
          <w:rFonts w:ascii="Times New Roman" w:cs="Times New Roman" w:eastAsia="Times New Roman" w:hAnsi="Times New Roman"/>
          <w:sz w:val="18"/>
          <w:szCs w:val="18"/>
          <w:b w:val="1"/>
          <w:bCs w:val="1"/>
          <w:color w:val="auto"/>
        </w:rPr>
      </w:pPr>
    </w:p>
    <w:p>
      <w:pPr>
        <w:ind w:right="40" w:firstLine="436"/>
        <w:spacing w:after="0" w:line="291" w:lineRule="auto"/>
        <w:tabs>
          <w:tab w:leader="none" w:pos="71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hereby acknowledge receipt of and the right to receive a document providing the information required by Rule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152" w:lineRule="exact"/>
        <w:rPr>
          <w:rFonts w:ascii="Times New Roman" w:cs="Times New Roman" w:eastAsia="Times New Roman" w:hAnsi="Times New Roman"/>
          <w:sz w:val="17"/>
          <w:szCs w:val="17"/>
          <w:b w:val="1"/>
          <w:bCs w:val="1"/>
          <w:color w:val="auto"/>
        </w:rPr>
      </w:pPr>
    </w:p>
    <w:p>
      <w:pPr>
        <w:ind w:right="60" w:firstLine="436"/>
        <w:spacing w:after="0" w:line="262" w:lineRule="auto"/>
        <w:tabs>
          <w:tab w:leader="none" w:pos="71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FFECT 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value of this option will not be included as compensation, earnings, salaries,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6" w:lineRule="exact"/>
        <w:rPr>
          <w:rFonts w:ascii="Times New Roman" w:cs="Times New Roman" w:eastAsia="Times New Roman" w:hAnsi="Times New Roman"/>
          <w:sz w:val="18"/>
          <w:szCs w:val="18"/>
          <w:b w:val="1"/>
          <w:bCs w:val="1"/>
          <w:color w:val="auto"/>
        </w:rPr>
      </w:pPr>
    </w:p>
    <w:p>
      <w:pPr>
        <w:jc w:val="both"/>
        <w:ind w:right="180" w:firstLine="436"/>
        <w:spacing w:after="0" w:line="262" w:lineRule="auto"/>
        <w:tabs>
          <w:tab w:leader="none" w:pos="71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OTING</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not have voting or any other rights as a shareholder of the Company with respect to the shares to be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option until such shares are issued to you. Upon such issuance, you will obtain full voting and other rights as a shareholder of the Company. Nothing contained in this option, and no action taken pursuant to its provisions, will create or be construed to create a trust of any kind or a fiduciary relationship between you and the Company or any other person.</w:t>
      </w:r>
    </w:p>
    <w:p>
      <w:pPr>
        <w:spacing w:after="0" w:line="176" w:lineRule="exact"/>
        <w:rPr>
          <w:rFonts w:ascii="Times New Roman" w:cs="Times New Roman" w:eastAsia="Times New Roman" w:hAnsi="Times New Roman"/>
          <w:sz w:val="18"/>
          <w:szCs w:val="18"/>
          <w:b w:val="1"/>
          <w:bCs w:val="1"/>
          <w:color w:val="auto"/>
        </w:rPr>
      </w:pPr>
    </w:p>
    <w:p>
      <w:pPr>
        <w:ind w:firstLine="436"/>
        <w:spacing w:after="0" w:line="262" w:lineRule="auto"/>
        <w:tabs>
          <w:tab w:leader="none" w:pos="71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all or any part of this Option Agreement or the Plan is declared by any court or governmental authority to be unlawful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520" w:firstLine="987"/>
        <w:spacing w:after="0" w:line="282" w:lineRule="auto"/>
        <w:tabs>
          <w:tab w:leader="none" w:pos="1246"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161" w:lineRule="exact"/>
        <w:rPr>
          <w:rFonts w:ascii="Times New Roman" w:cs="Times New Roman" w:eastAsia="Times New Roman" w:hAnsi="Times New Roman"/>
          <w:sz w:val="18"/>
          <w:szCs w:val="18"/>
          <w:b w:val="1"/>
          <w:bCs w:val="1"/>
          <w:color w:val="auto"/>
        </w:rPr>
      </w:pPr>
    </w:p>
    <w:p>
      <w:pPr>
        <w:ind w:right="560" w:firstLine="987"/>
        <w:spacing w:after="0" w:line="282" w:lineRule="auto"/>
        <w:tabs>
          <w:tab w:leader="none" w:pos="1256"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agree upon request to execute any further documents or instruments necessary or desirable in the sole determination of the Company to carry out the purposes or intent of your option.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53" w:name="page54"/>
    <w:bookmarkEnd w:id="53"/>
    <w:p>
      <w:pPr>
        <w:ind w:left="-440" w:right="40" w:firstLine="987"/>
        <w:spacing w:after="0" w:line="282" w:lineRule="auto"/>
        <w:tabs>
          <w:tab w:leader="none" w:pos="79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acknowledge and agree that you have reviewed your option in its entirety, have had an opportunity to obtain the advice of counsel prior to executing and accepting your option, and fully understand all provisions of your option.</w:t>
      </w:r>
    </w:p>
    <w:p>
      <w:pPr>
        <w:spacing w:after="0" w:line="161" w:lineRule="exact"/>
        <w:rPr>
          <w:rFonts w:ascii="Times New Roman" w:cs="Times New Roman" w:eastAsia="Times New Roman" w:hAnsi="Times New Roman"/>
          <w:sz w:val="18"/>
          <w:szCs w:val="18"/>
          <w:b w:val="1"/>
          <w:bCs w:val="1"/>
          <w:color w:val="auto"/>
        </w:rPr>
      </w:pPr>
    </w:p>
    <w:p>
      <w:pPr>
        <w:ind w:left="-440" w:right="480" w:firstLine="987"/>
        <w:spacing w:after="0" w:line="282" w:lineRule="auto"/>
        <w:tabs>
          <w:tab w:leader="none" w:pos="81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Option Agreement will be subject to all applicable laws, rules, and regulations, and to such approvals by any governmental agencies or national securities exchanges as may be required.</w:t>
      </w:r>
    </w:p>
    <w:p>
      <w:pPr>
        <w:spacing w:after="0" w:line="161" w:lineRule="exact"/>
        <w:rPr>
          <w:rFonts w:ascii="Times New Roman" w:cs="Times New Roman" w:eastAsia="Times New Roman" w:hAnsi="Times New Roman"/>
          <w:sz w:val="18"/>
          <w:szCs w:val="18"/>
          <w:b w:val="1"/>
          <w:bCs w:val="1"/>
          <w:color w:val="auto"/>
        </w:rPr>
      </w:pPr>
    </w:p>
    <w:p>
      <w:pPr>
        <w:ind w:left="-440" w:right="20" w:firstLine="987"/>
        <w:spacing w:after="0" w:line="266" w:lineRule="auto"/>
        <w:tabs>
          <w:tab w:leader="none" w:pos="79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175" w:lineRule="exact"/>
        <w:rPr>
          <w:rFonts w:ascii="Times New Roman" w:cs="Times New Roman" w:eastAsia="Times New Roman" w:hAnsi="Times New Roman"/>
          <w:sz w:val="18"/>
          <w:szCs w:val="18"/>
          <w:b w:val="1"/>
          <w:bCs w:val="1"/>
          <w:color w:val="auto"/>
        </w:rPr>
      </w:pPr>
    </w:p>
    <w:p>
      <w:pPr>
        <w:ind w:left="-440" w:right="40" w:firstLine="987"/>
        <w:spacing w:after="0" w:line="266" w:lineRule="auto"/>
        <w:tabs>
          <w:tab w:leader="none" w:pos="77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acknowledge and agree that your participation in the Plan and acceptance of your option is entirely voluntary and not obligatory and shall not be interpreted as conferring upon you any rights or privileges other than those rights and privileges expressly provided in the Plan and this Option Agreement.</w:t>
      </w:r>
    </w:p>
    <w:p>
      <w:pPr>
        <w:spacing w:after="0" w:line="175" w:lineRule="exact"/>
        <w:rPr>
          <w:rFonts w:ascii="Times New Roman" w:cs="Times New Roman" w:eastAsia="Times New Roman" w:hAnsi="Times New Roman"/>
          <w:sz w:val="18"/>
          <w:szCs w:val="18"/>
          <w:b w:val="1"/>
          <w:bCs w:val="1"/>
          <w:color w:val="auto"/>
        </w:rPr>
      </w:pPr>
    </w:p>
    <w:p>
      <w:pPr>
        <w:ind w:left="-440" w:firstLine="987"/>
        <w:spacing w:after="0" w:line="256" w:lineRule="auto"/>
        <w:tabs>
          <w:tab w:leader="none" w:pos="80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By accepting any award under the Plan and this Option Agreement, the Optionholder confirms that it is the Optionholder’s express wish to receive such documents in English only and to sign and be bound only by such English version and to receive all other documents related to any award or the Plan and this Option Agreement, including notices, in the English language only and declare that the Optionholder is satisfied with this. </w:t>
      </w:r>
      <w:r>
        <w:rPr>
          <w:rFonts w:ascii="Times New Roman" w:cs="Times New Roman" w:eastAsia="Times New Roman" w:hAnsi="Times New Roman"/>
          <w:sz w:val="18"/>
          <w:szCs w:val="18"/>
          <w:i w:val="1"/>
          <w:iCs w:val="1"/>
          <w:color w:val="auto"/>
        </w:rPr>
        <w: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acceptant tout octroi aux termes du régime et de la présente convention d’options, le titulaire d’options confirme sa volonté expresse de recevoir ces documents en langue anglaise seulement, et de signer et d’être lié par la version anglaise seulement et de recevoir tous les autres documents afférents à tout octroi ou au régime, y compris les avis, en langue anglaise seulement et s’en déclare satisfait. anglaise.</w:t>
      </w:r>
    </w:p>
    <w:p>
      <w:pPr>
        <w:spacing w:after="0" w:line="187" w:lineRule="exact"/>
        <w:rPr>
          <w:sz w:val="20"/>
          <w:szCs w:val="20"/>
          <w:color w:val="auto"/>
        </w:rPr>
      </w:pPr>
    </w:p>
    <w:p>
      <w:pPr>
        <w:jc w:val="center"/>
        <w:ind w:right="400"/>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    * </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jc w:val="center"/>
        <w:ind w:right="320"/>
        <w:spacing w:after="0" w:line="454" w:lineRule="auto"/>
        <w:rPr>
          <w:sz w:val="20"/>
          <w:szCs w:val="20"/>
          <w:color w:val="auto"/>
        </w:rPr>
      </w:pPr>
      <w:r>
        <w:rPr>
          <w:rFonts w:ascii="Times New Roman" w:cs="Times New Roman" w:eastAsia="Times New Roman" w:hAnsi="Times New Roman"/>
          <w:sz w:val="18"/>
          <w:szCs w:val="18"/>
          <w:color w:val="auto"/>
        </w:rPr>
        <w:t>This Option Agreement will be deemed to be signed by you upon the signing by you of the Stock Option Grant Notice to which it is attached. 7</w:t>
      </w:r>
    </w:p>
    <w:p>
      <w:pPr>
        <w:sectPr>
          <w:pgSz w:w="11900" w:h="16838" w:orient="portrait"/>
          <w:cols w:equalWidth="0" w:num="1">
            <w:col w:w="10520"/>
          </w:cols>
          <w:pgMar w:left="880" w:top="270" w:right="49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2024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6" w:right="1440" w:bottom="1440" w:gutter="0" w:footer="0" w:header="0"/>
        </w:sectPr>
      </w:pPr>
    </w:p>
    <w:bookmarkStart w:id="55" w:name="page56"/>
    <w:bookmarkEnd w:id="55"/>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III</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p>
    <w:p>
      <w:pPr>
        <w:sectPr>
          <w:pgSz w:w="11900" w:h="16838" w:orient="portrait"/>
          <w:cols w:equalWidth="0" w:num="1">
            <w:col w:w="10984"/>
          </w:cols>
          <w:pgMar w:left="436" w:top="266" w:right="479" w:bottom="1440" w:gutter="0" w:footer="0" w:header="0"/>
        </w:sectPr>
      </w:pP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EPARE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HERAPEUTICS</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          </w:t>
      </w:r>
    </w:p>
    <w:p>
      <w:pPr>
        <w:spacing w:after="0" w:line="32" w:lineRule="exact"/>
        <w:rPr>
          <w:sz w:val="20"/>
          <w:szCs w:val="20"/>
          <w:color w:val="auto"/>
        </w:rPr>
      </w:pPr>
    </w:p>
    <w:p>
      <w:pPr>
        <w:sectPr>
          <w:pgSz w:w="11900" w:h="16838" w:orient="portrait"/>
          <w:cols w:equalWidth="0" w:num="2">
            <w:col w:w="4464" w:space="720"/>
            <w:col w:w="580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7171 Frederick-Banting, Building 2, Suite 270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Date of Exercise: _______________</w:t>
      </w:r>
    </w:p>
    <w:p>
      <w:pPr>
        <w:spacing w:after="0" w:line="15" w:lineRule="exact"/>
        <w:rPr>
          <w:sz w:val="20"/>
          <w:szCs w:val="20"/>
          <w:color w:val="auto"/>
        </w:rPr>
      </w:pPr>
    </w:p>
    <w:p>
      <w:pPr>
        <w:sectPr>
          <w:pgSz w:w="11900" w:h="16838" w:orient="portrait"/>
          <w:cols w:equalWidth="0" w:num="2">
            <w:col w:w="5444" w:space="720"/>
            <w:col w:w="482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St-Laurent, Québec CA H4S 1Z9</w:t>
      </w:r>
    </w:p>
    <w:p>
      <w:pPr>
        <w:sectPr>
          <w:pgSz w:w="11900" w:h="16838" w:orient="portrait"/>
          <w:cols w:equalWidth="0" w:num="1">
            <w:col w:w="10984"/>
          </w:cols>
          <w:pgMar w:left="436" w:top="266" w:right="479" w:bottom="1440" w:gutter="0" w:footer="0" w:header="0"/>
          <w:type w:val="continuous"/>
        </w:sectPr>
      </w:pPr>
    </w:p>
    <w:p>
      <w:pPr>
        <w:spacing w:after="0" w:line="214"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This constitutes notice to Repare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under my stock option that I elect to purchase the below number of Common Shares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for the price set forth below.</w:t>
      </w:r>
    </w:p>
    <w:p>
      <w:pPr>
        <w:spacing w:after="0" w:line="181"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Type of option (check one):</w:t>
            </w:r>
          </w:p>
        </w:tc>
        <w:tc>
          <w:tcPr>
            <w:tcW w:w="80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Nonstatutory</w:t>
            </w: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dated:</w:t>
            </w:r>
          </w:p>
        </w:tc>
        <w:tc>
          <w:tcPr>
            <w:tcW w:w="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as to which option is exercised:</w:t>
            </w:r>
          </w:p>
        </w:tc>
        <w:tc>
          <w:tcPr>
            <w:tcW w:w="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to be issued in name of:</w:t>
            </w:r>
          </w:p>
        </w:tc>
        <w:tc>
          <w:tcPr>
            <w:tcW w:w="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 delivered herewith:</w:t>
            </w:r>
          </w:p>
        </w:tc>
        <w:tc>
          <w:tcPr>
            <w:tcW w:w="9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82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color w:val="auto"/>
              </w:rPr>
              <w:t>[Value of ________ Shares pursuant to net exercise or net surrender</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w:t>
            </w:r>
          </w:p>
        </w:tc>
        <w:tc>
          <w:tcPr>
            <w:tcW w:w="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[Regulation T Program (cashless exercise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8" w:lineRule="exact"/>
        <w:rPr>
          <w:sz w:val="20"/>
          <w:szCs w:val="20"/>
          <w:color w:val="auto"/>
        </w:rPr>
      </w:pPr>
    </w:p>
    <w:p>
      <w:pPr>
        <w:ind w:left="424" w:hanging="424"/>
        <w:spacing w:after="0"/>
        <w:tabs>
          <w:tab w:leader="none" w:pos="424" w:val="left"/>
        </w:tabs>
        <w:numPr>
          <w:ilvl w:val="0"/>
          <w:numId w:val="7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Company must have established net exercise or net surrender procedures at the time of exercise, in order to utilize this payment method.</w:t>
      </w:r>
    </w:p>
    <w:p>
      <w:pPr>
        <w:spacing w:after="0" w:line="1" w:lineRule="exact"/>
        <w:rPr>
          <w:sz w:val="20"/>
          <w:szCs w:val="20"/>
          <w:color w:val="auto"/>
        </w:rPr>
      </w:pPr>
    </w:p>
    <w:p>
      <w:pPr>
        <w:ind w:left="5464" w:right="5340" w:hanging="5464"/>
        <w:spacing w:after="0" w:line="311" w:lineRule="auto"/>
        <w:tabs>
          <w:tab w:leader="none" w:pos="433" w:val="left"/>
        </w:tabs>
        <w:numPr>
          <w:ilvl w:val="0"/>
          <w:numId w:val="7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Shares must meet the public trading requirements set forth in the option. 2</w:t>
      </w:r>
    </w:p>
    <w:p>
      <w:pPr>
        <w:sectPr>
          <w:pgSz w:w="11900" w:h="16838" w:orient="portrait"/>
          <w:cols w:equalWidth="0" w:num="1">
            <w:col w:w="10984"/>
          </w:cols>
          <w:pgMar w:left="436" w:top="266" w:right="479" w:bottom="1440" w:gutter="0" w:footer="0" w:header="0"/>
          <w:type w:val="continuous"/>
        </w:sectPr>
      </w:pPr>
    </w:p>
    <w:bookmarkStart w:id="56" w:name="page57"/>
    <w:bookmarkEnd w:id="56"/>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I elect to make one or more of the following election to satisfy any withholding taxes, social security taxes, and other similar taxes and source deductions (the “</w:t>
      </w:r>
      <w:r>
        <w:rPr>
          <w:rFonts w:ascii="Times New Roman" w:cs="Times New Roman" w:eastAsia="Times New Roman" w:hAnsi="Times New Roman"/>
          <w:sz w:val="18"/>
          <w:szCs w:val="18"/>
          <w:b w:val="1"/>
          <w:bCs w:val="1"/>
          <w:color w:val="auto"/>
        </w:rPr>
        <w:t>Payroll Taxes and Deductions</w:t>
      </w:r>
      <w:r>
        <w:rPr>
          <w:rFonts w:ascii="Times New Roman" w:cs="Times New Roman" w:eastAsia="Times New Roman" w:hAnsi="Times New Roman"/>
          <w:sz w:val="18"/>
          <w:szCs w:val="18"/>
          <w:color w:val="auto"/>
        </w:rPr>
        <w:t>”) as follows:</w:t>
      </w:r>
    </w:p>
    <w:p>
      <w:pPr>
        <w:sectPr>
          <w:pgSz w:w="11900" w:h="16838" w:orient="portrait"/>
          <w:cols w:equalWidth="0" w:num="1">
            <w:col w:w="10960"/>
          </w:cols>
          <w:pgMar w:left="440" w:top="270" w:right="499" w:bottom="1440" w:gutter="0" w:footer="0" w:header="0"/>
        </w:sectPr>
      </w:pPr>
    </w:p>
    <w:p>
      <w:pPr>
        <w:spacing w:after="0" w:line="121" w:lineRule="exact"/>
        <w:rPr>
          <w:sz w:val="20"/>
          <w:szCs w:val="20"/>
          <w:color w:val="auto"/>
        </w:rPr>
      </w:pPr>
    </w:p>
    <w:p>
      <w:pPr>
        <w:ind w:left="440"/>
        <w:spacing w:after="0" w:line="115" w:lineRule="exact"/>
        <w:rPr>
          <w:sz w:val="20"/>
          <w:szCs w:val="20"/>
          <w:color w:val="auto"/>
        </w:rPr>
      </w:pP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settling the Payroll Taxes and Deductions in cash.</w:t>
      </w:r>
    </w:p>
    <w:p>
      <w:pPr>
        <w:spacing w:after="0" w:line="196" w:lineRule="exact"/>
        <w:rPr>
          <w:sz w:val="20"/>
          <w:szCs w:val="20"/>
          <w:color w:val="auto"/>
        </w:rPr>
      </w:pPr>
    </w:p>
    <w:p>
      <w:pPr>
        <w:sectPr>
          <w:pgSz w:w="11900" w:h="16838" w:orient="portrait"/>
          <w:cols w:equalWidth="0" w:num="2">
            <w:col w:w="680" w:space="140"/>
            <w:col w:w="10140"/>
          </w:cols>
          <w:pgMar w:left="440" w:top="270" w:right="499" w:bottom="1440" w:gutter="0" w:footer="0" w:header="0"/>
          <w:type w:val="continuous"/>
        </w:sectPr>
      </w:pPr>
    </w:p>
    <w:p>
      <w:pPr>
        <w:ind w:left="440"/>
        <w:spacing w:after="0" w:line="115" w:lineRule="exact"/>
        <w:rPr>
          <w:sz w:val="20"/>
          <w:szCs w:val="20"/>
          <w:color w:val="auto"/>
        </w:rPr>
      </w:pP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settling the Payroll Taxes and Deductions through _______________________________.</w:t>
      </w:r>
    </w:p>
    <w:p>
      <w:pPr>
        <w:spacing w:after="0" w:line="200" w:lineRule="exact"/>
        <w:rPr>
          <w:sz w:val="20"/>
          <w:szCs w:val="20"/>
          <w:color w:val="auto"/>
        </w:rPr>
      </w:pPr>
    </w:p>
    <w:p>
      <w:pPr>
        <w:sectPr>
          <w:pgSz w:w="11900" w:h="16838" w:orient="portrait"/>
          <w:cols w:equalWidth="0" w:num="2">
            <w:col w:w="680" w:space="140"/>
            <w:col w:w="10140"/>
          </w:cols>
          <w:pgMar w:left="440" w:top="270" w:right="499" w:bottom="1440" w:gutter="0" w:footer="0" w:header="0"/>
          <w:type w:val="continuous"/>
        </w:sectPr>
      </w:pPr>
    </w:p>
    <w:p>
      <w:pPr>
        <w:spacing w:after="0" w:line="3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By this exercise, I agree (i) to provide such additional documents as you may require pursuant to the terms of the Repare Therapeutics Inc. 2024 Inducement Plan, and (ii) to provide for the payment by me to you (in the manner elected by me) of the Payroll Taxes and Deductions that apply to your withholding obligation, if any, relating to the exercise of this option.</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Common Shares or other securities of the Company for a period of one hundred eighty (180) days following the effective date of a registration statement of the Company filed under the Securities Act (or such longer period as the underwriters or the Company shall request to facilitate compliance with FINRA Rule 2241 or any successor or similar rule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1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type w:val="continuous"/>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US Standard Form</w:t>
      </w:r>
    </w:p>
    <w:p>
      <w:pPr>
        <w:spacing w:after="0" w:line="200" w:lineRule="exact"/>
        <w:rPr>
          <w:sz w:val="20"/>
          <w:szCs w:val="20"/>
          <w:color w:val="auto"/>
        </w:rPr>
      </w:pPr>
    </w:p>
    <w:p>
      <w:pPr>
        <w:spacing w:after="0" w:line="2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EPARE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2024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NIT</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Repare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2024 Inducement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awards to Participant a Restricted Share Unit Award for the number of shares of the Company’s Common Shares (“</w:t>
      </w:r>
      <w:r>
        <w:rPr>
          <w:rFonts w:ascii="Times New Roman" w:cs="Times New Roman" w:eastAsia="Times New Roman" w:hAnsi="Times New Roman"/>
          <w:sz w:val="18"/>
          <w:szCs w:val="18"/>
          <w:b w:val="1"/>
          <w:bCs w:val="1"/>
          <w:i w:val="1"/>
          <w:iCs w:val="1"/>
          <w:color w:val="auto"/>
        </w:rPr>
        <w:t>Restricted Share Units</w:t>
      </w:r>
      <w:r>
        <w:rPr>
          <w:rFonts w:ascii="Times New Roman" w:cs="Times New Roman" w:eastAsia="Times New Roman" w:hAnsi="Times New Roman"/>
          <w:sz w:val="18"/>
          <w:szCs w:val="18"/>
          <w:color w:val="auto"/>
        </w:rPr>
        <w:t>”) set forth below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The Award is subject to all of the terms and conditions as set forth in this notice of grant (this “</w:t>
      </w:r>
      <w:r>
        <w:rPr>
          <w:rFonts w:ascii="Times New Roman" w:cs="Times New Roman" w:eastAsia="Times New Roman" w:hAnsi="Times New Roman"/>
          <w:sz w:val="18"/>
          <w:szCs w:val="18"/>
          <w:b w:val="1"/>
          <w:bCs w:val="1"/>
          <w:i w:val="1"/>
          <w:iCs w:val="1"/>
          <w:color w:val="auto"/>
        </w:rPr>
        <w:t>Restricted Share Unit Grant Notice</w:t>
      </w:r>
      <w:r>
        <w:rPr>
          <w:rFonts w:ascii="Times New Roman" w:cs="Times New Roman" w:eastAsia="Times New Roman" w:hAnsi="Times New Roman"/>
          <w:sz w:val="18"/>
          <w:szCs w:val="18"/>
          <w:color w:val="auto"/>
        </w:rPr>
        <w:t>”), and in the Plan and the Restricted Share Unit Award Agreement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both of which are attached hereto and incorporated herein in their entirety. The Award is granted in compliance with Nasdaq Listing Rule 5635(c)(4) as a material inducement to Participant entering into employment with the Company. Capitalized terms not explicitly defined herein shall have the meanings set forth in the Plan or the Award Agreement. In the event of any conflict between the terms in this Restricted Share Unit Grant Notice or the Award Agreement and the Plan, the terms of the Plan shall control.</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Participant:</w:t>
            </w:r>
          </w:p>
        </w:tc>
        <w:tc>
          <w:tcPr>
            <w:tcW w:w="4620" w:type="dxa"/>
            <w:vAlign w:val="bottom"/>
            <w:tcBorders>
              <w:bottom w:val="single" w:sz="8" w:color="auto"/>
            </w:tcBorders>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23"/>
        </w:trPr>
        <w:tc>
          <w:tcPr>
            <w:tcW w:w="940" w:type="dxa"/>
            <w:vAlign w:val="bottom"/>
          </w:tcPr>
          <w:p>
            <w:pPr>
              <w:spacing w:after="0"/>
              <w:rPr>
                <w:sz w:val="19"/>
                <w:szCs w:val="19"/>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 of Grant:</w:t>
            </w:r>
          </w:p>
        </w:tc>
        <w:tc>
          <w:tcPr>
            <w:tcW w:w="46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940" w:type="dxa"/>
            <w:vAlign w:val="bottom"/>
          </w:tcPr>
          <w:p>
            <w:pPr>
              <w:spacing w:after="0"/>
              <w:rPr>
                <w:sz w:val="19"/>
                <w:szCs w:val="19"/>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Commencement Date:</w:t>
            </w:r>
          </w:p>
        </w:tc>
        <w:tc>
          <w:tcPr>
            <w:tcW w:w="46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940" w:type="dxa"/>
            <w:vAlign w:val="bottom"/>
          </w:tcPr>
          <w:p>
            <w:pPr>
              <w:spacing w:after="0"/>
              <w:rPr>
                <w:sz w:val="19"/>
                <w:szCs w:val="19"/>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Number of Restricted Share Units:</w:t>
            </w:r>
          </w:p>
        </w:tc>
        <w:tc>
          <w:tcPr>
            <w:tcW w:w="46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r>
    </w:tbl>
    <w:p>
      <w:pPr>
        <w:spacing w:after="0" w:line="234" w:lineRule="exact"/>
        <w:rPr>
          <w:sz w:val="20"/>
          <w:szCs w:val="20"/>
          <w:color w:val="auto"/>
        </w:rPr>
      </w:pPr>
    </w:p>
    <w:p>
      <w:pPr>
        <w:spacing w:after="0"/>
        <w:tabs>
          <w:tab w:leader="none" w:pos="240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7"/>
          <w:szCs w:val="17"/>
          <w:color w:val="auto"/>
        </w:rPr>
        <w:t>[__________________], subject to Participant’s Continuous Service through each such vesting date.</w:t>
      </w:r>
    </w:p>
    <w:p>
      <w:pPr>
        <w:spacing w:after="0" w:line="117" w:lineRule="exact"/>
        <w:rPr>
          <w:sz w:val="20"/>
          <w:szCs w:val="20"/>
          <w:color w:val="auto"/>
        </w:rPr>
      </w:pPr>
    </w:p>
    <w:p>
      <w:pPr>
        <w:ind w:left="2420" w:right="540" w:hanging="2429"/>
        <w:spacing w:after="0" w:line="266" w:lineRule="auto"/>
        <w:tabs>
          <w:tab w:leader="none" w:pos="240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8"/>
          <w:szCs w:val="18"/>
          <w:color w:val="auto"/>
        </w:rPr>
        <w:t>Subject to any Capitalization Adjustment, one Common Share (or its cash equivalent, at the discretion of the Company) will be issued for each Restricted Share Unit that vests at the time set forth in Section 6 of the Award Agreement.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Additional Terms/Acknowledgements: </w:t>
      </w:r>
      <w:r>
        <w:rPr>
          <w:rFonts w:ascii="Times New Roman" w:cs="Times New Roman" w:eastAsia="Times New Roman" w:hAnsi="Times New Roman"/>
          <w:sz w:val="18"/>
          <w:szCs w:val="18"/>
          <w:color w:val="auto"/>
        </w:rPr>
        <w:t>Participant acknowledges receipt of, and understands and agrees to, this Restricted Share Unit Grant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Award Agreement and the Plan. Participant acknowledges and agrees that this Restricted Share Unit Grant Notice and the Award Agreement may not be modified, amended, or revised except as provided in the Plan. Participant further acknowledges that as of the Date of Grant, this Restricted Share Unit Grant Notice, the Award Agreement and the Plan set forth the entire understanding between Participant and the Company regarding the acquisition of the Common Shares pursuant to the Award specified above and supersede all prior oral and written agreements on the terms of this Award, with the exception, if applicable, of (i) equity awards previously granted and delivered to Participant, (ii) any compensation recovery policy that is adopted by the Company or is otherwise required by applicable law and (iii) any written employment or severance arrangement or other written agreement entered into between the Company and Participant specifying the terms that should govern this Award upon the terms and conditions set forth therein.</w:t>
      </w:r>
    </w:p>
    <w:p>
      <w:pPr>
        <w:sectPr>
          <w:pgSz w:w="11900" w:h="16838" w:orient="portrait"/>
          <w:cols w:equalWidth="0" w:num="1">
            <w:col w:w="11020"/>
          </w:cols>
          <w:pgMar w:left="440" w:top="117" w:right="439" w:bottom="1440" w:gutter="0" w:footer="0" w:header="0"/>
        </w:sectPr>
      </w:pPr>
    </w:p>
    <w:bookmarkStart w:id="58" w:name="page59"/>
    <w:bookmarkEnd w:id="58"/>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accepting this Award, Participant acknowledges having received and read the Restricted Share Unit Grant Notice, the Award Agreement and the Plan and agrees to all of the terms and conditions set forth in these documents. Participant consents to receive Plan and related documents by electronic delivery and to participate in the Plan through an on-line or electronic system established and maintained by the Company or another third party designated by the Company. Participant acknowledges and agrees that all information (including personal information) provided to the Company or an Affiliate in order to administer the Plan may be disclosed to third parties (including persons located in jurisdictions other than the Participant’s jurisdiction of residence) and may be disclosed to such persons, in connection with the administration of the Plan.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EPARE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c>
          <w:tcPr>
            <w:tcW w:w="586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ARTICIPANT</w:t>
            </w:r>
          </w:p>
        </w:tc>
      </w:tr>
      <w:tr>
        <w:trPr>
          <w:trHeight w:val="43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ind w:left="1780"/>
              <w:spacing w:after="0" w:line="191" w:lineRule="exact"/>
              <w:rPr>
                <w:sz w:val="20"/>
                <w:szCs w:val="20"/>
                <w:color w:val="auto"/>
              </w:rPr>
            </w:pPr>
            <w:r>
              <w:rPr>
                <w:rFonts w:ascii="Times New Roman" w:cs="Times New Roman" w:eastAsia="Times New Roman" w:hAnsi="Times New Roman"/>
                <w:sz w:val="18"/>
                <w:szCs w:val="18"/>
                <w:color w:val="auto"/>
              </w:rPr>
              <w:t>Signature</w:t>
            </w:r>
          </w:p>
        </w:tc>
        <w:tc>
          <w:tcPr>
            <w:tcW w:w="1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ind w:left="1780"/>
              <w:spacing w:after="0" w:line="191" w:lineRule="exact"/>
              <w:rPr>
                <w:sz w:val="20"/>
                <w:szCs w:val="20"/>
                <w:color w:val="auto"/>
              </w:rPr>
            </w:pPr>
            <w:r>
              <w:rPr>
                <w:rFonts w:ascii="Times New Roman" w:cs="Times New Roman" w:eastAsia="Times New Roman" w:hAnsi="Times New Roman"/>
                <w:sz w:val="18"/>
                <w:szCs w:val="18"/>
                <w:color w:val="auto"/>
              </w:rPr>
              <w:t>Signature</w:t>
            </w:r>
          </w:p>
        </w:tc>
      </w:tr>
      <w:tr>
        <w:trPr>
          <w:trHeight w:val="23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Borders>
              <w:bottom w:val="single" w:sz="8" w:color="auto"/>
            </w:tcBorders>
          </w:tcPr>
          <w:p>
            <w:pPr>
              <w:spacing w:after="0"/>
              <w:rPr>
                <w:sz w:val="20"/>
                <w:szCs w:val="20"/>
                <w:color w:val="auto"/>
              </w:rPr>
            </w:pP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tcBorders>
              <w:bottom w:val="single" w:sz="8" w:color="auto"/>
            </w:tcBorders>
          </w:tcPr>
          <w:p>
            <w:pPr>
              <w:spacing w:after="0"/>
              <w:rPr>
                <w:sz w:val="20"/>
                <w:szCs w:val="20"/>
                <w:color w:val="auto"/>
              </w:rPr>
            </w:pPr>
          </w:p>
        </w:tc>
      </w:tr>
      <w:tr>
        <w:trPr>
          <w:trHeight w:val="439"/>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39"/>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TTACHMENTS</w:t>
            </w:r>
            <w:r>
              <w:rPr>
                <w:rFonts w:ascii="Times New Roman" w:cs="Times New Roman" w:eastAsia="Times New Roman" w:hAnsi="Times New Roman"/>
                <w:sz w:val="18"/>
                <w:szCs w:val="18"/>
                <w:color w:val="auto"/>
              </w:rPr>
              <w:t>: Award Agreement, 2024 Inducement Plan</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59" w:name="page60"/>
    <w:bookmarkEnd w:id="59"/>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1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EPARE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2024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03"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Pursuant to the Restricted Share Unit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this Restricted Share Unit Award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Repare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awarded you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a Restricted Share Unit Award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pursuant to the Company’s 2024 Inducement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Share Units/shares indicated in the Grant Notice. This Award is granted in compliance with Nasdaq Listing Rule 5635(c)(4) as a material inducement to you entering into employment with the Company. Capitalized terms not explicitly defined in this Agreement or the Grant Notice shall have the same meanings given to them in the Plan. The terms of your Award, in addition to those set forth in the Grant Notice, are as follows.</w:t>
      </w:r>
    </w:p>
    <w:p>
      <w:pPr>
        <w:spacing w:after="0" w:line="182" w:lineRule="exact"/>
        <w:rPr>
          <w:sz w:val="20"/>
          <w:szCs w:val="20"/>
          <w:color w:val="auto"/>
        </w:rPr>
      </w:pPr>
    </w:p>
    <w:p>
      <w:pPr>
        <w:ind w:firstLine="436"/>
        <w:spacing w:after="0" w:line="256" w:lineRule="auto"/>
        <w:tabs>
          <w:tab w:leader="none" w:pos="6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 OF 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Award represents the right to be issued on a future date one (1) Common Share for each Restricted Share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vests on the applicable vesting date(s) (subject to any adjustment under Section 3 below) as indicated in the Grant Notice. As of the Date of Grant, the Company will credit to a bookkeeping account maintained by the Company for your benefit (the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the number of Restricted Share Units/Common Shares subject to the Award. Notwithstanding the foregoing, the Company reserves the right to issue you the cash equivalent of Common Shares, in part or in full satisfaction of the delivery of Common Shares in connection with the vesting of the Restricted Share Units, and, to the extent applicable, references in this Agreement and the Grant Notice to Common Shares issuable in connection with your Restricted Share Units will include the potential issuance of its cash equivalent pursuant to such right.</w:t>
      </w:r>
    </w:p>
    <w:p>
      <w:pPr>
        <w:spacing w:after="0" w:line="182" w:lineRule="exact"/>
        <w:rPr>
          <w:rFonts w:ascii="Times New Roman" w:cs="Times New Roman" w:eastAsia="Times New Roman" w:hAnsi="Times New Roman"/>
          <w:sz w:val="18"/>
          <w:szCs w:val="18"/>
          <w:b w:val="1"/>
          <w:bCs w:val="1"/>
          <w:color w:val="auto"/>
        </w:rPr>
      </w:pPr>
    </w:p>
    <w:p>
      <w:pPr>
        <w:ind w:right="60" w:firstLine="436"/>
        <w:spacing w:after="0" w:line="262" w:lineRule="auto"/>
        <w:tabs>
          <w:tab w:leader="none" w:pos="6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herein, your Award will vest, if at all, in accordance with the vesting schedule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Notice. Vesting will cease upon the termination of your Continuous Service and the Restricted Share Units credited to the Account that were not vested on the date of such termination will be forfeited at no cost to the Company and you will have no further right, title or interest in or to such Award or the Common Shares to be issued in respect of such portion of the Award.</w:t>
      </w:r>
    </w:p>
    <w:p>
      <w:pPr>
        <w:spacing w:after="0" w:line="176" w:lineRule="exact"/>
        <w:rPr>
          <w:rFonts w:ascii="Times New Roman" w:cs="Times New Roman" w:eastAsia="Times New Roman" w:hAnsi="Times New Roman"/>
          <w:sz w:val="18"/>
          <w:szCs w:val="18"/>
          <w:b w:val="1"/>
          <w:bCs w:val="1"/>
          <w:color w:val="auto"/>
        </w:rPr>
      </w:pPr>
    </w:p>
    <w:p>
      <w:pPr>
        <w:ind w:firstLine="436"/>
        <w:spacing w:after="0" w:line="257" w:lineRule="auto"/>
        <w:tabs>
          <w:tab w:leader="none" w:pos="6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UMBER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Restricted Share Units subject to your Award may be adjusted from time to time for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as provided in the Plan. Any additional Restricted Share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Share Units and shares covered by your Award. Notwithstanding the provisions of this Section 3, no fractional shares or rights for fractional Common Shares shall be created pursuant to this Section 3. Any fraction of a share will be rounded down to the nearest whole share.</w:t>
      </w:r>
    </w:p>
    <w:p>
      <w:pPr>
        <w:spacing w:after="0" w:line="182" w:lineRule="exact"/>
        <w:rPr>
          <w:rFonts w:ascii="Times New Roman" w:cs="Times New Roman" w:eastAsia="Times New Roman" w:hAnsi="Times New Roman"/>
          <w:sz w:val="18"/>
          <w:szCs w:val="18"/>
          <w:b w:val="1"/>
          <w:bCs w:val="1"/>
          <w:color w:val="auto"/>
        </w:rPr>
      </w:pPr>
    </w:p>
    <w:p>
      <w:pPr>
        <w:ind w:right="60" w:firstLine="436"/>
        <w:spacing w:after="0" w:line="259" w:lineRule="auto"/>
        <w:tabs>
          <w:tab w:leader="none" w:pos="6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ECURITIES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18"/>
          <w:szCs w:val="18"/>
          <w:color w:val="auto"/>
        </w:rPr>
        <w:t>. You may not be issued any Common Shares under your Award unless the Common Shares underlying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Share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Shares if the Company determines that such receipt would not be in material compliance with such laws and regulations.</w:t>
      </w:r>
    </w:p>
    <w:p>
      <w:pPr>
        <w:sectPr>
          <w:pgSz w:w="11900" w:h="16838" w:orient="portrait"/>
          <w:cols w:equalWidth="0" w:num="1">
            <w:col w:w="11000"/>
          </w:cols>
          <w:pgMar w:left="440" w:top="266" w:right="459" w:bottom="1440" w:gutter="0" w:footer="0" w:header="0"/>
        </w:sectPr>
      </w:pPr>
    </w:p>
    <w:bookmarkStart w:id="60" w:name="page61"/>
    <w:bookmarkEnd w:id="60"/>
    <w:p>
      <w:pPr>
        <w:ind w:right="120" w:firstLine="436"/>
        <w:spacing w:after="0" w:line="262" w:lineRule="auto"/>
        <w:tabs>
          <w:tab w:leader="none" w:pos="6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RANSFER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ESTRICTIONS</w:t>
      </w:r>
      <w:r>
        <w:rPr>
          <w:rFonts w:ascii="Times New Roman" w:cs="Times New Roman" w:eastAsia="Times New Roman" w:hAnsi="Times New Roman"/>
          <w:sz w:val="18"/>
          <w:szCs w:val="18"/>
          <w:color w:val="auto"/>
        </w:rPr>
        <w:t>. Prior to the time that Common Shares have been delivered to you, you may not transfer, pledge, sell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dispose of this Award or the shares issuable in respect of your Award, except as expressly provided in this Section 5. For example, you may not use shares that may be issued in respect of your Restricted Share Units as security for a loan. The restrictions on transfer set forth herein will lapse upon delivery to you of shares in respect of your vested Restricted Share Units.</w:t>
      </w:r>
    </w:p>
    <w:p>
      <w:pPr>
        <w:spacing w:after="0" w:line="176" w:lineRule="exact"/>
        <w:rPr>
          <w:rFonts w:ascii="Times New Roman" w:cs="Times New Roman" w:eastAsia="Times New Roman" w:hAnsi="Times New Roman"/>
          <w:sz w:val="18"/>
          <w:szCs w:val="18"/>
          <w:b w:val="1"/>
          <w:bCs w:val="1"/>
          <w:color w:val="auto"/>
        </w:rPr>
      </w:pPr>
    </w:p>
    <w:p>
      <w:pPr>
        <w:ind w:right="60" w:firstLine="987"/>
        <w:spacing w:after="0" w:line="268" w:lineRule="auto"/>
        <w:tabs>
          <w:tab w:leader="none" w:pos="1246"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Death</w:t>
      </w:r>
      <w:r>
        <w:rPr>
          <w:rFonts w:ascii="Times New Roman" w:cs="Times New Roman" w:eastAsia="Times New Roman" w:hAnsi="Times New Roman"/>
          <w:sz w:val="18"/>
          <w:szCs w:val="18"/>
          <w:color w:val="auto"/>
        </w:rPr>
        <w:t>. Your Award is transferable by will and by the laws of descent and distribution. At your death, vesting of your Award will cease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your executor or administrator of your estate shall be entitled to receive, on behalf of your estate, any Common Shares or other consideration that vested but was not issued before your death.</w:t>
      </w:r>
    </w:p>
    <w:p>
      <w:pPr>
        <w:spacing w:after="0" w:line="170" w:lineRule="exact"/>
        <w:rPr>
          <w:rFonts w:ascii="Times New Roman" w:cs="Times New Roman" w:eastAsia="Times New Roman" w:hAnsi="Times New Roman"/>
          <w:sz w:val="18"/>
          <w:szCs w:val="18"/>
          <w:b w:val="1"/>
          <w:bCs w:val="1"/>
          <w:color w:val="auto"/>
        </w:rPr>
      </w:pPr>
    </w:p>
    <w:p>
      <w:pPr>
        <w:ind w:right="20" w:firstLine="987"/>
        <w:spacing w:after="0" w:line="256" w:lineRule="auto"/>
        <w:tabs>
          <w:tab w:leader="none" w:pos="1256"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Upon receiving written permission from the Board or its duly authorized designee, and provided that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designated transferee enter into transfer and other agreements required by the Company, you may transfer your right to receive the distribution of Common Shares or other consideration hereunder, pursuant to a domestic relations order, marital settlement agreement or other divorce or separation instrument as permitted by applicable law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82"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SSUANCE</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firstLine="987"/>
        <w:spacing w:after="0" w:line="258" w:lineRule="auto"/>
        <w:tabs>
          <w:tab w:leader="none" w:pos="1246"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shares in respect of the Restricted Share Units is intended to comply with Treasury Regulations Section 1.409A-1(b)(4) and will be construed and administered in such a manner. Subject to the satisfaction of the Withholding Obligations set forth in Section 11 of this Agreement, in the event one or more Restricted Share Units vests, the Company shall issue to you one (1) share of Common Shares for each Restricted Share Unit that vests on the applicable vesting date(s) (subject to any adjustment under Section 3 above). Each issuance date determined by this paragraph is referred to as an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Original Issuance Date falls on a date that is not a business day, delivery shall instead occur on the next following business day.</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if:</w:t>
      </w:r>
    </w:p>
    <w:p>
      <w:pPr>
        <w:spacing w:after="0" w:line="98" w:lineRule="exact"/>
        <w:rPr>
          <w:rFonts w:ascii="Times New Roman" w:cs="Times New Roman" w:eastAsia="Times New Roman" w:hAnsi="Times New Roman"/>
          <w:sz w:val="18"/>
          <w:szCs w:val="18"/>
          <w:b w:val="1"/>
          <w:bCs w:val="1"/>
          <w:color w:val="auto"/>
        </w:rPr>
      </w:pPr>
    </w:p>
    <w:p>
      <w:pPr>
        <w:ind w:right="60" w:firstLine="1428"/>
        <w:spacing w:after="0" w:line="258" w:lineRule="auto"/>
        <w:tabs>
          <w:tab w:leader="none" w:pos="1647" w:val="left"/>
        </w:tabs>
        <w:numPr>
          <w:ilvl w:val="2"/>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Common Shares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Arrangement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w:t>
      </w:r>
    </w:p>
    <w:p>
      <w:pPr>
        <w:spacing w:after="0" w:line="183" w:lineRule="exact"/>
        <w:rPr>
          <w:rFonts w:ascii="Times New Roman" w:cs="Times New Roman" w:eastAsia="Times New Roman" w:hAnsi="Times New Roman"/>
          <w:sz w:val="18"/>
          <w:szCs w:val="18"/>
          <w:b w:val="1"/>
          <w:bCs w:val="1"/>
          <w:color w:val="auto"/>
        </w:rPr>
      </w:pPr>
    </w:p>
    <w:p>
      <w:pPr>
        <w:ind w:right="120" w:firstLine="1428"/>
        <w:spacing w:after="0" w:line="261" w:lineRule="auto"/>
        <w:tabs>
          <w:tab w:leader="none" w:pos="1697" w:val="left"/>
        </w:tabs>
        <w:numPr>
          <w:ilvl w:val="2"/>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either (1) a Withholding Obligation does not apply, or (2) the Company decides, prior to the Original Issuance Date, (A) not to satisfy the Withholding Obligation by withholding Common Shares from the shares otherwise due, on the Original Issuance Date, to you under this Award, and (B) not to permit you to enter into a “same day sale” commitment with a broker-dealer pursuant to Section 11 of this Agreement (including but not limited to a commitment under a 10b5-1 Arrangement ) and (C) not to permit you to pay your Withholding Obligation in cash,</w:t>
      </w:r>
    </w:p>
    <w:p>
      <w:pPr>
        <w:sectPr>
          <w:pgSz w:w="11900" w:h="16838" w:orient="portrait"/>
          <w:cols w:equalWidth="0" w:num="1">
            <w:col w:w="11000"/>
          </w:cols>
          <w:pgMar w:left="440" w:top="266" w:right="459" w:bottom="1440" w:gutter="0" w:footer="0" w:header="0"/>
        </w:sectPr>
      </w:pPr>
    </w:p>
    <w:bookmarkStart w:id="61" w:name="page62"/>
    <w:bookmarkEnd w:id="61"/>
    <w:p>
      <w:pPr>
        <w:ind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w:t>
      </w:r>
      <w:r>
        <w:rPr>
          <w:rFonts w:ascii="Times New Roman" w:cs="Times New Roman" w:eastAsia="Times New Roman" w:hAnsi="Times New Roman"/>
          <w:sz w:val="18"/>
          <w:szCs w:val="18"/>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Shares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18"/>
          <w:szCs w:val="18"/>
          <w:u w:val="single" w:color="auto"/>
          <w:color w:val="auto"/>
        </w:rPr>
        <w:t>if and only if</w:t>
      </w:r>
      <w:r>
        <w:rPr>
          <w:rFonts w:ascii="Times New Roman" w:cs="Times New Roman" w:eastAsia="Times New Roman" w:hAnsi="Times New Roman"/>
          <w:sz w:val="18"/>
          <w:szCs w:val="18"/>
          <w:color w:val="auto"/>
        </w:rPr>
        <w:t xml:space="preserve"> permitted in a manner that complies with Treasury Regulations Section 1.409A-1(b)(4), no later than the date that is the 15th day of the third calendar month of the applicable year following the year in which the Common Shares under this Award are no longer subject to a “substantial risk of forfeiture” within the meaning of Treasury Regulations Section 1.409A-1(d).</w:t>
      </w:r>
    </w:p>
    <w:p>
      <w:pPr>
        <w:spacing w:after="0" w:line="185" w:lineRule="exact"/>
        <w:rPr>
          <w:sz w:val="20"/>
          <w:szCs w:val="20"/>
          <w:color w:val="auto"/>
        </w:rPr>
      </w:pPr>
    </w:p>
    <w:p>
      <w:pPr>
        <w:ind w:left="1240" w:hanging="253"/>
        <w:spacing w:after="0"/>
        <w:tabs>
          <w:tab w:leader="none" w:pos="1240"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form of delivery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share certificate or electronic entry evidencing such shares) shall be determined by the Company.</w:t>
      </w:r>
    </w:p>
    <w:p>
      <w:pPr>
        <w:spacing w:after="0" w:line="223" w:lineRule="exact"/>
        <w:rPr>
          <w:rFonts w:ascii="Times New Roman" w:cs="Times New Roman" w:eastAsia="Times New Roman" w:hAnsi="Times New Roman"/>
          <w:sz w:val="18"/>
          <w:szCs w:val="18"/>
          <w:b w:val="1"/>
          <w:bCs w:val="1"/>
          <w:color w:val="auto"/>
        </w:rPr>
      </w:pPr>
    </w:p>
    <w:p>
      <w:pPr>
        <w:ind w:right="140" w:firstLine="436"/>
        <w:spacing w:after="0" w:line="268" w:lineRule="auto"/>
        <w:tabs>
          <w:tab w:leader="none" w:pos="6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shall receive no benefit or adjustment to your Award with respect to any cash dividend, share dividend or other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does not result from a Capitalization Adjustment; provided, however, that this sentence will not apply with respect to any Common Shares that are delivered to you in connection with your Award after such shares have been delivered to you.</w:t>
      </w:r>
    </w:p>
    <w:p>
      <w:pPr>
        <w:spacing w:after="0" w:line="170" w:lineRule="exact"/>
        <w:rPr>
          <w:rFonts w:ascii="Times New Roman" w:cs="Times New Roman" w:eastAsia="Times New Roman" w:hAnsi="Times New Roman"/>
          <w:sz w:val="18"/>
          <w:szCs w:val="18"/>
          <w:b w:val="1"/>
          <w:bCs w:val="1"/>
          <w:color w:val="auto"/>
        </w:rPr>
      </w:pPr>
    </w:p>
    <w:p>
      <w:pPr>
        <w:ind w:right="220" w:firstLine="436"/>
        <w:spacing w:after="0" w:line="286" w:lineRule="auto"/>
        <w:tabs>
          <w:tab w:leader="none" w:pos="6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ESTRICTIVE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EGENDS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Common Shares issued in respect of your Award shall be endorsed with appropriate legends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w:t>
      </w:r>
    </w:p>
    <w:p>
      <w:pPr>
        <w:spacing w:after="0" w:line="154" w:lineRule="exact"/>
        <w:rPr>
          <w:rFonts w:ascii="Times New Roman" w:cs="Times New Roman" w:eastAsia="Times New Roman" w:hAnsi="Times New Roman"/>
          <w:sz w:val="18"/>
          <w:szCs w:val="18"/>
          <w:b w:val="1"/>
          <w:bCs w:val="1"/>
          <w:color w:val="auto"/>
        </w:rPr>
      </w:pPr>
    </w:p>
    <w:p>
      <w:pPr>
        <w:ind w:firstLine="436"/>
        <w:spacing w:after="0" w:line="262" w:lineRule="auto"/>
        <w:tabs>
          <w:tab w:leader="none" w:pos="6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XECUTION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hereby acknowledge and agree that the manner selected by the Company by which you indicate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176"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WARD NOT A</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ONTRACT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987"/>
        <w:spacing w:after="0" w:line="255" w:lineRule="auto"/>
        <w:tabs>
          <w:tab w:leader="none" w:pos="1246"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188" w:lineRule="exact"/>
        <w:rPr>
          <w:rFonts w:ascii="Times New Roman" w:cs="Times New Roman" w:eastAsia="Times New Roman" w:hAnsi="Times New Roman"/>
          <w:sz w:val="18"/>
          <w:szCs w:val="18"/>
          <w:b w:val="1"/>
          <w:bCs w:val="1"/>
          <w:color w:val="auto"/>
        </w:rPr>
      </w:pPr>
    </w:p>
    <w:p>
      <w:pPr>
        <w:ind w:right="40" w:firstLine="987"/>
        <w:spacing w:after="0" w:line="254" w:lineRule="auto"/>
        <w:tabs>
          <w:tab w:leader="none" w:pos="1256"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an employee, director or consultant at the will of the Company and affiliate, as applicable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w:t>
      </w:r>
      <w:r>
        <w:rPr>
          <w:rFonts w:ascii="Times New Roman" w:cs="Times New Roman" w:eastAsia="Times New Roman" w:hAnsi="Times New Roman"/>
          <w:sz w:val="18"/>
          <w:szCs w:val="18"/>
          <w:b w:val="1"/>
          <w:bCs w:val="1"/>
          <w:i w:val="1"/>
          <w:iCs w:val="1"/>
          <w:color w:val="auto"/>
        </w:rPr>
        <w:t>reorganization</w:t>
      </w:r>
      <w:r>
        <w:rPr>
          <w:rFonts w:ascii="Times New Roman" w:cs="Times New Roman" w:eastAsia="Times New Roman" w:hAnsi="Times New Roman"/>
          <w:sz w:val="18"/>
          <w:szCs w:val="18"/>
          <w:color w:val="auto"/>
        </w:rPr>
        <w:t>”). You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w:t>
      </w:r>
    </w:p>
    <w:p>
      <w:pPr>
        <w:sectPr>
          <w:pgSz w:w="11900" w:h="16838" w:orient="portrait"/>
          <w:cols w:equalWidth="0" w:num="1">
            <w:col w:w="11000"/>
          </w:cols>
          <w:pgMar w:left="440" w:top="270" w:right="459" w:bottom="1440" w:gutter="0" w:footer="0" w:header="0"/>
        </w:sectPr>
      </w:pPr>
    </w:p>
    <w:bookmarkStart w:id="62" w:name="page63"/>
    <w:bookmarkEnd w:id="62"/>
    <w:p>
      <w:pPr>
        <w:jc w:val="both"/>
        <w:ind w:left="4"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be found implicit in any of them do not constitute an express or implied promise of continued engagement as an employee or consultant for the term of this Agreement, for any period, or at all, and shall not interfere in any way with the Company’s right to terminate your Continuous Service at any time, with or without your cause or notice, or to conduct a reorganization.</w:t>
      </w:r>
    </w:p>
    <w:p>
      <w:pPr>
        <w:spacing w:after="0" w:line="172" w:lineRule="exact"/>
        <w:rPr>
          <w:sz w:val="20"/>
          <w:szCs w:val="20"/>
          <w:color w:val="auto"/>
        </w:rPr>
      </w:pPr>
    </w:p>
    <w:p>
      <w:pPr>
        <w:ind w:left="704" w:hanging="264"/>
        <w:spacing w:after="0"/>
        <w:tabs>
          <w:tab w:leader="none" w:pos="704"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4" w:right="20" w:firstLine="987"/>
        <w:spacing w:after="0" w:line="281" w:lineRule="auto"/>
        <w:tabs>
          <w:tab w:leader="none" w:pos="1250" w:val="left"/>
        </w:tabs>
        <w:numPr>
          <w:ilvl w:val="2"/>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each vesting date, and on or before the time you receive a distribution of the shares underlying your Restricted Share Units, and at any other time as reasonably requested by the Company in accordance with applicable tax laws, you hereby authorize any required withholding from the Common Shares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Times New Roman" w:cs="Times New Roman" w:eastAsia="Times New Roman" w:hAnsi="Times New Roman"/>
          <w:sz w:val="17"/>
          <w:szCs w:val="17"/>
          <w:b w:val="1"/>
          <w:bCs w:val="1"/>
          <w:i w:val="1"/>
          <w:iCs w:val="1"/>
          <w:color w:val="auto"/>
        </w:rPr>
        <w:t>Withholding Obligation</w:t>
      </w:r>
      <w:r>
        <w:rPr>
          <w:rFonts w:ascii="Times New Roman" w:cs="Times New Roman" w:eastAsia="Times New Roman" w:hAnsi="Times New Roman"/>
          <w:sz w:val="17"/>
          <w:szCs w:val="17"/>
          <w:color w:val="auto"/>
        </w:rPr>
        <w:t>”).</w:t>
      </w:r>
    </w:p>
    <w:p>
      <w:pPr>
        <w:spacing w:after="0" w:line="164" w:lineRule="exact"/>
        <w:rPr>
          <w:rFonts w:ascii="Times New Roman" w:cs="Times New Roman" w:eastAsia="Times New Roman" w:hAnsi="Times New Roman"/>
          <w:sz w:val="17"/>
          <w:szCs w:val="17"/>
          <w:b w:val="1"/>
          <w:bCs w:val="1"/>
          <w:color w:val="auto"/>
        </w:rPr>
      </w:pPr>
    </w:p>
    <w:p>
      <w:pPr>
        <w:ind w:left="4" w:right="260" w:firstLine="987"/>
        <w:spacing w:after="0" w:line="261" w:lineRule="auto"/>
        <w:tabs>
          <w:tab w:leader="none" w:pos="1260" w:val="left"/>
        </w:tabs>
        <w:numPr>
          <w:ilvl w:val="2"/>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accepting this Award, you acknowledge and agree that the Company or any Affiliate may, in its sole discretion, satisfy all or any portion of the Withholding Obligation relating to your Restricted Stock Units by any of the following means or by a combination of such means:</w:t>
      </w:r>
    </w:p>
    <w:p>
      <w:pPr>
        <w:ind w:left="4" w:hanging="4"/>
        <w:spacing w:after="0" w:line="251" w:lineRule="auto"/>
        <w:tabs>
          <w:tab w:leader="none" w:pos="21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causing you to pay any portion of the Withholding Obligation in cash; (ii) withholding from any compensation otherwise payable to you by the Company or any Affiliate; (iii) withholding Common Shares from the Common Shares issued or otherwise issuable to you in connection with the Award with a fair market value (measured as of the date Common Shares are issued pursuant to Section 6) equal to the amount of such Withholding Obligation; provided, however, that the number of such Common Shares so withheld will not exceed the amount necessary to satisfy the Withholding Obligation using the maximum statutory withholding rates for federal, state, local and foreign tax purposes, including payroll taxes, that are applicable to supplemental taxable income;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further,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Times New Roman" w:cs="Times New Roman" w:eastAsia="Times New Roman" w:hAnsi="Times New Roman"/>
          <w:sz w:val="18"/>
          <w:szCs w:val="18"/>
          <w:b w:val="1"/>
          <w:bCs w:val="1"/>
          <w:i w:val="1"/>
          <w:iCs w:val="1"/>
          <w:color w:val="auto"/>
        </w:rPr>
        <w:t>FINRA Dealer</w:t>
      </w:r>
      <w:r>
        <w:rPr>
          <w:rFonts w:ascii="Times New Roman" w:cs="Times New Roman" w:eastAsia="Times New Roman" w:hAnsi="Times New Roman"/>
          <w:sz w:val="18"/>
          <w:szCs w:val="18"/>
          <w:color w:val="auto"/>
        </w:rPr>
        <w:t>”), pursuant to this authorization and without further consent, whereby you irrevocably elect to sell a portion of the shares to be delivered in connection with your Restricted Stock Units to satisfy the Withholding Obligation and whereby the FINRA Dealer irrevocably commits to forward the proceeds necessary to satisfy the Withholding Obligation directly to the Company and/or its Affiliates.</w:t>
      </w:r>
    </w:p>
    <w:p>
      <w:pPr>
        <w:spacing w:after="0" w:line="192" w:lineRule="exact"/>
        <w:rPr>
          <w:rFonts w:ascii="Times New Roman" w:cs="Times New Roman" w:eastAsia="Times New Roman" w:hAnsi="Times New Roman"/>
          <w:sz w:val="18"/>
          <w:szCs w:val="18"/>
          <w:color w:val="auto"/>
        </w:rPr>
      </w:pPr>
    </w:p>
    <w:p>
      <w:pPr>
        <w:ind w:left="4" w:right="340" w:firstLine="987"/>
        <w:spacing w:after="0" w:line="282" w:lineRule="auto"/>
        <w:tabs>
          <w:tab w:leader="none" w:pos="1240" w:val="left"/>
        </w:tabs>
        <w:numPr>
          <w:ilvl w:val="2"/>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Withholding Obligation is satisfied, the Company shall have no obligation to deliver to you any Common Shares or any other consideration pursuant to this Award.</w:t>
      </w:r>
    </w:p>
    <w:p>
      <w:pPr>
        <w:spacing w:after="0" w:line="161" w:lineRule="exact"/>
        <w:rPr>
          <w:rFonts w:ascii="Times New Roman" w:cs="Times New Roman" w:eastAsia="Times New Roman" w:hAnsi="Times New Roman"/>
          <w:sz w:val="18"/>
          <w:szCs w:val="18"/>
          <w:b w:val="1"/>
          <w:bCs w:val="1"/>
          <w:color w:val="auto"/>
        </w:rPr>
      </w:pPr>
    </w:p>
    <w:p>
      <w:pPr>
        <w:jc w:val="both"/>
        <w:ind w:left="4" w:right="180" w:firstLine="987"/>
        <w:spacing w:after="0" w:line="266" w:lineRule="auto"/>
        <w:tabs>
          <w:tab w:leader="none" w:pos="1260" w:val="left"/>
        </w:tabs>
        <w:numPr>
          <w:ilvl w:val="2"/>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the Withholding Obligation arises prior to the delivery to you of Common Shares or it is determined after the delivery of Common Shares to you that the amount of the Withholding Obligation was greater than the amount withheld by the Company, you agree to indemnify and hold the Company harmless from any failure by the Company to withhold the proper amount.</w:t>
      </w:r>
    </w:p>
    <w:p>
      <w:pPr>
        <w:spacing w:after="0" w:line="171"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ONSEQUENCES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no duty or obligation to minimize the tax consequences to you of this Award and shall not be liable</w:t>
      </w:r>
    </w:p>
    <w:p>
      <w:pPr>
        <w:spacing w:after="0" w:line="31" w:lineRule="exact"/>
        <w:rPr>
          <w:sz w:val="20"/>
          <w:szCs w:val="20"/>
          <w:color w:val="auto"/>
        </w:rPr>
      </w:pPr>
    </w:p>
    <w:p>
      <w:pPr>
        <w:ind w:left="4" w:right="80"/>
        <w:spacing w:after="0" w:line="253" w:lineRule="auto"/>
        <w:rPr>
          <w:sz w:val="20"/>
          <w:szCs w:val="20"/>
          <w:color w:val="auto"/>
        </w:rPr>
      </w:pPr>
      <w:r>
        <w:rPr>
          <w:rFonts w:ascii="Times New Roman" w:cs="Times New Roman" w:eastAsia="Times New Roman" w:hAnsi="Times New Roman"/>
          <w:sz w:val="18"/>
          <w:szCs w:val="18"/>
          <w:color w:val="auto"/>
        </w:rPr>
        <w:t>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ectPr>
          <w:pgSz w:w="11900" w:h="16838" w:orient="portrait"/>
          <w:cols w:equalWidth="0" w:num="1">
            <w:col w:w="11004"/>
          </w:cols>
          <w:pgMar w:left="436" w:top="270" w:right="459" w:bottom="1440" w:gutter="0" w:footer="0" w:header="0"/>
        </w:sectPr>
      </w:pPr>
    </w:p>
    <w:bookmarkStart w:id="63" w:name="page64"/>
    <w:bookmarkEnd w:id="63"/>
    <w:p>
      <w:pPr>
        <w:ind w:left="-436" w:firstLine="436"/>
        <w:spacing w:after="0" w:line="254" w:lineRule="auto"/>
        <w:tabs>
          <w:tab w:leader="none" w:pos="27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w:t>
      </w:r>
      <w:r>
        <w:rPr>
          <w:rFonts w:ascii="Times New Roman" w:cs="Times New Roman" w:eastAsia="Times New Roman" w:hAnsi="Times New Roman"/>
          <w:sz w:val="14"/>
          <w:szCs w:val="14"/>
          <w:b w:val="1"/>
          <w:bCs w:val="1"/>
          <w:color w:val="auto"/>
        </w:rPr>
        <w:t>OCK</w:t>
      </w: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accepting your Award, you agree that you will not sell, dispose of, transfer, make any short sale of, grant any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purchase of, or enter into any hedging or similar transaction with the same economic effect as a sale with respect to any Common Shares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Common Shares until the end of such period. You also agree that any transferee of any Common Shares (or other securities) of the Company held by you will be bound by this Section 13. The underwriters of the Company’s shares are intended third party beneficiaries of this Section 13 and will have the right, power and authority to enforce the provisions hereof as though they were a party hereto.</w:t>
      </w:r>
    </w:p>
    <w:p>
      <w:pPr>
        <w:spacing w:after="0" w:line="182" w:lineRule="exact"/>
        <w:rPr>
          <w:rFonts w:ascii="Times New Roman" w:cs="Times New Roman" w:eastAsia="Times New Roman" w:hAnsi="Times New Roman"/>
          <w:sz w:val="18"/>
          <w:szCs w:val="18"/>
          <w:b w:val="1"/>
          <w:bCs w:val="1"/>
          <w:color w:val="auto"/>
        </w:rPr>
      </w:pPr>
    </w:p>
    <w:p>
      <w:pPr>
        <w:ind w:left="-436" w:right="100" w:firstLine="436"/>
        <w:spacing w:after="0" w:line="257" w:lineRule="auto"/>
        <w:tabs>
          <w:tab w:leader="none" w:pos="27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4"/>
          <w:szCs w:val="14"/>
          <w:b w:val="1"/>
          <w:bCs w:val="1"/>
          <w:color w:val="auto"/>
        </w:rPr>
        <w:t>NSECURED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Award is unfunded, and as a holder of a vested Award, you shall be considered an unsecured creditor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 respect to the Company’s obligation, if any, to issue shares or other property pursuant to this Agreement. You shall not have voting or any other rights as a shareholder of the Company with respect to the shares to be issued pursuant to this Agreement until such shares are issued to you pursuant to Section 6 of this Agreement. Upon such issuance, you will obtain full voting and other rights as a shareholder of the Company. Nothing contained in this Agreement, and no action taken pursuant to its provisions, shall create or be construed to create a trust of any kind or a fiduciary relationship between you and the Company or any other person.</w:t>
      </w:r>
    </w:p>
    <w:p>
      <w:pPr>
        <w:spacing w:after="0" w:line="182" w:lineRule="exact"/>
        <w:rPr>
          <w:rFonts w:ascii="Times New Roman" w:cs="Times New Roman" w:eastAsia="Times New Roman" w:hAnsi="Times New Roman"/>
          <w:sz w:val="18"/>
          <w:szCs w:val="18"/>
          <w:b w:val="1"/>
          <w:bCs w:val="1"/>
          <w:color w:val="auto"/>
        </w:rPr>
      </w:pPr>
    </w:p>
    <w:p>
      <w:pPr>
        <w:ind w:left="-436" w:firstLine="436"/>
        <w:spacing w:after="0" w:line="257" w:lineRule="auto"/>
        <w:tabs>
          <w:tab w:leader="none" w:pos="27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18"/>
          <w:szCs w:val="18"/>
          <w:color w:val="auto"/>
        </w:rPr>
        <w:t>. Any notice or request required or permitted hereunder shall be given in writing (including electronically) and will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effectively given upon receipt or, in the case of notices delivered by mail by the Company to you, five (5) days after deposit in the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82" w:lineRule="exact"/>
        <w:rPr>
          <w:rFonts w:ascii="Times New Roman" w:cs="Times New Roman" w:eastAsia="Times New Roman" w:hAnsi="Times New Roman"/>
          <w:sz w:val="18"/>
          <w:szCs w:val="18"/>
          <w:b w:val="1"/>
          <w:bCs w:val="1"/>
          <w:color w:val="auto"/>
        </w:rPr>
      </w:pPr>
    </w:p>
    <w:p>
      <w:pPr>
        <w:ind w:left="-436" w:right="180" w:firstLine="436"/>
        <w:spacing w:after="0" w:line="286" w:lineRule="auto"/>
        <w:tabs>
          <w:tab w:leader="none" w:pos="27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EADINGS</w:t>
      </w:r>
      <w:r>
        <w:rPr>
          <w:rFonts w:ascii="Times New Roman" w:cs="Times New Roman" w:eastAsia="Times New Roman" w:hAnsi="Times New Roman"/>
          <w:sz w:val="18"/>
          <w:szCs w:val="18"/>
          <w:color w:val="auto"/>
        </w:rPr>
        <w:t>. The headings of the Sections in this Agreement are inserted for convenience only and shall not be deemed to constitute a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or to affect the meaning of this Agreement.</w:t>
      </w:r>
    </w:p>
    <w:p>
      <w:pPr>
        <w:spacing w:after="0" w:line="154"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436" w:right="400" w:firstLine="987"/>
        <w:spacing w:after="0" w:line="282" w:lineRule="auto"/>
        <w:tabs>
          <w:tab w:leader="none" w:pos="81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161" w:lineRule="exact"/>
        <w:rPr>
          <w:rFonts w:ascii="Times New Roman" w:cs="Times New Roman" w:eastAsia="Times New Roman" w:hAnsi="Times New Roman"/>
          <w:sz w:val="18"/>
          <w:szCs w:val="18"/>
          <w:b w:val="1"/>
          <w:bCs w:val="1"/>
          <w:color w:val="auto"/>
        </w:rPr>
      </w:pPr>
    </w:p>
    <w:p>
      <w:pPr>
        <w:ind w:left="-436" w:right="600" w:firstLine="987"/>
        <w:spacing w:after="0" w:line="282" w:lineRule="auto"/>
        <w:tabs>
          <w:tab w:leader="none" w:pos="82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agree upon request to execute any further documents or instruments necessary or desirable in the sole determination of the Company to carry out the purposes or intent of your Award.</w:t>
      </w:r>
    </w:p>
    <w:p>
      <w:pPr>
        <w:sectPr>
          <w:pgSz w:w="11900" w:h="16838" w:orient="portrait"/>
          <w:cols w:equalWidth="0" w:num="1">
            <w:col w:w="10564"/>
          </w:cols>
          <w:pgMar w:left="876" w:top="266" w:right="459" w:bottom="1440" w:gutter="0" w:footer="0" w:header="0"/>
        </w:sectPr>
      </w:pPr>
    </w:p>
    <w:bookmarkStart w:id="64" w:name="page65"/>
    <w:bookmarkEnd w:id="64"/>
    <w:p>
      <w:pPr>
        <w:ind w:left="4" w:firstLine="987"/>
        <w:spacing w:after="0" w:line="282" w:lineRule="auto"/>
        <w:tabs>
          <w:tab w:leader="none" w:pos="1240" w:val="left"/>
        </w:tabs>
        <w:numPr>
          <w:ilvl w:val="2"/>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acknowledge and agree that you have reviewed your Award in its entirety, have had an opportunity to obtain the advice of counsel prior to executing and accepting your Award and fully understand all provisions of your Award.</w:t>
      </w:r>
    </w:p>
    <w:p>
      <w:pPr>
        <w:spacing w:after="0" w:line="161" w:lineRule="exact"/>
        <w:rPr>
          <w:rFonts w:ascii="Times New Roman" w:cs="Times New Roman" w:eastAsia="Times New Roman" w:hAnsi="Times New Roman"/>
          <w:sz w:val="18"/>
          <w:szCs w:val="18"/>
          <w:b w:val="1"/>
          <w:bCs w:val="1"/>
          <w:color w:val="auto"/>
        </w:rPr>
      </w:pPr>
    </w:p>
    <w:p>
      <w:pPr>
        <w:ind w:left="4" w:right="80" w:firstLine="987"/>
        <w:spacing w:after="0" w:line="282" w:lineRule="auto"/>
        <w:tabs>
          <w:tab w:leader="none" w:pos="1260" w:val="left"/>
        </w:tabs>
        <w:numPr>
          <w:ilvl w:val="2"/>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be subject to all applicable laws, rules, and regulations, and to such approvals by any governmental agencies or national securities exchanges as may be required.</w:t>
      </w:r>
    </w:p>
    <w:p>
      <w:pPr>
        <w:spacing w:after="0" w:line="161" w:lineRule="exact"/>
        <w:rPr>
          <w:rFonts w:ascii="Times New Roman" w:cs="Times New Roman" w:eastAsia="Times New Roman" w:hAnsi="Times New Roman"/>
          <w:sz w:val="18"/>
          <w:szCs w:val="18"/>
          <w:b w:val="1"/>
          <w:bCs w:val="1"/>
          <w:color w:val="auto"/>
        </w:rPr>
      </w:pPr>
    </w:p>
    <w:p>
      <w:pPr>
        <w:jc w:val="both"/>
        <w:ind w:left="4" w:right="260" w:firstLine="987"/>
        <w:spacing w:after="0" w:line="266" w:lineRule="auto"/>
        <w:tabs>
          <w:tab w:leader="none" w:pos="1240" w:val="left"/>
        </w:tabs>
        <w:numPr>
          <w:ilvl w:val="2"/>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5" w:lineRule="exact"/>
        <w:rPr>
          <w:rFonts w:ascii="Times New Roman" w:cs="Times New Roman" w:eastAsia="Times New Roman" w:hAnsi="Times New Roman"/>
          <w:sz w:val="18"/>
          <w:szCs w:val="18"/>
          <w:b w:val="1"/>
          <w:bCs w:val="1"/>
          <w:color w:val="auto"/>
        </w:rPr>
      </w:pPr>
    </w:p>
    <w:p>
      <w:pPr>
        <w:ind w:left="4" w:right="20" w:firstLine="987"/>
        <w:spacing w:after="0" w:line="266" w:lineRule="auto"/>
        <w:tabs>
          <w:tab w:leader="none" w:pos="1220" w:val="left"/>
        </w:tabs>
        <w:numPr>
          <w:ilvl w:val="2"/>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acknowledge and agree that your participation in the Plan and acceptance of your option is entirely voluntary and not obligatory and shall not be interpreted as conferring upon you any rights or privileges other than those rights and privileges expressly provided in the Plan and this Agreement.</w:t>
      </w:r>
    </w:p>
    <w:p>
      <w:pPr>
        <w:spacing w:after="0" w:line="171" w:lineRule="exact"/>
        <w:rPr>
          <w:rFonts w:ascii="Times New Roman" w:cs="Times New Roman" w:eastAsia="Times New Roman" w:hAnsi="Times New Roman"/>
          <w:sz w:val="18"/>
          <w:szCs w:val="18"/>
          <w:b w:val="1"/>
          <w:bCs w:val="1"/>
          <w:color w:val="auto"/>
        </w:rPr>
      </w:pPr>
    </w:p>
    <w:p>
      <w:pPr>
        <w:ind w:left="4" w:firstLine="436"/>
        <w:spacing w:after="0" w:line="256" w:lineRule="auto"/>
        <w:tabs>
          <w:tab w:leader="none" w:pos="714"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18"/>
          <w:szCs w:val="18"/>
          <w:color w:val="auto"/>
        </w:rPr>
        <w:t>. Your Award is subject to all the provisions of the Plan, the provisions of which are hereby made a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82" w:lineRule="exact"/>
        <w:rPr>
          <w:rFonts w:ascii="Times New Roman" w:cs="Times New Roman" w:eastAsia="Times New Roman" w:hAnsi="Times New Roman"/>
          <w:sz w:val="18"/>
          <w:szCs w:val="18"/>
          <w:b w:val="1"/>
          <w:bCs w:val="1"/>
          <w:color w:val="auto"/>
        </w:rPr>
      </w:pPr>
    </w:p>
    <w:p>
      <w:pPr>
        <w:ind w:left="4" w:right="40" w:firstLine="436"/>
        <w:spacing w:after="0" w:line="262" w:lineRule="auto"/>
        <w:tabs>
          <w:tab w:leader="none" w:pos="714"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FFECT 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LANS</w:t>
      </w:r>
      <w:r>
        <w:rPr>
          <w:rFonts w:ascii="Times New Roman" w:cs="Times New Roman" w:eastAsia="Times New Roman" w:hAnsi="Times New Roman"/>
          <w:sz w:val="18"/>
          <w:szCs w:val="18"/>
          <w:color w:val="auto"/>
        </w:rPr>
        <w:t>. The value of the Award subject to this Agreement shall not be included as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76" w:lineRule="exact"/>
        <w:rPr>
          <w:rFonts w:ascii="Times New Roman" w:cs="Times New Roman" w:eastAsia="Times New Roman" w:hAnsi="Times New Roman"/>
          <w:sz w:val="18"/>
          <w:szCs w:val="18"/>
          <w:b w:val="1"/>
          <w:bCs w:val="1"/>
          <w:color w:val="auto"/>
        </w:rPr>
      </w:pPr>
    </w:p>
    <w:p>
      <w:pPr>
        <w:ind w:left="4" w:firstLine="436"/>
        <w:spacing w:after="0" w:line="262" w:lineRule="auto"/>
        <w:tabs>
          <w:tab w:leader="none" w:pos="714"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color w:val="auto"/>
        </w:rPr>
        <w:t>. If all or any part of this Agreement or the Plan is declared by any court or governmental authority to be unlawful or invalid,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OCUMENTS</w:t>
      </w:r>
      <w:r>
        <w:rPr>
          <w:rFonts w:ascii="Times New Roman" w:cs="Times New Roman" w:eastAsia="Times New Roman" w:hAnsi="Times New Roman"/>
          <w:sz w:val="18"/>
          <w:szCs w:val="18"/>
          <w:color w:val="auto"/>
        </w:rPr>
        <w:t>. You hereby acknowledge receipt or the right to receive a document providing the information required by Rule 428(b)</w:t>
      </w:r>
    </w:p>
    <w:p>
      <w:pPr>
        <w:spacing w:after="0" w:line="31" w:lineRule="exact"/>
        <w:rPr>
          <w:rFonts w:ascii="Times New Roman" w:cs="Times New Roman" w:eastAsia="Times New Roman" w:hAnsi="Times New Roman"/>
          <w:sz w:val="18"/>
          <w:szCs w:val="18"/>
          <w:b w:val="1"/>
          <w:bCs w:val="1"/>
          <w:color w:val="auto"/>
        </w:rPr>
      </w:pPr>
    </w:p>
    <w:p>
      <w:pPr>
        <w:ind w:left="4" w:right="280" w:hanging="4"/>
        <w:spacing w:after="0" w:line="260" w:lineRule="auto"/>
        <w:tabs>
          <w:tab w:leader="none" w:pos="25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77" w:lineRule="exact"/>
        <w:rPr>
          <w:rFonts w:ascii="Times New Roman" w:cs="Times New Roman" w:eastAsia="Times New Roman" w:hAnsi="Times New Roman"/>
          <w:sz w:val="18"/>
          <w:szCs w:val="18"/>
          <w:color w:val="auto"/>
        </w:rPr>
      </w:pPr>
    </w:p>
    <w:p>
      <w:pPr>
        <w:ind w:left="4" w:right="20" w:firstLine="436"/>
        <w:spacing w:after="0" w:line="268" w:lineRule="auto"/>
        <w:tabs>
          <w:tab w:leader="none" w:pos="714"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MENDMENT</w:t>
      </w:r>
      <w:r>
        <w:rPr>
          <w:rFonts w:ascii="Times New Roman" w:cs="Times New Roman" w:eastAsia="Times New Roman" w:hAnsi="Times New Roman"/>
          <w:sz w:val="18"/>
          <w:szCs w:val="18"/>
          <w:color w:val="auto"/>
        </w:rPr>
        <w:t>. This Agreement may not be modified, amended or terminated except by an instrument in writing, signed by you and by a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 of the Company. Notwithstanding the foregoing, this Agreement may be amended solely by the Board by a writing which specifically states that it is amending this Agreement, so long as a copy of such amendment is delivered to</w:t>
      </w:r>
    </w:p>
    <w:p>
      <w:pPr>
        <w:sectPr>
          <w:pgSz w:w="11900" w:h="16838" w:orient="portrait"/>
          <w:cols w:equalWidth="0" w:num="1">
            <w:col w:w="10944"/>
          </w:cols>
          <w:pgMar w:left="436" w:top="270" w:right="519" w:bottom="1440" w:gutter="0" w:footer="0" w:header="0"/>
        </w:sectPr>
      </w:pPr>
    </w:p>
    <w:bookmarkStart w:id="65" w:name="page66"/>
    <w:bookmarkEnd w:id="6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79" w:lineRule="exact"/>
        <w:rPr>
          <w:sz w:val="20"/>
          <w:szCs w:val="20"/>
          <w:color w:val="auto"/>
        </w:rPr>
      </w:pPr>
    </w:p>
    <w:p>
      <w:pPr>
        <w:ind w:right="20" w:firstLine="436"/>
        <w:spacing w:after="0" w:line="253" w:lineRule="auto"/>
        <w:tabs>
          <w:tab w:leader="none" w:pos="71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OMPLIANCE WITH</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409A </w:t>
      </w:r>
      <w:r>
        <w:rPr>
          <w:rFonts w:ascii="Times New Roman" w:cs="Times New Roman" w:eastAsia="Times New Roman" w:hAnsi="Times New Roman"/>
          <w:sz w:val="14"/>
          <w:szCs w:val="14"/>
          <w:b w:val="1"/>
          <w:bCs w:val="1"/>
          <w:color w:val="auto"/>
        </w:rPr>
        <w:t>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ODE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Award is intended to be exempt from the application of Section 409A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91" w:lineRule="exact"/>
        <w:rPr>
          <w:sz w:val="20"/>
          <w:szCs w:val="20"/>
          <w:color w:val="auto"/>
        </w:rPr>
      </w:pPr>
    </w:p>
    <w:p>
      <w:pPr>
        <w:jc w:val="center"/>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 xml:space="preserve">*       * </w:t>
        <w:tab/>
        <w:t xml:space="preserve">*    * </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Restricted Share Unit Award Agreement shall be deemed to be signed by the Company and the Participant upon the signing by the Participant of the Restricted Share Unit Grant Notice to which it is attached.</w:t>
      </w:r>
    </w:p>
    <w:p>
      <w:pPr>
        <w:sectPr>
          <w:pgSz w:w="11900" w:h="16838" w:orient="portrait"/>
          <w:cols w:equalWidth="0" w:num="1">
            <w:col w:w="11000"/>
          </w:cols>
          <w:pgMar w:left="440" w:top="270" w:right="45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2024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ectPr>
          <w:pgSz w:w="11900" w:h="16838" w:orient="portrait"/>
          <w:cols w:equalWidth="0" w:num="1">
            <w:col w:w="9019"/>
          </w:cols>
          <w:pgMar w:left="1440" w:top="266" w:right="1440"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Canadian Standard Form</w:t>
      </w:r>
    </w:p>
    <w:p>
      <w:pPr>
        <w:spacing w:after="0" w:line="2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EPARE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2024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NIT</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20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Repare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2024 Inducement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awards to Participant a Restricted Share Unit Award for the number of shares of the Company’s Common Shares (“</w:t>
      </w:r>
      <w:r>
        <w:rPr>
          <w:rFonts w:ascii="Times New Roman" w:cs="Times New Roman" w:eastAsia="Times New Roman" w:hAnsi="Times New Roman"/>
          <w:sz w:val="18"/>
          <w:szCs w:val="18"/>
          <w:b w:val="1"/>
          <w:bCs w:val="1"/>
          <w:i w:val="1"/>
          <w:iCs w:val="1"/>
          <w:color w:val="auto"/>
        </w:rPr>
        <w:t>Restricted Share Units</w:t>
      </w:r>
      <w:r>
        <w:rPr>
          <w:rFonts w:ascii="Times New Roman" w:cs="Times New Roman" w:eastAsia="Times New Roman" w:hAnsi="Times New Roman"/>
          <w:sz w:val="18"/>
          <w:szCs w:val="18"/>
          <w:color w:val="auto"/>
        </w:rPr>
        <w:t>”) set forth below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The Award is subject to all of the terms and conditions as set forth in this notice of grant (this “</w:t>
      </w:r>
      <w:r>
        <w:rPr>
          <w:rFonts w:ascii="Times New Roman" w:cs="Times New Roman" w:eastAsia="Times New Roman" w:hAnsi="Times New Roman"/>
          <w:sz w:val="18"/>
          <w:szCs w:val="18"/>
          <w:b w:val="1"/>
          <w:bCs w:val="1"/>
          <w:i w:val="1"/>
          <w:iCs w:val="1"/>
          <w:color w:val="auto"/>
        </w:rPr>
        <w:t>Restricted Share Unit Grant Notice</w:t>
      </w:r>
      <w:r>
        <w:rPr>
          <w:rFonts w:ascii="Times New Roman" w:cs="Times New Roman" w:eastAsia="Times New Roman" w:hAnsi="Times New Roman"/>
          <w:sz w:val="18"/>
          <w:szCs w:val="18"/>
          <w:color w:val="auto"/>
        </w:rPr>
        <w:t>”), and in the Plan and the Restricted Share Unit Award Agreement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both of which are attached hereto and incorporated herein in their entirety. The Award is granted in compliance with Nasdaq Listing Rule 5635(c)(4) as a material inducement to Participant entering into employment with the Company and is aimed at the prospective retention of the Participant. Capitalized terms not explicitly defined herein shall have the meanings set forth in the Plan or the Award Agreement. In the event of any conflict between the terms in this Restricted Share Unit Grant Notice or the Award Agreement and the Plan, the terms of the Plan shall control.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Participant:</w:t>
            </w:r>
          </w:p>
        </w:tc>
        <w:tc>
          <w:tcPr>
            <w:tcW w:w="4620" w:type="dxa"/>
            <w:vAlign w:val="bottom"/>
            <w:tcBorders>
              <w:bottom w:val="single" w:sz="8" w:color="auto"/>
            </w:tcBorders>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23"/>
        </w:trPr>
        <w:tc>
          <w:tcPr>
            <w:tcW w:w="940" w:type="dxa"/>
            <w:vAlign w:val="bottom"/>
          </w:tcPr>
          <w:p>
            <w:pPr>
              <w:spacing w:after="0"/>
              <w:rPr>
                <w:sz w:val="19"/>
                <w:szCs w:val="19"/>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 of Grant:</w:t>
            </w:r>
          </w:p>
        </w:tc>
        <w:tc>
          <w:tcPr>
            <w:tcW w:w="46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940" w:type="dxa"/>
            <w:vAlign w:val="bottom"/>
          </w:tcPr>
          <w:p>
            <w:pPr>
              <w:spacing w:after="0"/>
              <w:rPr>
                <w:sz w:val="19"/>
                <w:szCs w:val="19"/>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Commencement Date:</w:t>
            </w:r>
          </w:p>
        </w:tc>
        <w:tc>
          <w:tcPr>
            <w:tcW w:w="46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940" w:type="dxa"/>
            <w:vAlign w:val="bottom"/>
          </w:tcPr>
          <w:p>
            <w:pPr>
              <w:spacing w:after="0"/>
              <w:rPr>
                <w:sz w:val="19"/>
                <w:szCs w:val="19"/>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Number of Restricted Share Units:</w:t>
            </w:r>
          </w:p>
        </w:tc>
        <w:tc>
          <w:tcPr>
            <w:tcW w:w="46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r>
    </w:tbl>
    <w:p>
      <w:pPr>
        <w:spacing w:after="0" w:line="234" w:lineRule="exact"/>
        <w:rPr>
          <w:sz w:val="20"/>
          <w:szCs w:val="20"/>
          <w:color w:val="auto"/>
        </w:rPr>
      </w:pPr>
    </w:p>
    <w:p>
      <w:pPr>
        <w:spacing w:after="0"/>
        <w:tabs>
          <w:tab w:leader="none" w:pos="240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7"/>
          <w:szCs w:val="17"/>
          <w:color w:val="auto"/>
        </w:rPr>
        <w:t>[__________________], subject to Participant’s Continuous Service through each such vesting date and provided that</w:t>
      </w:r>
    </w:p>
    <w:p>
      <w:pPr>
        <w:spacing w:after="0" w:line="31" w:lineRule="exact"/>
        <w:rPr>
          <w:sz w:val="20"/>
          <w:szCs w:val="20"/>
          <w:color w:val="auto"/>
        </w:rPr>
      </w:pPr>
    </w:p>
    <w:p>
      <w:pPr>
        <w:ind w:left="2420" w:right="180"/>
        <w:spacing w:after="0" w:line="260" w:lineRule="auto"/>
        <w:rPr>
          <w:sz w:val="20"/>
          <w:szCs w:val="20"/>
          <w:color w:val="auto"/>
        </w:rPr>
      </w:pPr>
      <w:r>
        <w:rPr>
          <w:rFonts w:ascii="Times New Roman" w:cs="Times New Roman" w:eastAsia="Times New Roman" w:hAnsi="Times New Roman"/>
          <w:sz w:val="18"/>
          <w:szCs w:val="18"/>
          <w:color w:val="auto"/>
        </w:rPr>
        <w:t>in all cases the vesting date and the Original Issuance Date as determined in Section 6 of this Award Agreement shall be no later than the Outside Date.</w:t>
      </w:r>
    </w:p>
    <w:p>
      <w:pPr>
        <w:spacing w:after="0" w:line="69" w:lineRule="exact"/>
        <w:rPr>
          <w:sz w:val="20"/>
          <w:szCs w:val="20"/>
          <w:color w:val="auto"/>
        </w:rPr>
      </w:pPr>
    </w:p>
    <w:p>
      <w:pPr>
        <w:ind w:left="2420" w:right="380" w:hanging="2429"/>
        <w:spacing w:after="0" w:line="266" w:lineRule="auto"/>
        <w:tabs>
          <w:tab w:leader="none" w:pos="240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8"/>
          <w:szCs w:val="18"/>
          <w:color w:val="auto"/>
        </w:rPr>
        <w:t>Subject to any Capitalization Adjustment, one Common Share (or its cash equivalent, at the discretion of the Company) will be issued (or paid) for each Restricted Share Unit that vests at the time set forth in Section 6 of the Award Agreement.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Additional Terms/Acknowledgements: </w:t>
      </w:r>
      <w:r>
        <w:rPr>
          <w:rFonts w:ascii="Times New Roman" w:cs="Times New Roman" w:eastAsia="Times New Roman" w:hAnsi="Times New Roman"/>
          <w:sz w:val="18"/>
          <w:szCs w:val="18"/>
          <w:color w:val="auto"/>
        </w:rPr>
        <w:t>Participant acknowledges receipt of, and understands and agrees to, this Restricted Share Unit Grant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Award Agreement and the Plan. Participant acknowledges and agrees that this Restricted Share Unit Grant Notice and the Award Agreement may not be modified, amended, or revised except as provided in the Plan. Participant further acknowledges that as of the Date of Grant, this Restricted Share Unit Grant Notice, the Award Agreement and the Plan set forth the entire understanding between Participant and the Company regarding the acquisition of the Common Shares pursuant to the Award specified above and supersede all prior oral and written agreements on the terms of this Award, with the exception, if applicable, of (i) equity awards previously granted and delivered to Participant, (ii) any compensation recovery policy that is adopted by the Company or is otherwise required by applicable law and (iii) any written employment or severance arrangement or other written agreement entered into between the Company and Participant specifying the terms that should govern this Award upon the terms and conditions set forth therein.</w:t>
      </w:r>
    </w:p>
    <w:p>
      <w:pPr>
        <w:sectPr>
          <w:pgSz w:w="11900" w:h="16838" w:orient="portrait"/>
          <w:cols w:equalWidth="0" w:num="1">
            <w:col w:w="11020"/>
          </w:cols>
          <w:pgMar w:left="440" w:top="268" w:right="439" w:bottom="1440" w:gutter="0" w:footer="0" w:header="0"/>
        </w:sectPr>
      </w:pPr>
    </w:p>
    <w:bookmarkStart w:id="68" w:name="page69"/>
    <w:bookmarkEnd w:id="68"/>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accepting this Award, Participant acknowledges having received and read the Restricted Share Unit Grant Notice, the Award Agreement and the Plan and agrees to all of the terms and conditions set forth in these documents. Participant consents to receive Plan and related documents by electronic delivery and to participate in the Plan through an on-line or electronic system established and maintained by the Company or another third party designated by the Company. Participant acknowledges and agrees that all information (including personal information) provided to the Company or an Affiliate in order to administer the Plan may be disclosed to third parties (including persons located in jurisdictions other than the Participant’s jurisdiction of residence) and may be disclosed to such persons, in connection with the administration of the Plan.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EPARE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c>
          <w:tcPr>
            <w:tcW w:w="586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ARTICIPANT</w:t>
            </w:r>
          </w:p>
        </w:tc>
      </w:tr>
      <w:tr>
        <w:trPr>
          <w:trHeight w:val="43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ind w:left="1780"/>
              <w:spacing w:after="0" w:line="191" w:lineRule="exact"/>
              <w:rPr>
                <w:sz w:val="20"/>
                <w:szCs w:val="20"/>
                <w:color w:val="auto"/>
              </w:rPr>
            </w:pPr>
            <w:r>
              <w:rPr>
                <w:rFonts w:ascii="Times New Roman" w:cs="Times New Roman" w:eastAsia="Times New Roman" w:hAnsi="Times New Roman"/>
                <w:sz w:val="18"/>
                <w:szCs w:val="18"/>
                <w:color w:val="auto"/>
              </w:rPr>
              <w:t>Signature</w:t>
            </w:r>
          </w:p>
        </w:tc>
        <w:tc>
          <w:tcPr>
            <w:tcW w:w="1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ind w:left="1780"/>
              <w:spacing w:after="0" w:line="191" w:lineRule="exact"/>
              <w:rPr>
                <w:sz w:val="20"/>
                <w:szCs w:val="20"/>
                <w:color w:val="auto"/>
              </w:rPr>
            </w:pPr>
            <w:r>
              <w:rPr>
                <w:rFonts w:ascii="Times New Roman" w:cs="Times New Roman" w:eastAsia="Times New Roman" w:hAnsi="Times New Roman"/>
                <w:sz w:val="18"/>
                <w:szCs w:val="18"/>
                <w:color w:val="auto"/>
              </w:rPr>
              <w:t>Signature</w:t>
            </w:r>
          </w:p>
        </w:tc>
      </w:tr>
      <w:tr>
        <w:trPr>
          <w:trHeight w:val="23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Borders>
              <w:bottom w:val="single" w:sz="8" w:color="auto"/>
            </w:tcBorders>
          </w:tcPr>
          <w:p>
            <w:pPr>
              <w:spacing w:after="0"/>
              <w:rPr>
                <w:sz w:val="20"/>
                <w:szCs w:val="20"/>
                <w:color w:val="auto"/>
              </w:rPr>
            </w:pP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tcBorders>
              <w:bottom w:val="single" w:sz="8" w:color="auto"/>
            </w:tcBorders>
          </w:tcPr>
          <w:p>
            <w:pPr>
              <w:spacing w:after="0"/>
              <w:rPr>
                <w:sz w:val="20"/>
                <w:szCs w:val="20"/>
                <w:color w:val="auto"/>
              </w:rPr>
            </w:pPr>
          </w:p>
        </w:tc>
      </w:tr>
      <w:tr>
        <w:trPr>
          <w:trHeight w:val="439"/>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39"/>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TTACHMENTS</w:t>
            </w:r>
            <w:r>
              <w:rPr>
                <w:rFonts w:ascii="Times New Roman" w:cs="Times New Roman" w:eastAsia="Times New Roman" w:hAnsi="Times New Roman"/>
                <w:sz w:val="18"/>
                <w:szCs w:val="18"/>
                <w:color w:val="auto"/>
              </w:rPr>
              <w:t>: Award Agreement, 2024 Inducement Plan</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69" w:name="page70"/>
    <w:bookmarkEnd w:id="69"/>
    <w:p>
      <w:pPr>
        <w:ind w:left="49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117" w:lineRule="exact"/>
        <w:rPr>
          <w:sz w:val="20"/>
          <w:szCs w:val="20"/>
          <w:color w:val="auto"/>
        </w:rPr>
      </w:pPr>
    </w:p>
    <w:p>
      <w:pPr>
        <w:ind w:left="4384"/>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EPARE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544"/>
        <w:spacing w:after="0"/>
        <w:rPr>
          <w:sz w:val="20"/>
          <w:szCs w:val="20"/>
          <w:color w:val="auto"/>
        </w:rPr>
      </w:pPr>
      <w:r>
        <w:rPr>
          <w:rFonts w:ascii="Times New Roman" w:cs="Times New Roman" w:eastAsia="Times New Roman" w:hAnsi="Times New Roman"/>
          <w:sz w:val="18"/>
          <w:szCs w:val="18"/>
          <w:b w:val="1"/>
          <w:bCs w:val="1"/>
          <w:color w:val="auto"/>
        </w:rPr>
        <w:t>2024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03" w:lineRule="exact"/>
        <w:rPr>
          <w:sz w:val="20"/>
          <w:szCs w:val="20"/>
          <w:color w:val="auto"/>
        </w:rPr>
      </w:pPr>
    </w:p>
    <w:p>
      <w:pPr>
        <w:ind w:left="4" w:right="140" w:firstLine="440"/>
        <w:spacing w:after="0" w:line="257" w:lineRule="auto"/>
        <w:rPr>
          <w:sz w:val="20"/>
          <w:szCs w:val="20"/>
          <w:color w:val="auto"/>
        </w:rPr>
      </w:pPr>
      <w:r>
        <w:rPr>
          <w:rFonts w:ascii="Times New Roman" w:cs="Times New Roman" w:eastAsia="Times New Roman" w:hAnsi="Times New Roman"/>
          <w:sz w:val="18"/>
          <w:szCs w:val="18"/>
          <w:color w:val="auto"/>
        </w:rPr>
        <w:t>Pursuant to the Restricted Share Unit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this Restricted Share Unit Award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Repare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awarded you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a Restricted Share Unit Award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pursuant to the Company’s 2024 Inducement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Share Units/shares indicated in the Grant Notice. The Award is granted in compliance with Nasdaq Listing Rule 5635(c)(4) as a material inducement to you entering into employment with the Company and is aimed exclusively at the prospective retention of the Participant. Capitalized terms not explicitly defined in this Agreement or the Grant Notice shall have the same meanings given to them in the Plan. The terms of your Award, in addition to those set forth in the Grant Notice, are as follows.</w:t>
      </w:r>
    </w:p>
    <w:p>
      <w:pPr>
        <w:spacing w:after="0" w:line="182" w:lineRule="exact"/>
        <w:rPr>
          <w:sz w:val="20"/>
          <w:szCs w:val="20"/>
          <w:color w:val="auto"/>
        </w:rPr>
      </w:pPr>
    </w:p>
    <w:p>
      <w:pPr>
        <w:jc w:val="both"/>
        <w:ind w:left="4" w:right="140" w:firstLine="436"/>
        <w:spacing w:after="0" w:line="262" w:lineRule="auto"/>
        <w:tabs>
          <w:tab w:leader="none" w:pos="624"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 OF 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Award represents the right to be issued on a future date one (1) Common Share for each Restricted Share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vests on the applicable vesting date(s) (subject to any adjustment under Section 3 below) as indicated in the Grant Notice. As of the Date of Grant, the Company will credit to a bookkeeping account maintained by the Company for your benefit (the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the number of Restricted Share Units/Common Shares subject to the Award.</w:t>
      </w:r>
    </w:p>
    <w:p>
      <w:pPr>
        <w:spacing w:after="0" w:line="176" w:lineRule="exact"/>
        <w:rPr>
          <w:rFonts w:ascii="Times New Roman" w:cs="Times New Roman" w:eastAsia="Times New Roman" w:hAnsi="Times New Roman"/>
          <w:sz w:val="18"/>
          <w:szCs w:val="18"/>
          <w:b w:val="1"/>
          <w:bCs w:val="1"/>
          <w:color w:val="auto"/>
        </w:rPr>
      </w:pPr>
    </w:p>
    <w:p>
      <w:pPr>
        <w:ind w:left="4" w:right="260" w:firstLine="436"/>
        <w:spacing w:after="0" w:line="263" w:lineRule="auto"/>
        <w:tabs>
          <w:tab w:leader="none" w:pos="624"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herein, your Award will vest, if at all, in accordance with the vesting schedule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Grant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no vesting date (or concurrent or subsequent Original Issuance Date) shall be later than the day that is three</w:t>
      </w:r>
    </w:p>
    <w:p>
      <w:pPr>
        <w:jc w:val="both"/>
        <w:ind w:left="4" w:hanging="4"/>
        <w:spacing w:after="0" w:line="253"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after the last day of the calendar year in which the performance of services for which the Restricted Share Units are remuneration first occurred (the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Vesting will cease upon the date of termination of your Continuous Service and the Restricted Share Units credited to the Account that were not vested on the date of such termination will be forfeited at no cost to the Company and you will have no further right, title or interest in or to such Award or the Common Shares to be issued in respect of such portion of the Award.</w:t>
      </w:r>
    </w:p>
    <w:p>
      <w:pPr>
        <w:spacing w:after="0" w:line="189" w:lineRule="exact"/>
        <w:rPr>
          <w:sz w:val="20"/>
          <w:szCs w:val="20"/>
          <w:color w:val="auto"/>
        </w:rPr>
      </w:pPr>
    </w:p>
    <w:p>
      <w:pPr>
        <w:ind w:left="4" w:right="80"/>
        <w:spacing w:after="0" w:line="253" w:lineRule="auto"/>
        <w:rPr>
          <w:sz w:val="20"/>
          <w:szCs w:val="20"/>
          <w:color w:val="auto"/>
        </w:rPr>
      </w:pPr>
      <w:r>
        <w:rPr>
          <w:rFonts w:ascii="Times New Roman" w:cs="Times New Roman" w:eastAsia="Times New Roman" w:hAnsi="Times New Roman"/>
          <w:sz w:val="18"/>
          <w:szCs w:val="18"/>
          <w:color w:val="auto"/>
        </w:rPr>
        <w:t>Notwithstanding anything in the Plan, this Award Agreement or any other agreement between you and the Company or an Affiliate, your Continuous Service will be deemed to have terminated on your last day of actual and active employment with the Company or an Affiliate, whether that day is selected by agreement with you, unilaterally by the Company or the applicable Affiliate or otherwise and whether advance notice (pursuant to contract, civil or common law) is or is not given to you. Without limiting the generality of the foregoing, except if required by applicable employment standards legislation, no period of deemed employment in connection with a termination of employment and no period of notice or payment in lieu of notice that follows or is in respect of a period that follows your last day of actual and active employment shall be deemed to extend your period of employment for any purpose, including for the purpose of determining any of your rights or entitlements under the Plan or this Agreement. Except as required by applicable employment standards legislation, you will not be entitled to damages or any compensation for any loss or in lieu of receiving any benefit under the Plan or this Agreement due to the termination of your employment, including compensation or damages in respect of any option that does not vest or is not awarded as a result of the termination of your employment with the Company or an Affiliate.</w:t>
      </w:r>
    </w:p>
    <w:p>
      <w:pPr>
        <w:sectPr>
          <w:pgSz w:w="11900" w:h="16838" w:orient="portrait"/>
          <w:cols w:equalWidth="0" w:num="1">
            <w:col w:w="11004"/>
          </w:cols>
          <w:pgMar w:left="436" w:top="266" w:right="459" w:bottom="1440" w:gutter="0" w:footer="0" w:header="0"/>
        </w:sectPr>
      </w:pPr>
    </w:p>
    <w:bookmarkStart w:id="70" w:name="page71"/>
    <w:bookmarkEnd w:id="70"/>
    <w:p>
      <w:pPr>
        <w:ind w:left="-436" w:firstLine="436"/>
        <w:spacing w:after="0" w:line="257" w:lineRule="auto"/>
        <w:tabs>
          <w:tab w:leader="none" w:pos="184"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w:t>
      </w:r>
      <w:r>
        <w:rPr>
          <w:rFonts w:ascii="Times New Roman" w:cs="Times New Roman" w:eastAsia="Times New Roman" w:hAnsi="Times New Roman"/>
          <w:sz w:val="14"/>
          <w:szCs w:val="14"/>
          <w:b w:val="1"/>
          <w:bCs w:val="1"/>
          <w:color w:val="auto"/>
        </w:rPr>
        <w:t>UMBER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Restricted Share Units subject to your Award may be adjusted from time to time for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as provided in the Plan. Any additional Restricted Share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Share Units and shares covered by your Award. Notwithstanding the provisions of this Section 3, no fractional shares or rights for fractional Common Shares shall be created pursuant to this Section 3. Any fraction of a share will be rounded down to the nearest whole share.</w:t>
      </w:r>
    </w:p>
    <w:p>
      <w:pPr>
        <w:spacing w:after="0" w:line="182" w:lineRule="exact"/>
        <w:rPr>
          <w:rFonts w:ascii="Times New Roman" w:cs="Times New Roman" w:eastAsia="Times New Roman" w:hAnsi="Times New Roman"/>
          <w:sz w:val="18"/>
          <w:szCs w:val="18"/>
          <w:b w:val="1"/>
          <w:bCs w:val="1"/>
          <w:color w:val="auto"/>
        </w:rPr>
      </w:pPr>
    </w:p>
    <w:p>
      <w:pPr>
        <w:ind w:left="-436" w:right="60" w:firstLine="436"/>
        <w:spacing w:after="0" w:line="259" w:lineRule="auto"/>
        <w:tabs>
          <w:tab w:leader="none" w:pos="184"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ECURITIES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18"/>
          <w:szCs w:val="18"/>
          <w:color w:val="auto"/>
        </w:rPr>
        <w:t>. You may not be issued any Common Shares under your Award unless the Common Shares underlying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Share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Shares if the Company determines that such receipt would not be in material compliance with such laws and regulations.</w:t>
      </w:r>
    </w:p>
    <w:p>
      <w:pPr>
        <w:spacing w:after="0" w:line="179" w:lineRule="exact"/>
        <w:rPr>
          <w:rFonts w:ascii="Times New Roman" w:cs="Times New Roman" w:eastAsia="Times New Roman" w:hAnsi="Times New Roman"/>
          <w:sz w:val="18"/>
          <w:szCs w:val="18"/>
          <w:b w:val="1"/>
          <w:bCs w:val="1"/>
          <w:color w:val="auto"/>
        </w:rPr>
      </w:pPr>
    </w:p>
    <w:p>
      <w:pPr>
        <w:ind w:left="-436" w:right="120" w:firstLine="436"/>
        <w:spacing w:after="0" w:line="262" w:lineRule="auto"/>
        <w:tabs>
          <w:tab w:leader="none" w:pos="184"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RANSFER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ESTRICTIONS</w:t>
      </w:r>
      <w:r>
        <w:rPr>
          <w:rFonts w:ascii="Times New Roman" w:cs="Times New Roman" w:eastAsia="Times New Roman" w:hAnsi="Times New Roman"/>
          <w:sz w:val="18"/>
          <w:szCs w:val="18"/>
          <w:color w:val="auto"/>
        </w:rPr>
        <w:t>. Prior to the time that Common Shares have been delivered to you, you may not transfer, pledge, sell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dispose of this Award or the shares issuable in respect of your Award, except as expressly provided in this Section 5. For example, you may not use shares that may be issued in respect of your Restricted Share Units as security for a loan. The restrictions on transfer set forth herein will lapse upon delivery to you of shares in respect of your vested Restricted Share Units.</w:t>
      </w:r>
    </w:p>
    <w:p>
      <w:pPr>
        <w:spacing w:after="0" w:line="176" w:lineRule="exact"/>
        <w:rPr>
          <w:rFonts w:ascii="Times New Roman" w:cs="Times New Roman" w:eastAsia="Times New Roman" w:hAnsi="Times New Roman"/>
          <w:sz w:val="18"/>
          <w:szCs w:val="18"/>
          <w:b w:val="1"/>
          <w:bCs w:val="1"/>
          <w:color w:val="auto"/>
        </w:rPr>
      </w:pPr>
    </w:p>
    <w:p>
      <w:pPr>
        <w:ind w:left="-436" w:right="60" w:firstLine="987"/>
        <w:spacing w:after="0" w:line="268" w:lineRule="auto"/>
        <w:tabs>
          <w:tab w:leader="none" w:pos="810"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Death</w:t>
      </w:r>
      <w:r>
        <w:rPr>
          <w:rFonts w:ascii="Times New Roman" w:cs="Times New Roman" w:eastAsia="Times New Roman" w:hAnsi="Times New Roman"/>
          <w:sz w:val="18"/>
          <w:szCs w:val="18"/>
          <w:color w:val="auto"/>
        </w:rPr>
        <w:t>. Your Award is transferable by will and by the laws of descent and distribution. At your death, vesting of your Award will cease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your executor or administrator of your estate shall be entitled to receive, on behalf of your estate, any Common Shares or other consideration that vested but was not issued before your death.</w:t>
      </w:r>
    </w:p>
    <w:p>
      <w:pPr>
        <w:spacing w:after="0" w:line="170" w:lineRule="exact"/>
        <w:rPr>
          <w:rFonts w:ascii="Times New Roman" w:cs="Times New Roman" w:eastAsia="Times New Roman" w:hAnsi="Times New Roman"/>
          <w:sz w:val="18"/>
          <w:szCs w:val="18"/>
          <w:b w:val="1"/>
          <w:bCs w:val="1"/>
          <w:color w:val="auto"/>
        </w:rPr>
      </w:pPr>
    </w:p>
    <w:p>
      <w:pPr>
        <w:ind w:left="-436" w:right="20" w:firstLine="987"/>
        <w:spacing w:after="0" w:line="256" w:lineRule="auto"/>
        <w:tabs>
          <w:tab w:leader="none" w:pos="820"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Upon receiving written permission from the Board or its duly authorized designee, and provided that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designated transferee enter into transfer and other agreements required by the Company, you may transfer your right to receive the distribution of Common Shares or other consideration hereunder, pursuant to a domestic relations order, marital settlement agreement or other divorce or separation instrument as permitted by applicable law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82"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SSUANCE</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436" w:firstLine="987"/>
        <w:spacing w:after="0" w:line="258" w:lineRule="auto"/>
        <w:tabs>
          <w:tab w:leader="none" w:pos="810"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shares in respect of the Restricted Share Units is intended to comply with Treasury Regulations Section 1.409A-1(b)(4) and will be construed and administered in such a manner. Subject to the satisfaction of the Withholding Obligations set forth in Section 11 of this Agreement, in the event one or more Restricted Share Units vests, the Company shall issue to you one (1) share of Common Shares for each Restricted Share Unit that vests on the applicable vesting date(s) (subject to any adjustment under Section 3 above). Each issuance date determined by this paragraph is referred to as an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w:t>
      </w:r>
    </w:p>
    <w:p>
      <w:pPr>
        <w:sectPr>
          <w:pgSz w:w="11900" w:h="16838" w:orient="portrait"/>
          <w:cols w:equalWidth="0" w:num="1">
            <w:col w:w="10564"/>
          </w:cols>
          <w:pgMar w:left="876" w:top="266" w:right="459" w:bottom="1440" w:gutter="0" w:footer="0" w:header="0"/>
        </w:sectPr>
      </w:pPr>
    </w:p>
    <w:bookmarkStart w:id="71" w:name="page72"/>
    <w:bookmarkEnd w:id="71"/>
    <w:p>
      <w:pPr>
        <w:ind w:left="1260" w:hanging="273"/>
        <w:spacing w:after="0"/>
        <w:tabs>
          <w:tab w:leader="none" w:pos="12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Original Issuance Date falls on a date that is not a business day, delivery shall instead occur on the next following business day.</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if:</w:t>
      </w:r>
    </w:p>
    <w:p>
      <w:pPr>
        <w:spacing w:after="0" w:line="99" w:lineRule="exact"/>
        <w:rPr>
          <w:sz w:val="20"/>
          <w:szCs w:val="20"/>
          <w:color w:val="auto"/>
        </w:rPr>
      </w:pPr>
    </w:p>
    <w:p>
      <w:pPr>
        <w:ind w:right="140" w:firstLine="987"/>
        <w:spacing w:after="0" w:line="258" w:lineRule="auto"/>
        <w:tabs>
          <w:tab w:leader="none" w:pos="1206"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Common Shares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Arrangement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w:t>
      </w:r>
    </w:p>
    <w:p>
      <w:pPr>
        <w:spacing w:after="0" w:line="183" w:lineRule="exact"/>
        <w:rPr>
          <w:rFonts w:ascii="Times New Roman" w:cs="Times New Roman" w:eastAsia="Times New Roman" w:hAnsi="Times New Roman"/>
          <w:sz w:val="18"/>
          <w:szCs w:val="18"/>
          <w:b w:val="1"/>
          <w:bCs w:val="1"/>
          <w:color w:val="auto"/>
        </w:rPr>
      </w:pPr>
    </w:p>
    <w:p>
      <w:pPr>
        <w:jc w:val="both"/>
        <w:ind w:right="120" w:firstLine="987"/>
        <w:spacing w:after="0" w:line="261" w:lineRule="auto"/>
        <w:tabs>
          <w:tab w:leader="none" w:pos="1256"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either (1) a Withholding Obligation does not apply, or (2) the Company decides, prior to the Original Issuance Date, (A) not to permit you to satisfy the Withholding Obligation by surrendering a portion of the Restricted Share Units, on the Original Issuance Date, and (B) not to permit you to enter into a “same day sale” commitment with a broker-dealer pursuant to Section 11 of this Agreement (including but not limited to a commitment under a 10b5-1 Arrangement ) and (C) not to permit you to pay your Withholding Obligation in cash,</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Shares in the open public market, but in no event later than the earlier of (X) the Outside Date; or (Y) either of the following dates: no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18"/>
          <w:szCs w:val="18"/>
          <w:u w:val="single" w:color="auto"/>
          <w:color w:val="auto"/>
        </w:rPr>
        <w:t>if and only if</w:t>
      </w:r>
      <w:r>
        <w:rPr>
          <w:rFonts w:ascii="Times New Roman" w:cs="Times New Roman" w:eastAsia="Times New Roman" w:hAnsi="Times New Roman"/>
          <w:sz w:val="18"/>
          <w:szCs w:val="18"/>
          <w:color w:val="auto"/>
        </w:rPr>
        <w:t xml:space="preserve"> permitted in a manner that complies with Treasury Regulations Section 1.409A-1(b)(4), no later than the date that is the 15th day of the third calendar month of the applicable year following the year in which the Common Shares under this Award are no longer subject to a “substantial risk of forfeiture” within the meaning of Treasury Regulations Section 1.409A-1(d).</w:t>
      </w:r>
    </w:p>
    <w:p>
      <w:pPr>
        <w:spacing w:after="0" w:line="187" w:lineRule="exact"/>
        <w:rPr>
          <w:sz w:val="20"/>
          <w:szCs w:val="20"/>
          <w:color w:val="auto"/>
        </w:rPr>
      </w:pPr>
    </w:p>
    <w:p>
      <w:pPr>
        <w:ind w:left="1240" w:hanging="253"/>
        <w:spacing w:after="0"/>
        <w:tabs>
          <w:tab w:leader="none" w:pos="124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form of delivery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share certificate or electronic entry evidencing such shares) shall be determined by the Company.</w:t>
      </w:r>
    </w:p>
    <w:p>
      <w:pPr>
        <w:spacing w:after="0" w:line="227" w:lineRule="exact"/>
        <w:rPr>
          <w:rFonts w:ascii="Times New Roman" w:cs="Times New Roman" w:eastAsia="Times New Roman" w:hAnsi="Times New Roman"/>
          <w:sz w:val="18"/>
          <w:szCs w:val="18"/>
          <w:b w:val="1"/>
          <w:bCs w:val="1"/>
          <w:color w:val="auto"/>
        </w:rPr>
      </w:pPr>
    </w:p>
    <w:p>
      <w:pPr>
        <w:ind w:right="260" w:firstLine="987"/>
        <w:spacing w:after="0" w:line="282" w:lineRule="auto"/>
        <w:tabs>
          <w:tab w:leader="none" w:pos="1256"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clarity, if the Company elects to pay cash in respect of any portion of the Common Shares underlying any Restricted Share Unit that has vested, such payment shall be made on or before the Outside Date.</w:t>
      </w:r>
    </w:p>
    <w:p>
      <w:pPr>
        <w:spacing w:after="0" w:line="157" w:lineRule="exact"/>
        <w:rPr>
          <w:rFonts w:ascii="Times New Roman" w:cs="Times New Roman" w:eastAsia="Times New Roman" w:hAnsi="Times New Roman"/>
          <w:sz w:val="18"/>
          <w:szCs w:val="18"/>
          <w:b w:val="1"/>
          <w:bCs w:val="1"/>
          <w:color w:val="auto"/>
        </w:rPr>
      </w:pPr>
    </w:p>
    <w:p>
      <w:pPr>
        <w:ind w:right="140" w:firstLine="436"/>
        <w:spacing w:after="0" w:line="268" w:lineRule="auto"/>
        <w:tabs>
          <w:tab w:leader="none" w:pos="6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shall receive no benefit or adjustment to your Award with respect to any cash dividend, share dividend or other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does not result from a Capitalization Adjustment; provided, however, that this sentence will not apply with respect to any Common Shares that are delivered to you in connection with your Award after such shares have been delivered to you.</w:t>
      </w:r>
    </w:p>
    <w:p>
      <w:pPr>
        <w:spacing w:after="0" w:line="170" w:lineRule="exact"/>
        <w:rPr>
          <w:rFonts w:ascii="Times New Roman" w:cs="Times New Roman" w:eastAsia="Times New Roman" w:hAnsi="Times New Roman"/>
          <w:sz w:val="18"/>
          <w:szCs w:val="18"/>
          <w:b w:val="1"/>
          <w:bCs w:val="1"/>
          <w:color w:val="auto"/>
        </w:rPr>
      </w:pPr>
    </w:p>
    <w:p>
      <w:pPr>
        <w:ind w:right="220" w:firstLine="436"/>
        <w:spacing w:after="0" w:line="286" w:lineRule="auto"/>
        <w:tabs>
          <w:tab w:leader="none" w:pos="6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ESTRICTIVE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EGENDS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Common Shares issued in respect of your Award shall be endorsed with appropriate legends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w:t>
      </w:r>
    </w:p>
    <w:p>
      <w:pPr>
        <w:spacing w:after="0" w:line="154" w:lineRule="exact"/>
        <w:rPr>
          <w:rFonts w:ascii="Times New Roman" w:cs="Times New Roman" w:eastAsia="Times New Roman" w:hAnsi="Times New Roman"/>
          <w:sz w:val="18"/>
          <w:szCs w:val="18"/>
          <w:b w:val="1"/>
          <w:bCs w:val="1"/>
          <w:color w:val="auto"/>
        </w:rPr>
      </w:pPr>
    </w:p>
    <w:p>
      <w:pPr>
        <w:ind w:firstLine="436"/>
        <w:spacing w:after="0" w:line="262" w:lineRule="auto"/>
        <w:tabs>
          <w:tab w:leader="none" w:pos="6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XECUTION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hereby acknowledge and agree that the manner selected by the Company by which you indicate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ectPr>
          <w:pgSz w:w="11900" w:h="16838" w:orient="portrait"/>
          <w:cols w:equalWidth="0" w:num="1">
            <w:col w:w="11000"/>
          </w:cols>
          <w:pgMar w:left="440" w:top="270" w:right="459" w:bottom="1440" w:gutter="0" w:footer="0" w:header="0"/>
        </w:sectPr>
      </w:pPr>
    </w:p>
    <w:bookmarkStart w:id="72" w:name="page73"/>
    <w:bookmarkEnd w:id="72"/>
    <w:p>
      <w:pPr>
        <w:ind w:left="704" w:hanging="264"/>
        <w:spacing w:after="0"/>
        <w:tabs>
          <w:tab w:leader="none" w:pos="704"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WARD NOT A</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ONTRACT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4" w:firstLine="987"/>
        <w:spacing w:after="0" w:line="255" w:lineRule="auto"/>
        <w:tabs>
          <w:tab w:leader="none" w:pos="1250" w:val="left"/>
        </w:tabs>
        <w:numPr>
          <w:ilvl w:val="2"/>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your employment without regard to any future vesting opportunity that you may have.</w:t>
      </w:r>
    </w:p>
    <w:p>
      <w:pPr>
        <w:spacing w:after="0" w:line="188" w:lineRule="exact"/>
        <w:rPr>
          <w:rFonts w:ascii="Times New Roman" w:cs="Times New Roman" w:eastAsia="Times New Roman" w:hAnsi="Times New Roman"/>
          <w:sz w:val="18"/>
          <w:szCs w:val="18"/>
          <w:b w:val="1"/>
          <w:bCs w:val="1"/>
          <w:color w:val="auto"/>
        </w:rPr>
      </w:pPr>
    </w:p>
    <w:p>
      <w:pPr>
        <w:ind w:left="4" w:right="40" w:firstLine="987"/>
        <w:spacing w:after="0" w:line="253" w:lineRule="auto"/>
        <w:tabs>
          <w:tab w:leader="none" w:pos="1260" w:val="left"/>
        </w:tabs>
        <w:numPr>
          <w:ilvl w:val="2"/>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an employee, director or consultant at the will of the Company and affiliate, as applicable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w:t>
      </w:r>
      <w:r>
        <w:rPr>
          <w:rFonts w:ascii="Times New Roman" w:cs="Times New Roman" w:eastAsia="Times New Roman" w:hAnsi="Times New Roman"/>
          <w:sz w:val="18"/>
          <w:szCs w:val="18"/>
          <w:b w:val="1"/>
          <w:bCs w:val="1"/>
          <w:i w:val="1"/>
          <w:iCs w:val="1"/>
          <w:color w:val="auto"/>
        </w:rPr>
        <w:t>reorganization</w:t>
      </w:r>
      <w:r>
        <w:rPr>
          <w:rFonts w:ascii="Times New Roman" w:cs="Times New Roman" w:eastAsia="Times New Roman" w:hAnsi="Times New Roman"/>
          <w:sz w:val="18"/>
          <w:szCs w:val="18"/>
          <w:color w:val="auto"/>
        </w:rPr>
        <w:t>”). You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terminate your Continuous Service at any time, with or without your cause, or to conduct a reorganization.</w:t>
      </w:r>
    </w:p>
    <w:p>
      <w:pPr>
        <w:spacing w:after="0" w:line="187"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4" w:right="20" w:firstLine="987"/>
        <w:spacing w:after="0" w:line="261" w:lineRule="auto"/>
        <w:tabs>
          <w:tab w:leader="none" w:pos="1250" w:val="left"/>
        </w:tabs>
        <w:numPr>
          <w:ilvl w:val="2"/>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vesting date, and on or before the time you receive a distribution of the shares underlying your Restricted Share Units, and at any other time as reasonably requested by the Company in accordance with applicable tax laws, you hereby agree to make adequate provision, including in cash, for any sums required to satisfy the federal, state, provincial, local and foreign tax withholding obligations of the Company or any Affiliate that arise in connection with your Award (the “</w:t>
      </w:r>
      <w:r>
        <w:rPr>
          <w:rFonts w:ascii="Times New Roman" w:cs="Times New Roman" w:eastAsia="Times New Roman" w:hAnsi="Times New Roman"/>
          <w:sz w:val="18"/>
          <w:szCs w:val="18"/>
          <w:b w:val="1"/>
          <w:bCs w:val="1"/>
          <w:i w:val="1"/>
          <w:iCs w:val="1"/>
          <w:color w:val="auto"/>
        </w:rPr>
        <w:t>Withholding Obligation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color w:val="auto"/>
        </w:rPr>
      </w:pPr>
    </w:p>
    <w:p>
      <w:pPr>
        <w:ind w:left="4" w:right="260" w:firstLine="987"/>
        <w:spacing w:after="0" w:line="261" w:lineRule="auto"/>
        <w:tabs>
          <w:tab w:leader="none" w:pos="1260" w:val="left"/>
        </w:tabs>
        <w:numPr>
          <w:ilvl w:val="2"/>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accepting this Award, you acknowledge and agree that the Company or any Affiliate may, in its sole discretion, satisfy all or any portion of the Withholding Obligation relating to your Restricted Share Units by any of the following means or by a combination of such means:</w:t>
      </w:r>
    </w:p>
    <w:p>
      <w:pPr>
        <w:ind w:left="224" w:hanging="224"/>
        <w:spacing w:after="0"/>
        <w:tabs>
          <w:tab w:leader="none" w:pos="22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you to pay any portion of the Withholding Obligation in cash; (ii) withholding from any compensation otherwise payable to you by the</w:t>
      </w:r>
    </w:p>
    <w:p>
      <w:pPr>
        <w:spacing w:after="0" w:line="9" w:lineRule="exact"/>
        <w:rPr>
          <w:rFonts w:ascii="Times New Roman" w:cs="Times New Roman" w:eastAsia="Times New Roman" w:hAnsi="Times New Roman"/>
          <w:sz w:val="18"/>
          <w:szCs w:val="18"/>
          <w:color w:val="auto"/>
        </w:rPr>
      </w:pPr>
    </w:p>
    <w:p>
      <w:pPr>
        <w:ind w:left="4"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or any Affiliate; (iii) permitting you to surrender to the Company for cancellation a portion of the Restricted Share Units with a fair market value (measured as of the date Common Shares are issued pursuant to Section 6) equal to the amount of such Withholding Obligation; provided, however, that the number of such Restricted Share Units so surrendered will not exceed the amount necessary to satisfy the Withholding Obligation using the maximum statutory withholding rates for federal, state, provincial, local and foreign tax purposes, including payroll taxes, that are applicable to supplemental taxable income;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further, that to the extent necessary to qualify for an exemption from application of Section 16(b) of the Exchange Act, if applicable, such surrender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Times New Roman" w:cs="Times New Roman" w:eastAsia="Times New Roman" w:hAnsi="Times New Roman"/>
          <w:sz w:val="18"/>
          <w:szCs w:val="18"/>
          <w:b w:val="1"/>
          <w:bCs w:val="1"/>
          <w:i w:val="1"/>
          <w:iCs w:val="1"/>
          <w:color w:val="auto"/>
        </w:rPr>
        <w:t>FINRA Dealer</w:t>
      </w:r>
      <w:r>
        <w:rPr>
          <w:rFonts w:ascii="Times New Roman" w:cs="Times New Roman" w:eastAsia="Times New Roman" w:hAnsi="Times New Roman"/>
          <w:sz w:val="18"/>
          <w:szCs w:val="18"/>
          <w:color w:val="auto"/>
        </w:rPr>
        <w:t>”), pursuant to this authorization and without further consent, whereby you irrevocably elect to sell a portion of the shares to be delivered in connection with your Restricted Share Units to satisfy the Withholding Obligation and whereby the FINRA Dealer irrevocably commits to forward the proceeds necessary to satisfy the Withholding Obligation directly to the Company and/or its Affiliates.</w:t>
      </w:r>
    </w:p>
    <w:p>
      <w:pPr>
        <w:sectPr>
          <w:pgSz w:w="11900" w:h="16838" w:orient="portrait"/>
          <w:cols w:equalWidth="0" w:num="1">
            <w:col w:w="11004"/>
          </w:cols>
          <w:pgMar w:left="436" w:top="266" w:right="459" w:bottom="1440" w:gutter="0" w:footer="0" w:header="0"/>
        </w:sectPr>
      </w:pPr>
    </w:p>
    <w:bookmarkStart w:id="73" w:name="page74"/>
    <w:bookmarkEnd w:id="73"/>
    <w:p>
      <w:pPr>
        <w:jc w:val="both"/>
        <w:ind w:left="-436" w:right="340" w:firstLine="987"/>
        <w:spacing w:after="0" w:line="266" w:lineRule="auto"/>
        <w:tabs>
          <w:tab w:leader="none" w:pos="799"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the Withholding Obligation is satisfied, the Company shall have no obligation to deliver to you any Common Shares or any other consideration pursuant to this Award. If the Withholding Obligation is not satisfied by the Outside Date, any portion of this Award that would correspondingly fail to be settled by the Outside Date shall be forfeited for no consideration.</w:t>
      </w:r>
    </w:p>
    <w:p>
      <w:pPr>
        <w:spacing w:after="0" w:line="175" w:lineRule="exact"/>
        <w:rPr>
          <w:rFonts w:ascii="Times New Roman" w:cs="Times New Roman" w:eastAsia="Times New Roman" w:hAnsi="Times New Roman"/>
          <w:sz w:val="18"/>
          <w:szCs w:val="18"/>
          <w:b w:val="1"/>
          <w:bCs w:val="1"/>
          <w:color w:val="auto"/>
        </w:rPr>
      </w:pPr>
    </w:p>
    <w:p>
      <w:pPr>
        <w:jc w:val="both"/>
        <w:ind w:left="-436" w:right="180" w:firstLine="987"/>
        <w:spacing w:after="0" w:line="266" w:lineRule="auto"/>
        <w:tabs>
          <w:tab w:leader="none" w:pos="820"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the Withholding Obligation arises prior to the delivery to you of Common Shares or it is determined after the delivery of Common Shares to you that the amount of the Withholding Obligation was greater than the amount withheld by the Company, you agree to indemnify and hold the Company harmless from any failure by the Company to withhold the proper amount.</w:t>
      </w:r>
    </w:p>
    <w:p>
      <w:pPr>
        <w:spacing w:after="0" w:line="171" w:lineRule="exact"/>
        <w:rPr>
          <w:rFonts w:ascii="Times New Roman" w:cs="Times New Roman" w:eastAsia="Times New Roman" w:hAnsi="Times New Roman"/>
          <w:sz w:val="18"/>
          <w:szCs w:val="18"/>
          <w:b w:val="1"/>
          <w:bCs w:val="1"/>
          <w:color w:val="auto"/>
        </w:rPr>
      </w:pPr>
    </w:p>
    <w:p>
      <w:pPr>
        <w:ind w:left="-436" w:right="80" w:firstLine="436"/>
        <w:spacing w:after="0" w:line="259" w:lineRule="auto"/>
        <w:tabs>
          <w:tab w:leader="none" w:pos="274"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ONSEQUENCES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no duty or obligation to minimize the tax consequences to you of this Award and shall not be liable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pacing w:after="0" w:line="179" w:lineRule="exact"/>
        <w:rPr>
          <w:rFonts w:ascii="Times New Roman" w:cs="Times New Roman" w:eastAsia="Times New Roman" w:hAnsi="Times New Roman"/>
          <w:sz w:val="18"/>
          <w:szCs w:val="18"/>
          <w:b w:val="1"/>
          <w:bCs w:val="1"/>
          <w:color w:val="auto"/>
        </w:rPr>
      </w:pPr>
    </w:p>
    <w:p>
      <w:pPr>
        <w:ind w:left="-436" w:firstLine="436"/>
        <w:spacing w:after="0" w:line="254" w:lineRule="auto"/>
        <w:tabs>
          <w:tab w:leader="none" w:pos="274"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OCK</w:t>
      </w: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accepting your Award, you agree that you will not sell, dispose of, transfer, make any short sale of, grant any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purchase of, or enter into any hedging or similar transaction with the same economic effect as a sale with respect to any Common Shares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Common Shares until the end of such period. You also agree that any transferee of any Common Shares (or other securities) of the Company held by you will be bound by this Section 13. The underwriters of the Company’s shares are intended third party beneficiaries of this Section 13 and will have the right, power and authority to enforce the provisions hereof as though they were a party hereto.</w:t>
      </w:r>
    </w:p>
    <w:p>
      <w:pPr>
        <w:spacing w:after="0" w:line="182" w:lineRule="exact"/>
        <w:rPr>
          <w:rFonts w:ascii="Times New Roman" w:cs="Times New Roman" w:eastAsia="Times New Roman" w:hAnsi="Times New Roman"/>
          <w:sz w:val="18"/>
          <w:szCs w:val="18"/>
          <w:b w:val="1"/>
          <w:bCs w:val="1"/>
          <w:color w:val="auto"/>
        </w:rPr>
      </w:pPr>
    </w:p>
    <w:p>
      <w:pPr>
        <w:ind w:left="-436" w:right="100" w:firstLine="436"/>
        <w:spacing w:after="0" w:line="257" w:lineRule="auto"/>
        <w:tabs>
          <w:tab w:leader="none" w:pos="274"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4"/>
          <w:szCs w:val="14"/>
          <w:b w:val="1"/>
          <w:bCs w:val="1"/>
          <w:color w:val="auto"/>
        </w:rPr>
        <w:t>NSECURED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Award is unfunded, and as a holder of a vested Award, you shall be considered an unsecured creditor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 respect to the Company’s obligation, if any, to issue shares or other property pursuant to this Agreement. You shall not have voting or any other rights as a shareholder of the Company with respect to the shares to be issued pursuant to this Agreement until such shares are issued to you pursuant to Section 6 of this Agreement. Upon such issuance, you will obtain full voting and other rights as a shareholder of the Company. Nothing contained in this Agreement, and no action taken pursuant to its provisions, shall create or be construed to create a trust of any kind or a fiduciary relationship between you and the Company or any other person.</w:t>
      </w:r>
    </w:p>
    <w:p>
      <w:pPr>
        <w:sectPr>
          <w:pgSz w:w="11900" w:h="16838" w:orient="portrait"/>
          <w:cols w:equalWidth="0" w:num="1">
            <w:col w:w="10564"/>
          </w:cols>
          <w:pgMar w:left="876" w:top="270" w:right="459" w:bottom="1440" w:gutter="0" w:footer="0" w:header="0"/>
        </w:sectPr>
      </w:pPr>
    </w:p>
    <w:bookmarkStart w:id="74" w:name="page75"/>
    <w:bookmarkEnd w:id="74"/>
    <w:p>
      <w:pPr>
        <w:ind w:left="-436" w:firstLine="436"/>
        <w:spacing w:after="0" w:line="257" w:lineRule="auto"/>
        <w:tabs>
          <w:tab w:leader="none" w:pos="274"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18"/>
          <w:szCs w:val="18"/>
          <w:color w:val="auto"/>
        </w:rPr>
        <w:t>. Any notice or request required or permitted hereunder shall be given in writing (including electronically) and will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effectively given upon receipt or, in the case of notices delivered by mail by the Company to you, five (5) days after deposit in the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82" w:lineRule="exact"/>
        <w:rPr>
          <w:rFonts w:ascii="Times New Roman" w:cs="Times New Roman" w:eastAsia="Times New Roman" w:hAnsi="Times New Roman"/>
          <w:sz w:val="18"/>
          <w:szCs w:val="18"/>
          <w:b w:val="1"/>
          <w:bCs w:val="1"/>
          <w:color w:val="auto"/>
        </w:rPr>
      </w:pPr>
    </w:p>
    <w:p>
      <w:pPr>
        <w:ind w:left="-436" w:right="160" w:firstLine="436"/>
        <w:spacing w:after="0" w:line="286" w:lineRule="auto"/>
        <w:tabs>
          <w:tab w:leader="none" w:pos="274"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EADINGS</w:t>
      </w:r>
      <w:r>
        <w:rPr>
          <w:rFonts w:ascii="Times New Roman" w:cs="Times New Roman" w:eastAsia="Times New Roman" w:hAnsi="Times New Roman"/>
          <w:sz w:val="18"/>
          <w:szCs w:val="18"/>
          <w:color w:val="auto"/>
        </w:rPr>
        <w:t>. The headings of the Sections in this Agreement are inserted for convenience only and shall not be deemed to constitute a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or to affect the meaning of this Agreement.</w:t>
      </w:r>
    </w:p>
    <w:p>
      <w:pPr>
        <w:spacing w:after="0" w:line="154"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436" w:right="400" w:firstLine="987"/>
        <w:spacing w:after="0" w:line="282" w:lineRule="auto"/>
        <w:tabs>
          <w:tab w:leader="none" w:pos="810"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161" w:lineRule="exact"/>
        <w:rPr>
          <w:rFonts w:ascii="Times New Roman" w:cs="Times New Roman" w:eastAsia="Times New Roman" w:hAnsi="Times New Roman"/>
          <w:sz w:val="18"/>
          <w:szCs w:val="18"/>
          <w:b w:val="1"/>
          <w:bCs w:val="1"/>
          <w:color w:val="auto"/>
        </w:rPr>
      </w:pPr>
    </w:p>
    <w:p>
      <w:pPr>
        <w:ind w:left="-436" w:right="600" w:firstLine="987"/>
        <w:spacing w:after="0" w:line="282" w:lineRule="auto"/>
        <w:tabs>
          <w:tab w:leader="none" w:pos="820"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agree upon request to execute any further documents or instruments necessary or desirable in the sole determination of the Company to carry out the purposes or intent of your Award.</w:t>
      </w:r>
    </w:p>
    <w:p>
      <w:pPr>
        <w:spacing w:after="0" w:line="161" w:lineRule="exact"/>
        <w:rPr>
          <w:rFonts w:ascii="Times New Roman" w:cs="Times New Roman" w:eastAsia="Times New Roman" w:hAnsi="Times New Roman"/>
          <w:sz w:val="18"/>
          <w:szCs w:val="18"/>
          <w:b w:val="1"/>
          <w:bCs w:val="1"/>
          <w:color w:val="auto"/>
        </w:rPr>
      </w:pPr>
    </w:p>
    <w:p>
      <w:pPr>
        <w:ind w:left="-436" w:right="60" w:firstLine="987"/>
        <w:spacing w:after="0" w:line="282" w:lineRule="auto"/>
        <w:tabs>
          <w:tab w:leader="none" w:pos="799"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61" w:lineRule="exact"/>
        <w:rPr>
          <w:rFonts w:ascii="Times New Roman" w:cs="Times New Roman" w:eastAsia="Times New Roman" w:hAnsi="Times New Roman"/>
          <w:sz w:val="18"/>
          <w:szCs w:val="18"/>
          <w:b w:val="1"/>
          <w:bCs w:val="1"/>
          <w:color w:val="auto"/>
        </w:rPr>
      </w:pPr>
    </w:p>
    <w:p>
      <w:pPr>
        <w:ind w:left="-436" w:right="140" w:firstLine="987"/>
        <w:spacing w:after="0" w:line="282" w:lineRule="auto"/>
        <w:tabs>
          <w:tab w:leader="none" w:pos="820"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be subject to all applicable laws, rules, and regulations, and to such approvals by any governmental agencies or national securities exchanges as may be required.</w:t>
      </w:r>
    </w:p>
    <w:p>
      <w:pPr>
        <w:spacing w:after="0" w:line="161" w:lineRule="exact"/>
        <w:rPr>
          <w:rFonts w:ascii="Times New Roman" w:cs="Times New Roman" w:eastAsia="Times New Roman" w:hAnsi="Times New Roman"/>
          <w:sz w:val="18"/>
          <w:szCs w:val="18"/>
          <w:b w:val="1"/>
          <w:bCs w:val="1"/>
          <w:color w:val="auto"/>
        </w:rPr>
      </w:pPr>
    </w:p>
    <w:p>
      <w:pPr>
        <w:jc w:val="both"/>
        <w:ind w:left="-436" w:right="320" w:firstLine="987"/>
        <w:spacing w:after="0" w:line="266" w:lineRule="auto"/>
        <w:tabs>
          <w:tab w:leader="none" w:pos="799"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5" w:lineRule="exact"/>
        <w:rPr>
          <w:rFonts w:ascii="Times New Roman" w:cs="Times New Roman" w:eastAsia="Times New Roman" w:hAnsi="Times New Roman"/>
          <w:sz w:val="18"/>
          <w:szCs w:val="18"/>
          <w:b w:val="1"/>
          <w:bCs w:val="1"/>
          <w:color w:val="auto"/>
        </w:rPr>
      </w:pPr>
    </w:p>
    <w:p>
      <w:pPr>
        <w:ind w:left="-436" w:right="80" w:firstLine="987"/>
        <w:spacing w:after="0" w:line="266" w:lineRule="auto"/>
        <w:tabs>
          <w:tab w:leader="none" w:pos="780"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acknowledge and agree that your participation in the Plan and acceptance of your option is entirely voluntary and not obligatory and shall not be interpreted as conferring upon you any rights or privileges other than those rights and privileges expressly provided in the Plan and this Agreement.</w:t>
      </w:r>
    </w:p>
    <w:p>
      <w:pPr>
        <w:spacing w:after="0" w:line="175" w:lineRule="exact"/>
        <w:rPr>
          <w:rFonts w:ascii="Times New Roman" w:cs="Times New Roman" w:eastAsia="Times New Roman" w:hAnsi="Times New Roman"/>
          <w:sz w:val="18"/>
          <w:szCs w:val="18"/>
          <w:b w:val="1"/>
          <w:bCs w:val="1"/>
          <w:color w:val="auto"/>
        </w:rPr>
      </w:pPr>
    </w:p>
    <w:p>
      <w:pPr>
        <w:ind w:left="-436" w:right="20" w:firstLine="987"/>
        <w:spacing w:after="0" w:line="256" w:lineRule="auto"/>
        <w:tabs>
          <w:tab w:leader="none" w:pos="810"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By accepting your Award under the Plan and this Agreement, the Participant confirms that it is the Participant’s express wish to receive such documents in English only and to sign and be bound only by such English version and to receive all other documents related to any award or the Plan and this Agreement, including notices, in the English language only and declare that the Participant is satisfied with this. </w:t>
      </w:r>
      <w:r>
        <w:rPr>
          <w:rFonts w:ascii="Times New Roman" w:cs="Times New Roman" w:eastAsia="Times New Roman" w:hAnsi="Times New Roman"/>
          <w:sz w:val="18"/>
          <w:szCs w:val="18"/>
          <w:i w:val="1"/>
          <w:iCs w:val="1"/>
          <w:color w:val="auto"/>
        </w:rPr>
        <w:t>En acceptant tout octroi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aux termes du régime et de la présente convention, le participant confirme sa volonté expresse de recevoir ces documents en langue anglaise seulement, et de signer et d’être lié par la version anglaise seulement et de recevoir tous les autres documents afférents à tout octroi ou au régime, y compris les avis, en langue anglaise seulement et s’en déclare satisfait..</w:t>
      </w:r>
    </w:p>
    <w:p>
      <w:pPr>
        <w:spacing w:after="0" w:line="183" w:lineRule="exact"/>
        <w:rPr>
          <w:rFonts w:ascii="Times New Roman" w:cs="Times New Roman" w:eastAsia="Times New Roman" w:hAnsi="Times New Roman"/>
          <w:sz w:val="18"/>
          <w:szCs w:val="18"/>
          <w:b w:val="1"/>
          <w:bCs w:val="1"/>
          <w:color w:val="auto"/>
        </w:rPr>
      </w:pPr>
    </w:p>
    <w:p>
      <w:pPr>
        <w:jc w:val="both"/>
        <w:ind w:left="-436" w:right="240" w:firstLine="436"/>
        <w:spacing w:after="0" w:line="268" w:lineRule="auto"/>
        <w:tabs>
          <w:tab w:leader="none" w:pos="274"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18"/>
          <w:szCs w:val="18"/>
          <w:color w:val="auto"/>
        </w:rPr>
        <w:t>. Your Award is subject to all the provisions of the Plan, the provisions of which are hereby made a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Award, and is further subject to all interpretations, amendments, rules and regulations which may from time to time be promulgated and adopted pursuant to the Plan. Your Award (and any compensation paid or shares issued under your Award) is subject to</w:t>
      </w:r>
    </w:p>
    <w:p>
      <w:pPr>
        <w:sectPr>
          <w:pgSz w:w="11900" w:h="16838" w:orient="portrait"/>
          <w:cols w:equalWidth="0" w:num="1">
            <w:col w:w="10564"/>
          </w:cols>
          <w:pgMar w:left="876" w:top="266" w:right="459" w:bottom="1440" w:gutter="0" w:footer="0" w:header="0"/>
        </w:sectPr>
      </w:pPr>
    </w:p>
    <w:bookmarkStart w:id="75" w:name="page76"/>
    <w:bookmarkEnd w:id="75"/>
    <w:p>
      <w:pPr>
        <w:jc w:val="both"/>
        <w:ind w:left="4"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76" w:lineRule="exact"/>
        <w:rPr>
          <w:sz w:val="20"/>
          <w:szCs w:val="20"/>
          <w:color w:val="auto"/>
        </w:rPr>
      </w:pPr>
    </w:p>
    <w:p>
      <w:pPr>
        <w:ind w:left="4" w:right="80" w:firstLine="436"/>
        <w:spacing w:after="0" w:line="262" w:lineRule="auto"/>
        <w:tabs>
          <w:tab w:leader="none" w:pos="714"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FFECT 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value of the Award subject to this Agreement shall not be included as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76" w:lineRule="exact"/>
        <w:rPr>
          <w:rFonts w:ascii="Times New Roman" w:cs="Times New Roman" w:eastAsia="Times New Roman" w:hAnsi="Times New Roman"/>
          <w:sz w:val="18"/>
          <w:szCs w:val="18"/>
          <w:b w:val="1"/>
          <w:bCs w:val="1"/>
          <w:color w:val="auto"/>
        </w:rPr>
      </w:pPr>
    </w:p>
    <w:p>
      <w:pPr>
        <w:ind w:left="4" w:right="40" w:firstLine="436"/>
        <w:spacing w:after="0" w:line="262" w:lineRule="auto"/>
        <w:tabs>
          <w:tab w:leader="none" w:pos="714"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color w:val="auto"/>
        </w:rPr>
        <w:t>. If all or any part of this Agreement or the Plan is declared by any court or governmental authority to be unlawful or invalid,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OCUMENTS</w:t>
      </w:r>
      <w:r>
        <w:rPr>
          <w:rFonts w:ascii="Times New Roman" w:cs="Times New Roman" w:eastAsia="Times New Roman" w:hAnsi="Times New Roman"/>
          <w:sz w:val="18"/>
          <w:szCs w:val="18"/>
          <w:color w:val="auto"/>
        </w:rPr>
        <w:t>. You hereby acknowledge receipt or the right to receive a document providing the information required by Rule 428(b)</w:t>
      </w:r>
    </w:p>
    <w:p>
      <w:pPr>
        <w:spacing w:after="0" w:line="31" w:lineRule="exact"/>
        <w:rPr>
          <w:rFonts w:ascii="Times New Roman" w:cs="Times New Roman" w:eastAsia="Times New Roman" w:hAnsi="Times New Roman"/>
          <w:sz w:val="18"/>
          <w:szCs w:val="18"/>
          <w:b w:val="1"/>
          <w:bCs w:val="1"/>
          <w:color w:val="auto"/>
        </w:rPr>
      </w:pPr>
    </w:p>
    <w:p>
      <w:pPr>
        <w:ind w:left="4" w:right="320" w:hanging="4"/>
        <w:spacing w:after="0" w:line="260" w:lineRule="auto"/>
        <w:tabs>
          <w:tab w:leader="none" w:pos="25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77" w:lineRule="exact"/>
        <w:rPr>
          <w:rFonts w:ascii="Times New Roman" w:cs="Times New Roman" w:eastAsia="Times New Roman" w:hAnsi="Times New Roman"/>
          <w:sz w:val="18"/>
          <w:szCs w:val="18"/>
          <w:color w:val="auto"/>
        </w:rPr>
      </w:pPr>
    </w:p>
    <w:p>
      <w:pPr>
        <w:ind w:left="4" w:right="60" w:firstLine="436"/>
        <w:spacing w:after="0" w:line="255" w:lineRule="auto"/>
        <w:tabs>
          <w:tab w:leader="none" w:pos="714"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not be modified, amended or terminated except by an instrument in writing, signed by you and by a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84" w:lineRule="exact"/>
        <w:rPr>
          <w:rFonts w:ascii="Times New Roman" w:cs="Times New Roman" w:eastAsia="Times New Roman" w:hAnsi="Times New Roman"/>
          <w:sz w:val="18"/>
          <w:szCs w:val="18"/>
          <w:b w:val="1"/>
          <w:bCs w:val="1"/>
          <w:color w:val="auto"/>
        </w:rPr>
      </w:pPr>
    </w:p>
    <w:p>
      <w:pPr>
        <w:ind w:left="4" w:firstLine="436"/>
        <w:spacing w:after="0" w:line="254" w:lineRule="auto"/>
        <w:tabs>
          <w:tab w:leader="none" w:pos="714"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OMPLIANCE WITH</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409A </w:t>
      </w:r>
      <w:r>
        <w:rPr>
          <w:rFonts w:ascii="Times New Roman" w:cs="Times New Roman" w:eastAsia="Times New Roman" w:hAnsi="Times New Roman"/>
          <w:sz w:val="14"/>
          <w:szCs w:val="14"/>
          <w:b w:val="1"/>
          <w:bCs w:val="1"/>
          <w:color w:val="auto"/>
        </w:rPr>
        <w:t>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ODE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Award is intended to be exempt from the application of Section 409A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w:t>
      </w:r>
    </w:p>
    <w:p>
      <w:pPr>
        <w:sectPr>
          <w:pgSz w:w="11900" w:h="16838" w:orient="portrait"/>
          <w:cols w:equalWidth="0" w:num="1">
            <w:col w:w="10984"/>
          </w:cols>
          <w:pgMar w:left="436" w:top="270" w:right="479" w:bottom="1440" w:gutter="0" w:footer="0" w:header="0"/>
        </w:sectPr>
      </w:pPr>
    </w:p>
    <w:bookmarkStart w:id="76" w:name="page77"/>
    <w:bookmarkEnd w:id="7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Restricted Share Unit Award Agreement shall be deemed to be signed by the Company and the Participant upon the signing by the Participant of the Restricted Share Unit Grant Notice to which it is attached.</w:t>
      </w:r>
    </w:p>
    <w:p>
      <w:pPr>
        <w:sectPr>
          <w:pgSz w:w="11900" w:h="16838" w:orient="portrait"/>
          <w:cols w:equalWidth="0" w:num="1">
            <w:col w:w="11000"/>
          </w:cols>
          <w:pgMar w:left="440" w:top="270" w:right="45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2024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ectPr>
          <w:pgSz w:w="11900" w:h="16838" w:orient="portrait"/>
          <w:cols w:equalWidth="0" w:num="1">
            <w:col w:w="9019"/>
          </w:cols>
          <w:pgMar w:left="1440" w:top="266" w:right="1440"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Securities</w:t>
      </w:r>
    </w:p>
    <w:p>
      <w:pPr>
        <w:spacing w:after="0" w:line="254" w:lineRule="exact"/>
        <w:rPr>
          <w:sz w:val="20"/>
          <w:szCs w:val="20"/>
          <w:color w:val="auto"/>
        </w:rPr>
      </w:pPr>
    </w:p>
    <w:tbl>
      <w:tblPr>
        <w:tblLayout w:type="fixed"/>
        <w:tblInd w:w="1174" w:type="dxa"/>
        <w:tblCellMar>
          <w:top w:w="0" w:type="dxa"/>
          <w:left w:w="0" w:type="dxa"/>
          <w:bottom w:w="0" w:type="dxa"/>
          <w:right w:w="0" w:type="dxa"/>
        </w:tblCellMar>
      </w:tblPr>
      <w:tr>
        <w:trPr>
          <w:trHeight w:val="157"/>
        </w:trPr>
        <w:tc>
          <w:tcPr>
            <w:tcW w:w="880" w:type="dxa"/>
            <w:vAlign w:val="bottom"/>
            <w:tcBorders>
              <w:top w:val="single" w:sz="8" w:color="auto"/>
              <w:left w:val="single" w:sz="8" w:color="auto"/>
              <w:right w:val="single" w:sz="8" w:color="auto"/>
            </w:tcBorders>
          </w:tcPr>
          <w:p>
            <w:pPr>
              <w:spacing w:after="0"/>
              <w:rPr>
                <w:sz w:val="13"/>
                <w:szCs w:val="13"/>
                <w:color w:val="auto"/>
              </w:rPr>
            </w:pPr>
          </w:p>
        </w:tc>
        <w:tc>
          <w:tcPr>
            <w:tcW w:w="1420" w:type="dxa"/>
            <w:vAlign w:val="bottom"/>
            <w:tcBorders>
              <w:top w:val="single" w:sz="8" w:color="auto"/>
              <w:right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color w:val="auto"/>
                <w:w w:val="94"/>
              </w:rPr>
              <w:t>Proposed</w:t>
            </w:r>
          </w:p>
        </w:tc>
        <w:tc>
          <w:tcPr>
            <w:tcW w:w="1240" w:type="dxa"/>
            <w:vAlign w:val="bottom"/>
            <w:tcBorders>
              <w:top w:val="single" w:sz="8" w:color="auto"/>
            </w:tcBorders>
            <w:vMerge w:val="restart"/>
          </w:tcPr>
          <w:p>
            <w:pPr>
              <w:jc w:val="center"/>
              <w:ind w:left="128"/>
              <w:spacing w:after="0"/>
              <w:rPr>
                <w:sz w:val="20"/>
                <w:szCs w:val="20"/>
                <w:color w:val="auto"/>
              </w:rPr>
            </w:pPr>
            <w:r>
              <w:rPr>
                <w:rFonts w:ascii="Times New Roman" w:cs="Times New Roman" w:eastAsia="Times New Roman" w:hAnsi="Times New Roman"/>
                <w:sz w:val="13"/>
                <w:szCs w:val="13"/>
                <w:color w:val="auto"/>
                <w:w w:val="95"/>
              </w:rPr>
              <w:t>Maximum</w:t>
            </w:r>
          </w:p>
        </w:tc>
        <w:tc>
          <w:tcPr>
            <w:tcW w:w="18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880" w:type="dxa"/>
            <w:vAlign w:val="bottom"/>
            <w:tcBorders>
              <w:left w:val="single" w:sz="8" w:color="auto"/>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right w:val="single" w:sz="8" w:color="auto"/>
            </w:tcBorders>
          </w:tcPr>
          <w:p>
            <w:pPr>
              <w:jc w:val="center"/>
              <w:ind w:right="53"/>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24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right w:val="single" w:sz="8" w:color="auto"/>
            </w:tcBorders>
          </w:tcPr>
          <w:p>
            <w:pPr>
              <w:jc w:val="center"/>
              <w:ind w:right="53"/>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240" w:type="dxa"/>
            <w:vAlign w:val="bottom"/>
          </w:tcPr>
          <w:p>
            <w:pPr>
              <w:jc w:val="center"/>
              <w:ind w:left="128"/>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right w:val="single" w:sz="8" w:color="auto"/>
            </w:tcBorders>
          </w:tcPr>
          <w:p>
            <w:pPr>
              <w:jc w:val="center"/>
              <w:ind w:right="82"/>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160" w:type="dxa"/>
            <w:vAlign w:val="bottom"/>
          </w:tcPr>
          <w:p>
            <w:pPr>
              <w:spacing w:after="0"/>
              <w:rPr>
                <w:sz w:val="11"/>
                <w:szCs w:val="11"/>
                <w:color w:val="auto"/>
              </w:rPr>
            </w:pPr>
          </w:p>
        </w:tc>
        <w:tc>
          <w:tcPr>
            <w:tcW w:w="840" w:type="dxa"/>
            <w:vAlign w:val="bottom"/>
            <w:tcBorders>
              <w:right w:val="single" w:sz="8" w:color="auto"/>
            </w:tcBorders>
          </w:tcPr>
          <w:p>
            <w:pPr>
              <w:jc w:val="center"/>
              <w:ind w:right="73"/>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240" w:type="dxa"/>
            <w:vAlign w:val="bottom"/>
          </w:tcPr>
          <w:p>
            <w:pPr>
              <w:jc w:val="center"/>
              <w:ind w:left="128"/>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40" w:type="dxa"/>
            <w:vAlign w:val="bottom"/>
          </w:tcPr>
          <w:p>
            <w:pPr>
              <w:spacing w:after="0"/>
              <w:rPr>
                <w:sz w:val="11"/>
                <w:szCs w:val="11"/>
                <w:color w:val="auto"/>
              </w:rPr>
            </w:pPr>
          </w:p>
        </w:tc>
        <w:tc>
          <w:tcPr>
            <w:tcW w:w="900" w:type="dxa"/>
            <w:vAlign w:val="bottom"/>
            <w:tcBorders>
              <w:right w:val="single" w:sz="8" w:color="auto"/>
            </w:tcBorders>
          </w:tcPr>
          <w:p>
            <w:pPr>
              <w:jc w:val="center"/>
              <w:ind w:right="82"/>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5"/>
        </w:trPr>
        <w:tc>
          <w:tcPr>
            <w:tcW w:w="88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3"/>
                <w:szCs w:val="13"/>
                <w:color w:val="auto"/>
                <w:w w:val="95"/>
              </w:rPr>
              <w:t>Security Type</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Rule</w:t>
            </w:r>
          </w:p>
        </w:tc>
        <w:tc>
          <w:tcPr>
            <w:tcW w:w="100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91"/>
              </w:rPr>
              <w:t>Registered</w:t>
            </w:r>
            <w:r>
              <w:rPr>
                <w:rFonts w:ascii="Times New Roman" w:cs="Times New Roman" w:eastAsia="Times New Roman" w:hAnsi="Times New Roman"/>
                <w:sz w:val="18"/>
                <w:szCs w:val="18"/>
                <w:color w:val="auto"/>
                <w:w w:val="91"/>
                <w:vertAlign w:val="superscript"/>
              </w:rPr>
              <w:t>(1)</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color w:val="auto"/>
                <w:w w:val="94"/>
              </w:rPr>
              <w:t>Unit</w:t>
            </w:r>
          </w:p>
        </w:tc>
        <w:tc>
          <w:tcPr>
            <w:tcW w:w="124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3"/>
                <w:szCs w:val="13"/>
                <w:color w:val="auto"/>
                <w:w w:val="97"/>
              </w:rPr>
              <w:t>Price</w:t>
            </w:r>
          </w:p>
        </w:tc>
        <w:tc>
          <w:tcPr>
            <w:tcW w:w="1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center"/>
              <w:ind w:right="82"/>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05"/>
        </w:trPr>
        <w:tc>
          <w:tcPr>
            <w:tcW w:w="880" w:type="dxa"/>
            <w:vAlign w:val="bottom"/>
            <w:tcBorders>
              <w:left w:val="single" w:sz="8" w:color="auto"/>
              <w:right w:val="single" w:sz="8" w:color="auto"/>
            </w:tcBorders>
          </w:tcPr>
          <w:p>
            <w:pPr>
              <w:jc w:val="center"/>
              <w:ind w:left="44"/>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14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Common shares,</w:t>
            </w:r>
          </w:p>
        </w:tc>
        <w:tc>
          <w:tcPr>
            <w:tcW w:w="8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no par value per</w:t>
            </w:r>
          </w:p>
        </w:tc>
        <w:tc>
          <w:tcPr>
            <w:tcW w:w="8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80" w:type="dxa"/>
            <w:vAlign w:val="bottom"/>
            <w:tcBorders>
              <w:left w:val="single" w:sz="8" w:color="auto"/>
              <w:bottom w:val="single" w:sz="8" w:color="auto"/>
              <w:right w:val="single" w:sz="8" w:color="auto"/>
            </w:tcBorders>
          </w:tcPr>
          <w:p>
            <w:pPr>
              <w:spacing w:after="0"/>
              <w:rPr>
                <w:sz w:val="22"/>
                <w:szCs w:val="22"/>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   Other </w:t>
            </w:r>
          </w:p>
        </w:tc>
        <w:tc>
          <w:tcPr>
            <w:tcW w:w="1000" w:type="dxa"/>
            <w:vAlign w:val="bottom"/>
            <w:tcBorders>
              <w:bottom w:val="single" w:sz="8" w:color="auto"/>
              <w:right w:val="single" w:sz="8" w:color="auto"/>
            </w:tcBorders>
          </w:tcPr>
          <w:p>
            <w:pPr>
              <w:ind w:left="60"/>
              <w:spacing w:after="0" w:line="261" w:lineRule="exact"/>
              <w:rPr>
                <w:sz w:val="20"/>
                <w:szCs w:val="20"/>
                <w:color w:val="auto"/>
              </w:rPr>
            </w:pPr>
            <w:r>
              <w:rPr>
                <w:rFonts w:ascii="Times New Roman" w:cs="Times New Roman" w:eastAsia="Times New Roman" w:hAnsi="Times New Roman"/>
                <w:sz w:val="18"/>
                <w:szCs w:val="18"/>
                <w:color w:val="auto"/>
                <w:w w:val="97"/>
              </w:rPr>
              <w:t>  350,000</w:t>
            </w:r>
            <w:r>
              <w:rPr>
                <w:rFonts w:ascii="Times New Roman" w:cs="Times New Roman" w:eastAsia="Times New Roman" w:hAnsi="Times New Roman"/>
                <w:sz w:val="26"/>
                <w:szCs w:val="26"/>
                <w:color w:val="auto"/>
                <w:w w:val="97"/>
                <w:vertAlign w:val="superscript"/>
              </w:rPr>
              <w:t>(2)</w:t>
            </w:r>
            <w:r>
              <w:rPr>
                <w:rFonts w:ascii="Times New Roman" w:cs="Times New Roman" w:eastAsia="Times New Roman" w:hAnsi="Times New Roman"/>
                <w:sz w:val="18"/>
                <w:szCs w:val="18"/>
                <w:color w:val="auto"/>
                <w:w w:val="97"/>
              </w:rPr>
              <w:t xml:space="preserve">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840" w:type="dxa"/>
            <w:vAlign w:val="bottom"/>
            <w:tcBorders>
              <w:bottom w:val="single" w:sz="8" w:color="auto"/>
              <w:right w:val="single" w:sz="8" w:color="auto"/>
            </w:tcBorders>
          </w:tcPr>
          <w:p>
            <w:pPr>
              <w:ind w:left="80"/>
              <w:spacing w:after="0" w:line="261" w:lineRule="exact"/>
              <w:rPr>
                <w:sz w:val="20"/>
                <w:szCs w:val="20"/>
                <w:color w:val="auto"/>
              </w:rPr>
            </w:pPr>
            <w:r>
              <w:rPr>
                <w:rFonts w:ascii="Times New Roman" w:cs="Times New Roman" w:eastAsia="Times New Roman" w:hAnsi="Times New Roman"/>
                <w:sz w:val="18"/>
                <w:szCs w:val="18"/>
                <w:color w:val="auto"/>
              </w:rPr>
              <w:t>$3.17</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w:t>
            </w: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3"/>
              </w:rPr>
              <w:t>     $1,109,500 </w:t>
            </w:r>
          </w:p>
        </w:tc>
        <w:tc>
          <w:tcPr>
            <w:tcW w:w="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  0.00014760 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900" w:type="dxa"/>
            <w:vAlign w:val="bottom"/>
            <w:tcBorders>
              <w:bottom w:val="single" w:sz="8" w:color="auto"/>
              <w:right w:val="single" w:sz="8" w:color="auto"/>
            </w:tcBorders>
          </w:tcPr>
          <w:p>
            <w:pPr>
              <w:jc w:val="center"/>
              <w:ind w:right="82"/>
              <w:spacing w:after="0"/>
              <w:rPr>
                <w:sz w:val="20"/>
                <w:szCs w:val="20"/>
                <w:color w:val="auto"/>
              </w:rPr>
            </w:pPr>
            <w:r>
              <w:rPr>
                <w:rFonts w:ascii="Times New Roman" w:cs="Times New Roman" w:eastAsia="Times New Roman" w:hAnsi="Times New Roman"/>
                <w:sz w:val="18"/>
                <w:szCs w:val="18"/>
                <w:color w:val="auto"/>
                <w:w w:val="99"/>
              </w:rPr>
              <w:t>$163.76</w:t>
            </w:r>
          </w:p>
        </w:tc>
        <w:tc>
          <w:tcPr>
            <w:tcW w:w="0" w:type="dxa"/>
            <w:vAlign w:val="bottom"/>
          </w:tcPr>
          <w:p>
            <w:pPr>
              <w:spacing w:after="0"/>
              <w:rPr>
                <w:sz w:val="1"/>
                <w:szCs w:val="1"/>
                <w:color w:val="auto"/>
              </w:rPr>
            </w:pPr>
          </w:p>
        </w:tc>
      </w:tr>
      <w:tr>
        <w:trPr>
          <w:trHeight w:val="228"/>
        </w:trPr>
        <w:tc>
          <w:tcPr>
            <w:tcW w:w="880" w:type="dxa"/>
            <w:vAlign w:val="bottom"/>
            <w:tcBorders>
              <w:left w:val="single" w:sz="8" w:color="auto"/>
            </w:tcBorders>
          </w:tcPr>
          <w:p>
            <w:pPr>
              <w:spacing w:after="0"/>
              <w:rPr>
                <w:sz w:val="19"/>
                <w:szCs w:val="19"/>
                <w:color w:val="auto"/>
              </w:rPr>
            </w:pPr>
          </w:p>
        </w:tc>
        <w:tc>
          <w:tcPr>
            <w:tcW w:w="2260" w:type="dxa"/>
            <w:vAlign w:val="bottom"/>
            <w:gridSpan w:val="2"/>
          </w:tcPr>
          <w:p>
            <w:pPr>
              <w:jc w:val="center"/>
              <w:ind w:left="159"/>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0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240" w:type="dxa"/>
            <w:vAlign w:val="bottom"/>
          </w:tcPr>
          <w:p>
            <w:pPr>
              <w:jc w:val="center"/>
              <w:ind w:left="128"/>
              <w:spacing w:after="0"/>
              <w:rPr>
                <w:sz w:val="20"/>
                <w:szCs w:val="20"/>
                <w:color w:val="auto"/>
              </w:rPr>
            </w:pPr>
            <w:r>
              <w:rPr>
                <w:rFonts w:ascii="Times New Roman" w:cs="Times New Roman" w:eastAsia="Times New Roman" w:hAnsi="Times New Roman"/>
                <w:sz w:val="18"/>
                <w:szCs w:val="18"/>
                <w:color w:val="auto"/>
                <w:w w:val="98"/>
              </w:rPr>
              <w:t>$1,109,500</w:t>
            </w:r>
          </w:p>
        </w:tc>
        <w:tc>
          <w:tcPr>
            <w:tcW w:w="18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right w:val="single" w:sz="8" w:color="auto"/>
            </w:tcBorders>
          </w:tcPr>
          <w:p>
            <w:pPr>
              <w:jc w:val="center"/>
              <w:ind w:right="82"/>
              <w:spacing w:after="0"/>
              <w:rPr>
                <w:sz w:val="20"/>
                <w:szCs w:val="20"/>
                <w:color w:val="auto"/>
              </w:rPr>
            </w:pPr>
            <w:r>
              <w:rPr>
                <w:rFonts w:ascii="Times New Roman" w:cs="Times New Roman" w:eastAsia="Times New Roman" w:hAnsi="Times New Roman"/>
                <w:sz w:val="18"/>
                <w:szCs w:val="18"/>
                <w:color w:val="auto"/>
                <w:w w:val="99"/>
              </w:rPr>
              <w:t>$163.76</w:t>
            </w:r>
          </w:p>
        </w:tc>
        <w:tc>
          <w:tcPr>
            <w:tcW w:w="0" w:type="dxa"/>
            <w:vAlign w:val="bottom"/>
          </w:tcPr>
          <w:p>
            <w:pPr>
              <w:spacing w:after="0"/>
              <w:rPr>
                <w:sz w:val="1"/>
                <w:szCs w:val="1"/>
                <w:color w:val="auto"/>
              </w:rPr>
            </w:pPr>
          </w:p>
        </w:tc>
      </w:tr>
      <w:tr>
        <w:trPr>
          <w:trHeight w:val="22"/>
        </w:trPr>
        <w:tc>
          <w:tcPr>
            <w:tcW w:w="8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880" w:type="dxa"/>
            <w:vAlign w:val="bottom"/>
            <w:tcBorders>
              <w:left w:val="single" w:sz="8" w:color="auto"/>
              <w:bottom w:val="single" w:sz="8" w:color="auto"/>
            </w:tcBorders>
          </w:tcPr>
          <w:p>
            <w:pPr>
              <w:spacing w:after="0"/>
              <w:rPr>
                <w:sz w:val="20"/>
                <w:szCs w:val="20"/>
                <w:color w:val="auto"/>
              </w:rPr>
            </w:pPr>
          </w:p>
        </w:tc>
        <w:tc>
          <w:tcPr>
            <w:tcW w:w="226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0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ind w:right="82"/>
              <w:spacing w:after="0"/>
              <w:rPr>
                <w:sz w:val="20"/>
                <w:szCs w:val="20"/>
                <w:color w:val="auto"/>
              </w:rPr>
            </w:pPr>
            <w:r>
              <w:rPr>
                <w:rFonts w:ascii="Times New Roman" w:cs="Times New Roman" w:eastAsia="Times New Roman" w:hAnsi="Times New Roman"/>
                <w:sz w:val="18"/>
                <w:szCs w:val="18"/>
                <w:color w:val="auto"/>
                <w:w w:val="93"/>
              </w:rPr>
              <w:t>$       —</w:t>
            </w:r>
          </w:p>
        </w:tc>
        <w:tc>
          <w:tcPr>
            <w:tcW w:w="0" w:type="dxa"/>
            <w:vAlign w:val="bottom"/>
          </w:tcPr>
          <w:p>
            <w:pPr>
              <w:spacing w:after="0"/>
              <w:rPr>
                <w:sz w:val="1"/>
                <w:szCs w:val="1"/>
                <w:color w:val="auto"/>
              </w:rPr>
            </w:pPr>
          </w:p>
        </w:tc>
      </w:tr>
      <w:tr>
        <w:trPr>
          <w:trHeight w:val="232"/>
        </w:trPr>
        <w:tc>
          <w:tcPr>
            <w:tcW w:w="880" w:type="dxa"/>
            <w:vAlign w:val="bottom"/>
            <w:tcBorders>
              <w:left w:val="single" w:sz="8" w:color="auto"/>
            </w:tcBorders>
          </w:tcPr>
          <w:p>
            <w:pPr>
              <w:spacing w:after="0"/>
              <w:rPr>
                <w:sz w:val="20"/>
                <w:szCs w:val="20"/>
                <w:color w:val="auto"/>
              </w:rPr>
            </w:pPr>
          </w:p>
        </w:tc>
        <w:tc>
          <w:tcPr>
            <w:tcW w:w="2260" w:type="dxa"/>
            <w:vAlign w:val="bottom"/>
            <w:gridSpan w:val="2"/>
          </w:tcPr>
          <w:p>
            <w:pPr>
              <w:jc w:val="center"/>
              <w:ind w:left="159"/>
              <w:spacing w:after="0"/>
              <w:rPr>
                <w:sz w:val="20"/>
                <w:szCs w:val="20"/>
                <w:color w:val="auto"/>
              </w:rPr>
            </w:pPr>
            <w:r>
              <w:rPr>
                <w:rFonts w:ascii="Times New Roman" w:cs="Times New Roman" w:eastAsia="Times New Roman" w:hAnsi="Times New Roman"/>
                <w:sz w:val="18"/>
                <w:szCs w:val="18"/>
                <w:color w:val="auto"/>
                <w:w w:val="98"/>
              </w:rPr>
              <w:t>Net Fee Due</w:t>
            </w:r>
          </w:p>
        </w:tc>
        <w:tc>
          <w:tcPr>
            <w:tcW w:w="10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right w:val="single" w:sz="8" w:color="auto"/>
            </w:tcBorders>
          </w:tcPr>
          <w:p>
            <w:pPr>
              <w:jc w:val="center"/>
              <w:ind w:right="82"/>
              <w:spacing w:after="0"/>
              <w:rPr>
                <w:sz w:val="20"/>
                <w:szCs w:val="20"/>
                <w:color w:val="auto"/>
              </w:rPr>
            </w:pPr>
            <w:r>
              <w:rPr>
                <w:rFonts w:ascii="Times New Roman" w:cs="Times New Roman" w:eastAsia="Times New Roman" w:hAnsi="Times New Roman"/>
                <w:sz w:val="18"/>
                <w:szCs w:val="18"/>
                <w:color w:val="auto"/>
                <w:w w:val="99"/>
              </w:rPr>
              <w:t>$163.76</w:t>
            </w:r>
          </w:p>
        </w:tc>
        <w:tc>
          <w:tcPr>
            <w:tcW w:w="0" w:type="dxa"/>
            <w:vAlign w:val="bottom"/>
          </w:tcPr>
          <w:p>
            <w:pPr>
              <w:spacing w:after="0"/>
              <w:rPr>
                <w:sz w:val="1"/>
                <w:szCs w:val="1"/>
                <w:color w:val="auto"/>
              </w:rPr>
            </w:pPr>
          </w:p>
        </w:tc>
      </w:tr>
      <w:tr>
        <w:trPr>
          <w:trHeight w:val="22"/>
        </w:trPr>
        <w:tc>
          <w:tcPr>
            <w:tcW w:w="8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24" w:right="460" w:hanging="424"/>
        <w:spacing w:after="0" w:line="256" w:lineRule="auto"/>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this Registration Statement shall also cover any additional common shares (“</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of Repare Therapeutics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that become issuable under the Repare Therapeutics Inc. 2024 Inducement Plan (the “</w:t>
      </w:r>
      <w:r>
        <w:rPr>
          <w:rFonts w:ascii="Times New Roman" w:cs="Times New Roman" w:eastAsia="Times New Roman" w:hAnsi="Times New Roman"/>
          <w:sz w:val="18"/>
          <w:szCs w:val="18"/>
          <w:b w:val="1"/>
          <w:bCs w:val="1"/>
          <w:i w:val="1"/>
          <w:iCs w:val="1"/>
          <w:color w:val="auto"/>
        </w:rPr>
        <w:t>Inducement Plan</w:t>
      </w:r>
      <w:r>
        <w:rPr>
          <w:rFonts w:ascii="Times New Roman" w:cs="Times New Roman" w:eastAsia="Times New Roman" w:hAnsi="Times New Roman"/>
          <w:sz w:val="18"/>
          <w:szCs w:val="18"/>
          <w:color w:val="auto"/>
        </w:rPr>
        <w:t>”) by reason of any share dividend, share split, recapitalization or any other similar transaction that results in an increase in the number of the Registrant’s outstanding Common Shares.</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350,000 Common Shares reserved for issuance under the Inducement Plan.</w:t>
      </w:r>
    </w:p>
    <w:p>
      <w:pPr>
        <w:spacing w:after="0" w:line="9" w:lineRule="exact"/>
        <w:rPr>
          <w:rFonts w:ascii="Times New Roman" w:cs="Times New Roman" w:eastAsia="Times New Roman" w:hAnsi="Times New Roman"/>
          <w:sz w:val="18"/>
          <w:szCs w:val="18"/>
          <w:color w:val="auto"/>
        </w:rPr>
      </w:pPr>
    </w:p>
    <w:p>
      <w:pPr>
        <w:ind w:left="424" w:right="220" w:hanging="424"/>
        <w:spacing w:after="0" w:line="260" w:lineRule="auto"/>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and 457(h) solely for the purpose of calculating the registration fee on the basis of the average of the high and low prices of the Registrant’s Common Shares as reported on the Nasdaq Global Select Market on May 23, 2024.</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lowerLetter"/>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
      <w:numFmt w:val="bullet"/>
      <w:start w:val="1"/>
    </w:lvl>
  </w:abstractNum>
  <w:abstractNum w:abstractNumId="3">
    <w:nsid w:val="70C6A5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520EEDD1"/>
    <w:multiLevelType w:val="hybridMultilevel"/>
    <w:lvl w:ilvl="0">
      <w:lvlJc w:val="left"/>
      <w:lvlText w:val="(%1)"/>
      <w:numFmt w:val="decimal"/>
      <w:start w:val="2"/>
    </w:lvl>
    <w:lvl w:ilvl="1">
      <w:lvlJc w:val="left"/>
      <w:lvlText w:val="(%2)"/>
      <w:numFmt w:val="lowerRoman"/>
      <w:start w:val="1"/>
    </w:lvl>
  </w:abstractNum>
  <w:abstractNum w:abstractNumId="5">
    <w:nsid w:val="374A3FE6"/>
    <w:multiLevelType w:val="hybridMultilevel"/>
    <w:lvl w:ilvl="0">
      <w:lvlJc w:val="left"/>
      <w:lvlText w:val="(%1)"/>
      <w:numFmt w:val="lowerLetter"/>
      <w:start w:val="2"/>
    </w:lvl>
  </w:abstractNum>
  <w:abstractNum w:abstractNumId="6">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
    <w:nsid w:val="23F9C13C"/>
    <w:multiLevelType w:val="hybridMultilevel"/>
    <w:lvl w:ilvl="0">
      <w:lvlJc w:val="left"/>
      <w:lvlText w:val="(%1)"/>
      <w:numFmt w:val="lowerRoman"/>
      <w:start w:val="2"/>
    </w:lvl>
  </w:abstractNum>
  <w:abstractNum w:abstractNumId="8">
    <w:nsid w:val="649BB7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9">
    <w:nsid w:val="275AC794"/>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10">
    <w:nsid w:val="39386575"/>
    <w:multiLevelType w:val="hybridMultilevel"/>
    <w:lvl w:ilvl="0">
      <w:lvlJc w:val="left"/>
      <w:lvlText w:val="%1."/>
      <w:numFmt w:val="decimal"/>
      <w:start w:val="3"/>
    </w:lvl>
    <w:lvl w:ilvl="1">
      <w:lvlJc w:val="left"/>
      <w:lvlText w:val="(%2)"/>
      <w:numFmt w:val="lowerLetter"/>
      <w:start w:val="1"/>
    </w:lvl>
  </w:abstractNum>
  <w:abstractNum w:abstractNumId="11">
    <w:nsid w:val="1CF10FD8"/>
    <w:multiLevelType w:val="hybridMultilevel"/>
    <w:lvl w:ilvl="0">
      <w:lvlJc w:val="left"/>
      <w:lvlText w:val="(%1)"/>
      <w:numFmt w:val="lowerLetter"/>
      <w:start w:val="2"/>
    </w:lvl>
  </w:abstractNum>
  <w:abstractNum w:abstractNumId="12">
    <w:nsid w:val="180115BE"/>
    <w:multiLevelType w:val="hybridMultilevel"/>
    <w:lvl w:ilvl="0">
      <w:lvlJc w:val="left"/>
      <w:lvlText w:val="%1"/>
      <w:numFmt w:val="decimal"/>
      <w:start w:val="1"/>
    </w:lvl>
    <w:lvl w:ilvl="1">
      <w:lvlJc w:val="left"/>
      <w:lvlText w:val="(%2)"/>
      <w:numFmt w:val="lowerLetter"/>
      <w:start w:val="5"/>
    </w:lvl>
  </w:abstractNum>
  <w:abstractNum w:abstractNumId="13">
    <w:nsid w:val="235BA861"/>
    <w:multiLevelType w:val="hybridMultilevel"/>
    <w:lvl w:ilvl="0">
      <w:lvlJc w:val="left"/>
      <w:lvlText w:val="%1."/>
      <w:numFmt w:val="decimal"/>
      <w:start w:val="4"/>
    </w:lvl>
    <w:lvl w:ilvl="1">
      <w:lvlJc w:val="left"/>
      <w:lvlText w:val="(%2)"/>
      <w:numFmt w:val="lowerLetter"/>
      <w:start w:val="1"/>
    </w:lvl>
  </w:abstractNum>
  <w:abstractNum w:abstractNumId="14">
    <w:nsid w:val="47398C89"/>
    <w:multiLevelType w:val="hybridMultilevel"/>
    <w:lvl w:ilvl="0">
      <w:lvlJc w:val="left"/>
      <w:lvlText w:val="(%1)"/>
      <w:numFmt w:val="lowerLetter"/>
      <w:start w:val="1"/>
    </w:lvl>
  </w:abstractNum>
  <w:abstractNum w:abstractNumId="15">
    <w:nsid w:val="354FE9F9"/>
    <w:multiLevelType w:val="hybridMultilevel"/>
    <w:lvl w:ilvl="0">
      <w:lvlJc w:val="left"/>
      <w:lvlText w:val="(%1)"/>
      <w:numFmt w:val="lowerLetter"/>
      <w:start w:val="2"/>
    </w:lvl>
    <w:lvl w:ilvl="1">
      <w:lvlJc w:val="left"/>
      <w:lvlText w:val="(%2)"/>
      <w:numFmt w:val="lowerRoman"/>
      <w:start w:val="1"/>
    </w:lvl>
  </w:abstractNum>
  <w:abstractNum w:abstractNumId="16">
    <w:nsid w:val="15B5AF5C"/>
    <w:multiLevelType w:val="hybridMultilevel"/>
    <w:lvl w:ilvl="0">
      <w:lvlJc w:val="left"/>
      <w:lvlText w:val="%1"/>
      <w:numFmt w:val="lowerLetter"/>
      <w:start w:val="1"/>
    </w:lvl>
    <w:lvl w:ilvl="1">
      <w:lvlJc w:val="left"/>
      <w:lvlText w:val="(%2)"/>
      <w:numFmt w:val="lowerRoman"/>
      <w:start w:val="1"/>
    </w:lvl>
  </w:abstractNum>
  <w:abstractNum w:abstractNumId="17">
    <w:nsid w:val="741226BB"/>
    <w:multiLevelType w:val="hybridMultilevel"/>
    <w:lvl w:ilvl="0">
      <w:lvlJc w:val="left"/>
      <w:lvlText w:val="(%1)"/>
      <w:numFmt w:val="lowerLetter"/>
      <w:start w:val="6"/>
    </w:lvl>
    <w:lvl w:ilvl="1">
      <w:lvlJc w:val="left"/>
      <w:lvlText w:val="%2"/>
      <w:numFmt w:val="lowerRoman"/>
      <w:start w:val="1"/>
    </w:lvl>
  </w:abstractNum>
  <w:abstractNum w:abstractNumId="18">
    <w:nsid w:val="D34B6A8"/>
    <w:multiLevelType w:val="hybridMultilevel"/>
    <w:lvl w:ilvl="0">
      <w:lvlJc w:val="left"/>
      <w:lvlText w:val="%1"/>
      <w:numFmt w:val="lowerLetter"/>
      <w:start w:val="1"/>
    </w:lvl>
    <w:lvl w:ilvl="1">
      <w:lvlJc w:val="left"/>
      <w:lvlText w:val="(%2)"/>
      <w:numFmt w:val="lowerLetter"/>
      <w:start w:val="9"/>
    </w:lvl>
  </w:abstractNum>
  <w:abstractNum w:abstractNumId="19">
    <w:nsid w:val="10233C99"/>
    <w:multiLevelType w:val="hybridMultilevel"/>
    <w:lvl w:ilvl="0">
      <w:lvlJc w:val="left"/>
      <w:lvlText w:val="(%1)"/>
      <w:numFmt w:val="lowerLetter"/>
      <w:start w:val="35"/>
    </w:lvl>
    <w:lvl w:ilvl="1">
      <w:lvlJc w:val="left"/>
      <w:lvlText w:val="(%2)"/>
      <w:numFmt w:val="lowerLetter"/>
      <w:start w:val="11"/>
    </w:lvl>
  </w:abstractNum>
  <w:abstractNum w:abstractNumId="20">
    <w:nsid w:val="3F6AB60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
    <w:nsid w:val="61574095"/>
    <w:multiLevelType w:val="hybridMultilevel"/>
    <w:lvl w:ilvl="0">
      <w:lvlJc w:val="left"/>
      <w:lvlText w:val="%1"/>
      <w:numFmt w:val="lowerLetter"/>
      <w:start w:val="1"/>
    </w:lvl>
    <w:lvl w:ilvl="1">
      <w:lvlJc w:val="left"/>
      <w:lvlText w:val="(%2)"/>
      <w:numFmt w:val="lowerRoman"/>
      <w:start w:val="1"/>
    </w:lvl>
  </w:abstractNum>
  <w:abstractNum w:abstractNumId="22">
    <w:nsid w:val="7E0C57B1"/>
    <w:multiLevelType w:val="hybridMultilevel"/>
    <w:lvl w:ilvl="0">
      <w:lvlJc w:val="left"/>
      <w:lvlText w:val="(%1)"/>
      <w:numFmt w:val="lowerLetter"/>
      <w:start w:val="3"/>
    </w:lvl>
    <w:lvl w:ilvl="1">
      <w:lvlJc w:val="left"/>
      <w:lvlText w:val="(%2)"/>
      <w:numFmt w:val="lowerRoman"/>
      <w:start w:val="1"/>
    </w:lvl>
  </w:abstractNum>
  <w:abstractNum w:abstractNumId="23">
    <w:nsid w:val="77AE35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4">
    <w:nsid w:val="579BE4F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5">
    <w:nsid w:val="310C50B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6">
    <w:nsid w:val="5FF87E05"/>
    <w:multiLevelType w:val="hybridMultilevel"/>
    <w:lvl w:ilvl="0">
      <w:lvlJc w:val="left"/>
      <w:lvlText w:val="%1"/>
      <w:numFmt w:val="decimal"/>
      <w:start w:val="1"/>
    </w:lvl>
    <w:lvl w:ilvl="1">
      <w:lvlJc w:val="left"/>
      <w:lvlText w:val="(%2)"/>
      <w:numFmt w:val="lowerLetter"/>
      <w:start w:val="3"/>
    </w:lvl>
  </w:abstractNum>
  <w:abstractNum w:abstractNumId="27">
    <w:nsid w:val="2F305DEF"/>
    <w:multiLevelType w:val="hybridMultilevel"/>
    <w:lvl w:ilvl="0">
      <w:lvlJc w:val="left"/>
      <w:lvlText w:val="%1."/>
      <w:numFmt w:val="decimal"/>
      <w:start w:val="8"/>
    </w:lvl>
    <w:lvl w:ilvl="1">
      <w:lvlJc w:val="left"/>
      <w:lvlText w:val="(%2)"/>
      <w:numFmt w:val="lowerLetter"/>
      <w:start w:val="1"/>
    </w:lvl>
  </w:abstractNum>
  <w:abstractNum w:abstractNumId="28">
    <w:nsid w:val="25A70BF7"/>
    <w:multiLevelType w:val="hybridMultilevel"/>
    <w:lvl w:ilvl="0">
      <w:lvlJc w:val="left"/>
      <w:lvlText w:val="%1"/>
      <w:numFmt w:val="lowerLetter"/>
      <w:start w:val="1"/>
    </w:lvl>
    <w:lvl w:ilvl="1">
      <w:lvlJc w:val="left"/>
      <w:lvlText w:val="(%2)"/>
      <w:numFmt w:val="lowerLetter"/>
      <w:start w:val="5"/>
    </w:lvl>
  </w:abstractNum>
  <w:abstractNum w:abstractNumId="29">
    <w:nsid w:val="1DBABF00"/>
    <w:multiLevelType w:val="hybridMultilevel"/>
    <w:lvl w:ilvl="0">
      <w:lvlJc w:val="left"/>
      <w:lvlText w:val="(%1)"/>
      <w:numFmt w:val="lowerLetter"/>
      <w:start w:val="9"/>
    </w:lvl>
    <w:lvl w:ilvl="1">
      <w:lvlJc w:val="left"/>
      <w:lvlText w:val="(%2)"/>
      <w:numFmt w:val="lowerLetter"/>
      <w:start w:val="7"/>
    </w:lvl>
  </w:abstractNum>
  <w:abstractNum w:abstractNumId="30">
    <w:nsid w:val="4AD084E9"/>
    <w:multiLevelType w:val="hybridMultilevel"/>
    <w:lvl w:ilvl="0">
      <w:lvlJc w:val="left"/>
      <w:lvlText w:val="%1"/>
      <w:numFmt w:val="decimal"/>
      <w:start w:val="1"/>
    </w:lvl>
    <w:lvl w:ilvl="1">
      <w:lvlJc w:val="left"/>
      <w:lvlText w:val="(%2)"/>
      <w:numFmt w:val="lowerLetter"/>
      <w:start w:val="10"/>
    </w:lvl>
  </w:abstractNum>
  <w:abstractNum w:abstractNumId="31">
    <w:nsid w:val="1F48EAA1"/>
    <w:multiLevelType w:val="hybridMultilevel"/>
    <w:lvl w:ilvl="0">
      <w:lvlJc w:val="left"/>
      <w:lvlText w:val="%1."/>
      <w:numFmt w:val="decimal"/>
      <w:start w:val="9"/>
    </w:lvl>
    <w:lvl w:ilvl="1">
      <w:lvlJc w:val="left"/>
      <w:lvlText w:val="(%2)"/>
      <w:numFmt w:val="lowerLetter"/>
      <w:start w:val="1"/>
    </w:lvl>
  </w:abstractNum>
  <w:abstractNum w:abstractNumId="32">
    <w:nsid w:val="1381823A"/>
    <w:multiLevelType w:val="hybridMultilevel"/>
    <w:lvl w:ilvl="0">
      <w:lvlJc w:val="left"/>
      <w:lvlText w:val="(%1)"/>
      <w:numFmt w:val="lowerLetter"/>
      <w:start w:val="2"/>
    </w:lvl>
    <w:lvl w:ilvl="1">
      <w:lvlJc w:val="left"/>
      <w:lvlText w:val="(%2)"/>
      <w:numFmt w:val="lowerRoman"/>
      <w:start w:val="1"/>
    </w:lvl>
  </w:abstractNum>
  <w:abstractNum w:abstractNumId="33">
    <w:nsid w:val="5DB70AE5"/>
    <w:multiLevelType w:val="hybridMultilevel"/>
    <w:lvl w:ilvl="0">
      <w:lvlJc w:val="left"/>
      <w:lvlText w:val="%1"/>
      <w:numFmt w:val="decimal"/>
      <w:start w:val="1"/>
    </w:lvl>
    <w:lvl w:ilvl="1">
      <w:lvlJc w:val="left"/>
      <w:lvlText w:val="(%2)"/>
      <w:numFmt w:val="lowerLetter"/>
      <w:start w:val="4"/>
    </w:lvl>
  </w:abstractNum>
  <w:abstractNum w:abstractNumId="34">
    <w:nsid w:val="100F8FCA"/>
    <w:multiLevelType w:val="hybridMultilevel"/>
    <w:lvl w:ilvl="0">
      <w:lvlJc w:val="left"/>
      <w:lvlText w:val="%1."/>
      <w:numFmt w:val="decimal"/>
      <w:start w:val="10"/>
    </w:lvl>
    <w:lvl w:ilvl="1">
      <w:lvlJc w:val="left"/>
      <w:lvlText w:val="%2"/>
      <w:numFmt w:val="lowerLetter"/>
      <w:start w:val="1"/>
    </w:lvl>
  </w:abstractNum>
  <w:abstractNum w:abstractNumId="35">
    <w:nsid w:val="6590700B"/>
    <w:multiLevelType w:val="hybridMultilevel"/>
    <w:lvl w:ilvl="0">
      <w:lvlJc w:val="left"/>
      <w:lvlText w:val="%1."/>
      <w:numFmt w:val="decimal"/>
      <w:start w:val="11"/>
    </w:lvl>
  </w:abstractNum>
  <w:abstractNum w:abstractNumId="36">
    <w:nsid w:val="15014ACB"/>
    <w:multiLevelType w:val="hybridMultilevel"/>
    <w:lvl w:ilvl="0">
      <w:lvlJc w:val="left"/>
      <w:lvlText w:val="%1."/>
      <w:numFmt w:val="decimal"/>
      <w:start w:val="12"/>
    </w:lvl>
  </w:abstractNum>
  <w:abstractNum w:abstractNumId="37">
    <w:nsid w:val="5F5E7FD0"/>
    <w:multiLevelType w:val="hybridMultilevel"/>
    <w:lvl w:ilvl="0">
      <w:lvlJc w:val="left"/>
      <w:lvlText w:val="%1."/>
      <w:numFmt w:val="decimal"/>
      <w:start w:val="13"/>
    </w:lvl>
    <w:lvl w:ilvl="1">
      <w:lvlJc w:val="left"/>
      <w:lvlText w:val="(%2)"/>
      <w:numFmt w:val="lowerLetter"/>
      <w:start w:val="1"/>
    </w:lvl>
  </w:abstractNum>
  <w:abstractNum w:abstractNumId="38">
    <w:nsid w:val="98A3148"/>
    <w:multiLevelType w:val="hybridMultilevel"/>
    <w:lvl w:ilvl="0">
      <w:lvlJc w:val="left"/>
      <w:lvlText w:val="(%1)"/>
      <w:numFmt w:val="lowerLetter"/>
      <w:start w:val="3"/>
    </w:lvl>
    <w:lvl w:ilvl="1">
      <w:lvlJc w:val="left"/>
      <w:lvlText w:val="(%2)"/>
      <w:numFmt w:val="lowerLetter"/>
      <w:start w:val="9"/>
    </w:lvl>
  </w:abstractNum>
  <w:abstractNum w:abstractNumId="39">
    <w:nsid w:val="799D0247"/>
    <w:multiLevelType w:val="hybridMultilevel"/>
    <w:lvl w:ilvl="0">
      <w:lvlJc w:val="left"/>
      <w:lvlText w:val="(%1)"/>
      <w:numFmt w:val="lowerRoman"/>
      <w:start w:val="2"/>
    </w:lvl>
  </w:abstractNum>
  <w:abstractNum w:abstractNumId="40">
    <w:nsid w:val="6B94764"/>
    <w:multiLevelType w:val="hybridMultilevel"/>
    <w:lvl w:ilvl="0">
      <w:lvlJc w:val="left"/>
      <w:lvlText w:val="(%1)"/>
      <w:numFmt w:val="lowerLetter"/>
      <w:start w:val="8"/>
    </w:lvl>
  </w:abstractNum>
  <w:abstractNum w:abstractNumId="41">
    <w:nsid w:val="42C296BD"/>
    <w:multiLevelType w:val="hybridMultilevel"/>
    <w:lvl w:ilvl="0">
      <w:lvlJc w:val="left"/>
      <w:lvlText w:val="(%1)"/>
      <w:numFmt w:val="lowerLetter"/>
      <w:start w:val="14"/>
    </w:lvl>
    <w:lvl w:ilvl="1">
      <w:lvlJc w:val="left"/>
      <w:lvlText w:val="(%2)"/>
      <w:numFmt w:val="lowerRoman"/>
      <w:start w:val="1"/>
    </w:lvl>
  </w:abstractNum>
  <w:abstractNum w:abstractNumId="42">
    <w:nsid w:val="168E121F"/>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43">
    <w:nsid w:val="1EBA5D23"/>
    <w:multiLevelType w:val="hybridMultilevel"/>
    <w:lvl w:ilvl="0">
      <w:lvlJc w:val="left"/>
      <w:lvlText w:val="(%1)"/>
      <w:numFmt w:val="lowerLetter"/>
      <w:start w:val="35"/>
    </w:lvl>
    <w:lvl w:ilvl="1">
      <w:lvlJc w:val="left"/>
      <w:lvlText w:val="(%2)"/>
      <w:numFmt w:val="lowerLetter"/>
      <w:start w:val="25"/>
    </w:lvl>
    <w:lvl w:ilvl="2">
      <w:lvlJc w:val="left"/>
      <w:lvlText w:val="%3"/>
      <w:numFmt w:val="lowerRoman"/>
      <w:start w:val="1"/>
    </w:lvl>
  </w:abstractNum>
  <w:abstractNum w:abstractNumId="44">
    <w:nsid w:val="661E3F1E"/>
    <w:multiLevelType w:val="hybridMultilevel"/>
    <w:lvl w:ilvl="0">
      <w:lvlJc w:val="left"/>
      <w:lvlText w:val="(%1)"/>
      <w:numFmt w:val="lowerLetter"/>
      <w:start w:val="27"/>
    </w:lvl>
  </w:abstractNum>
  <w:abstractNum w:abstractNumId="45">
    <w:nsid w:val="5DC79EA8"/>
    <w:multiLevelType w:val="hybridMultilevel"/>
    <w:lvl w:ilvl="0">
      <w:lvlJc w:val="left"/>
      <w:lvlText w:val="(%1)"/>
      <w:numFmt w:val="lowerLetter"/>
      <w:start w:val="33"/>
    </w:lvl>
  </w:abstractNum>
  <w:abstractNum w:abstractNumId="46">
    <w:nsid w:val="540A471C"/>
    <w:multiLevelType w:val="hybridMultilevel"/>
    <w:lvl w:ilvl="0">
      <w:lvlJc w:val="left"/>
      <w:lvlText w:val="(%1)"/>
      <w:numFmt w:val="lowerLetter"/>
      <w:start w:val="37"/>
    </w:lvl>
  </w:abstractNum>
  <w:abstractNum w:abstractNumId="47">
    <w:nsid w:val="7BD3EE7B"/>
    <w:multiLevelType w:val="hybridMultilevel"/>
    <w:lvl w:ilvl="0">
      <w:lvlJc w:val="left"/>
      <w:lvlText w:val="(%1)"/>
      <w:numFmt w:val="lowerLetter"/>
      <w:start w:val="43"/>
    </w:lvl>
  </w:abstractNum>
  <w:abstractNum w:abstractNumId="48">
    <w:nsid w:val="51D9C564"/>
    <w:multiLevelType w:val="hybridMultilevel"/>
    <w:lvl w:ilvl="0">
      <w:lvlJc w:val="left"/>
      <w:lvlText w:val="(%1)"/>
      <w:numFmt w:val="lowerLetter"/>
      <w:start w:val="44"/>
    </w:lvl>
  </w:abstractNum>
  <w:abstractNum w:abstractNumId="49">
    <w:nsid w:val="613EFDC5"/>
    <w:multiLevelType w:val="hybridMultilevel"/>
    <w:lvl w:ilvl="0">
      <w:lvlJc w:val="left"/>
      <w:lvlText w:val="(%1)"/>
      <w:numFmt w:val="lowerLetter"/>
      <w:start w:val="53"/>
    </w:lvl>
  </w:abstractNum>
  <w:abstractNum w:abstractNumId="50">
    <w:nsid w:val="BF72B14"/>
    <w:multiLevelType w:val="hybridMultilevel"/>
    <w:lvl w:ilvl="0">
      <w:lvlJc w:val="left"/>
      <w:lvlText w:val="%1."/>
      <w:numFmt w:val="decimal"/>
      <w:start w:val="1"/>
    </w:lvl>
    <w:lvl w:ilvl="1">
      <w:lvlJc w:val="left"/>
      <w:lvlText w:val="(%2)"/>
      <w:numFmt w:val="lowerLetter"/>
      <w:start w:val="1"/>
    </w:lvl>
  </w:abstractNum>
  <w:abstractNum w:abstractNumId="51">
    <w:nsid w:val="11447B7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52">
    <w:nsid w:val="42963E5A"/>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1"/>
    </w:lvl>
  </w:abstractNum>
  <w:abstractNum w:abstractNumId="53">
    <w:nsid w:val="A0382C5"/>
    <w:multiLevelType w:val="hybridMultilevel"/>
    <w:lvl w:ilvl="0">
      <w:lvlJc w:val="left"/>
      <w:lvlText w:val="(%1)"/>
      <w:numFmt w:val="lowerLetter"/>
      <w:start w:val="4"/>
    </w:lvl>
  </w:abstractNum>
  <w:abstractNum w:abstractNumId="54">
    <w:nsid w:val="8F2B15E"/>
    <w:multiLevelType w:val="hybridMultilevel"/>
    <w:lvl w:ilvl="0">
      <w:lvlJc w:val="left"/>
      <w:lvlText w:val="%1"/>
      <w:numFmt w:val="decimal"/>
      <w:start w:val="1"/>
    </w:lvl>
    <w:lvl w:ilvl="1">
      <w:lvlJc w:val="left"/>
      <w:lvlText w:val="(%2)"/>
      <w:numFmt w:val="lowerLetter"/>
      <w:start w:val="6"/>
    </w:lvl>
  </w:abstractNum>
  <w:abstractNum w:abstractNumId="55">
    <w:nsid w:val="1A32234B"/>
    <w:multiLevelType w:val="hybridMultilevel"/>
    <w:lvl w:ilvl="0">
      <w:lvlJc w:val="left"/>
      <w:lvlText w:val="%1."/>
      <w:numFmt w:val="decimal"/>
      <w:start w:val="8"/>
    </w:lvl>
    <w:lvl w:ilvl="1">
      <w:lvlJc w:val="left"/>
      <w:lvlText w:val="(%2)"/>
      <w:numFmt w:val="lowerLetter"/>
      <w:start w:val="1"/>
    </w:lvl>
  </w:abstractNum>
  <w:abstractNum w:abstractNumId="56">
    <w:nsid w:val="3B0FD379"/>
    <w:multiLevelType w:val="hybridMultilevel"/>
    <w:lvl w:ilvl="0">
      <w:lvlJc w:val="left"/>
      <w:lvlText w:val="(%1)"/>
      <w:numFmt w:val="lowerLetter"/>
      <w:start w:val="1"/>
    </w:lvl>
  </w:abstractNum>
  <w:abstractNum w:abstractNumId="57">
    <w:nsid w:val="68EB2F63"/>
    <w:multiLevelType w:val="hybridMultilevel"/>
    <w:lvl w:ilvl="0">
      <w:lvlJc w:val="left"/>
      <w:lvlText w:val="%1"/>
      <w:numFmt w:val="decimal"/>
      <w:start w:val="1"/>
    </w:lvl>
    <w:lvl w:ilvl="1">
      <w:lvlJc w:val="left"/>
      <w:lvlText w:val="(%2)"/>
      <w:numFmt w:val="lowerLetter"/>
      <w:start w:val="3"/>
    </w:lvl>
  </w:abstractNum>
  <w:abstractNum w:abstractNumId="58">
    <w:nsid w:val="4962813B"/>
    <w:multiLevelType w:val="hybridMultilevel"/>
    <w:lvl w:ilvl="0">
      <w:lvlJc w:val="left"/>
      <w:lvlText w:val="%1."/>
      <w:numFmt w:val="decimal"/>
      <w:start w:val="10"/>
    </w:lvl>
    <w:lvl w:ilvl="1">
      <w:lvlJc w:val="left"/>
      <w:lvlText w:val="(%2)"/>
      <w:numFmt w:val="lowerLetter"/>
      <w:start w:val="1"/>
    </w:lvl>
  </w:abstractNum>
  <w:abstractNum w:abstractNumId="59">
    <w:nsid w:val="60B6DF70"/>
    <w:multiLevelType w:val="hybridMultilevel"/>
    <w:lvl w:ilvl="0">
      <w:lvlJc w:val="left"/>
      <w:lvlText w:val="%1."/>
      <w:numFmt w:val="decimal"/>
      <w:start w:val="13"/>
    </w:lvl>
  </w:abstractNum>
  <w:abstractNum w:abstractNumId="60">
    <w:nsid w:val="6A5EE64"/>
    <w:multiLevelType w:val="hybridMultilevel"/>
    <w:lvl w:ilvl="0">
      <w:lvlJc w:val="left"/>
      <w:lvlText w:val="%1."/>
      <w:numFmt w:val="decimal"/>
      <w:start w:val="19"/>
    </w:lvl>
    <w:lvl w:ilvl="1">
      <w:lvlJc w:val="left"/>
      <w:lvlText w:val="(%2)"/>
      <w:numFmt w:val="lowerLetter"/>
      <w:start w:val="1"/>
    </w:lvl>
  </w:abstractNum>
  <w:abstractNum w:abstractNumId="61">
    <w:nsid w:val="14330624"/>
    <w:multiLevelType w:val="hybridMultilevel"/>
    <w:lvl w:ilvl="0">
      <w:lvlJc w:val="left"/>
      <w:lvlText w:val="1"/>
      <w:numFmt w:val="bullet"/>
      <w:start w:val="1"/>
    </w:lvl>
  </w:abstractNum>
  <w:abstractNum w:abstractNumId="62">
    <w:nsid w:val="7FFFCA11"/>
    <w:multiLevelType w:val="hybridMultilevel"/>
    <w:lvl w:ilvl="0">
      <w:lvlJc w:val="left"/>
      <w:lvlText w:val="2"/>
      <w:numFmt w:val="bullet"/>
      <w:start w:val="1"/>
    </w:lvl>
  </w:abstractNum>
  <w:abstractNum w:abstractNumId="63">
    <w:nsid w:val="1A27709E"/>
    <w:multiLevelType w:val="hybridMultilevel"/>
    <w:lvl w:ilvl="0">
      <w:lvlJc w:val="left"/>
      <w:lvlText w:val="%1."/>
      <w:numFmt w:val="decimal"/>
      <w:start w:val="1"/>
    </w:lvl>
    <w:lvl w:ilvl="1">
      <w:lvlJc w:val="left"/>
      <w:lvlText w:val="(%2)"/>
      <w:numFmt w:val="lowerLetter"/>
      <w:start w:val="1"/>
    </w:lvl>
  </w:abstractNum>
  <w:abstractNum w:abstractNumId="64">
    <w:nsid w:val="71EA1109"/>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65">
    <w:nsid w:val="100F59D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6">
    <w:nsid w:val="7FB7E0AA"/>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67">
    <w:nsid w:val="6EB5BD4"/>
    <w:multiLevelType w:val="hybridMultilevel"/>
    <w:lvl w:ilvl="0">
      <w:lvlJc w:val="left"/>
      <w:lvlText w:val="(%1)"/>
      <w:numFmt w:val="lowerLetter"/>
      <w:start w:val="3"/>
    </w:lvl>
  </w:abstractNum>
  <w:abstractNum w:abstractNumId="68">
    <w:nsid w:val="6F6DD9AC"/>
    <w:multiLevelType w:val="hybridMultilevel"/>
    <w:lvl w:ilvl="0">
      <w:lvlJc w:val="left"/>
      <w:lvlText w:val="%1."/>
      <w:numFmt w:val="decimal"/>
      <w:start w:val="7"/>
    </w:lvl>
    <w:lvl w:ilvl="1">
      <w:lvlJc w:val="left"/>
      <w:lvlText w:val="(%2)"/>
      <w:numFmt w:val="lowerLetter"/>
      <w:start w:val="1"/>
    </w:lvl>
  </w:abstractNum>
  <w:abstractNum w:abstractNumId="69">
    <w:nsid w:val="94211F2"/>
    <w:multiLevelType w:val="hybridMultilevel"/>
    <w:lvl w:ilvl="0">
      <w:lvlJc w:val="left"/>
      <w:lvlText w:val="%1."/>
      <w:numFmt w:val="decimal"/>
      <w:start w:val="8"/>
    </w:lvl>
    <w:lvl w:ilvl="1">
      <w:lvlJc w:val="left"/>
      <w:lvlText w:val="(%2)"/>
      <w:numFmt w:val="lowerLetter"/>
      <w:start w:val="1"/>
    </w:lvl>
  </w:abstractNum>
  <w:abstractNum w:abstractNumId="70">
    <w:nsid w:val="885E1B"/>
    <w:multiLevelType w:val="hybridMultilevel"/>
    <w:lvl w:ilvl="0">
      <w:lvlJc w:val="left"/>
      <w:lvlText w:val="%1."/>
      <w:numFmt w:val="decimal"/>
      <w:start w:val="10"/>
    </w:lvl>
    <w:lvl w:ilvl="1">
      <w:lvlJc w:val="left"/>
      <w:lvlText w:val="(%2)"/>
      <w:numFmt w:val="lowerLetter"/>
      <w:start w:val="1"/>
    </w:lvl>
  </w:abstractNum>
  <w:abstractNum w:abstractNumId="71">
    <w:nsid w:val="76272110"/>
    <w:multiLevelType w:val="hybridMultilevel"/>
    <w:lvl w:ilvl="0">
      <w:lvlJc w:val="left"/>
      <w:lvlText w:val="%1."/>
      <w:numFmt w:val="decimal"/>
      <w:start w:val="12"/>
    </w:lvl>
  </w:abstractNum>
  <w:abstractNum w:abstractNumId="72">
    <w:nsid w:val="4C04A8AF"/>
    <w:multiLevelType w:val="hybridMultilevel"/>
    <w:lvl w:ilvl="0">
      <w:lvlJc w:val="left"/>
      <w:lvlText w:val="%1."/>
      <w:numFmt w:val="decimal"/>
      <w:start w:val="15"/>
    </w:lvl>
    <w:lvl w:ilvl="1">
      <w:lvlJc w:val="left"/>
      <w:lvlText w:val="(%2)"/>
      <w:numFmt w:val="lowerLetter"/>
      <w:start w:val="1"/>
    </w:lvl>
  </w:abstractNum>
  <w:abstractNum w:abstractNumId="73">
    <w:nsid w:val="1716703B"/>
    <w:multiLevelType w:val="hybridMultilevel"/>
    <w:lvl w:ilvl="0">
      <w:lvlJc w:val="left"/>
      <w:lvlText w:val="(%1)"/>
      <w:numFmt w:val="lowerLetter"/>
      <w:start w:val="3"/>
    </w:lvl>
  </w:abstractNum>
  <w:abstractNum w:abstractNumId="74">
    <w:nsid w:val="14E17E33"/>
    <w:multiLevelType w:val="hybridMultilevel"/>
    <w:lvl w:ilvl="0">
      <w:lvlJc w:val="left"/>
      <w:lvlText w:val="1"/>
      <w:numFmt w:val="bullet"/>
      <w:start w:val="1"/>
    </w:lvl>
  </w:abstractNum>
  <w:abstractNum w:abstractNumId="75">
    <w:nsid w:val="3222E7CD"/>
    <w:multiLevelType w:val="hybridMultilevel"/>
    <w:lvl w:ilvl="0">
      <w:lvlJc w:val="left"/>
      <w:lvlText w:val="2"/>
      <w:numFmt w:val="bullet"/>
      <w:start w:val="1"/>
    </w:lvl>
  </w:abstractNum>
  <w:abstractNum w:abstractNumId="76">
    <w:nsid w:val="74DE0EE3"/>
    <w:multiLevelType w:val="hybridMultilevel"/>
    <w:lvl w:ilvl="0">
      <w:lvlJc w:val="left"/>
      <w:lvlText w:val="%1."/>
      <w:numFmt w:val="decimal"/>
      <w:start w:val="1"/>
    </w:lvl>
  </w:abstractNum>
  <w:abstractNum w:abstractNumId="77">
    <w:nsid w:val="68EBC55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8">
    <w:nsid w:val="2DF6D648"/>
    <w:multiLevelType w:val="hybridMultilevel"/>
    <w:lvl w:ilvl="0">
      <w:lvlJc w:val="left"/>
      <w:lvlText w:val="%1"/>
      <w:numFmt w:val="decimal"/>
      <w:start w:val="1"/>
    </w:lvl>
    <w:lvl w:ilvl="1">
      <w:lvlJc w:val="left"/>
      <w:lvlText w:val="(%2)"/>
      <w:numFmt w:val="lowerLetter"/>
      <w:start w:val="3"/>
    </w:lvl>
  </w:abstractNum>
  <w:abstractNum w:abstractNumId="79">
    <w:nsid w:val="46B7D447"/>
    <w:multiLevelType w:val="hybridMultilevel"/>
    <w:lvl w:ilvl="0">
      <w:lvlJc w:val="left"/>
      <w:lvlText w:val="%1."/>
      <w:numFmt w:val="decimal"/>
      <w:start w:val="7"/>
    </w:lvl>
    <w:lvl w:ilvl="1">
      <w:lvlJc w:val="left"/>
      <w:lvlText w:val="(%2)"/>
      <w:numFmt w:val="lowerLetter"/>
      <w:start w:val="1"/>
    </w:lvl>
  </w:abstractNum>
  <w:abstractNum w:abstractNumId="80">
    <w:nsid w:val="4A2AC315"/>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81">
    <w:nsid w:val="39EE015C"/>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3"/>
    </w:lvl>
  </w:abstractNum>
  <w:abstractNum w:abstractNumId="82">
    <w:nsid w:val="57FC4FBB"/>
    <w:multiLevelType w:val="hybridMultilevel"/>
    <w:lvl w:ilvl="0">
      <w:lvlJc w:val="left"/>
      <w:lvlText w:val="%1."/>
      <w:numFmt w:val="decimal"/>
      <w:start w:val="13"/>
    </w:lvl>
    <w:lvl w:ilvl="1">
      <w:lvlJc w:val="left"/>
      <w:lvlText w:val="(%2)"/>
      <w:numFmt w:val="lowerLetter"/>
      <w:start w:val="1"/>
    </w:lvl>
  </w:abstractNum>
  <w:abstractNum w:abstractNumId="83">
    <w:nsid w:val="CC1016F"/>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84">
    <w:nsid w:val="43F18422"/>
    <w:multiLevelType w:val="hybridMultilevel"/>
    <w:lvl w:ilvl="0">
      <w:lvlJc w:val="left"/>
      <w:lvlText w:val="%1"/>
      <w:numFmt w:val="decimal"/>
      <w:start w:val="1"/>
    </w:lvl>
    <w:lvl w:ilvl="1">
      <w:lvlJc w:val="left"/>
      <w:lvlText w:val="%2."/>
      <w:numFmt w:val="decimal"/>
      <w:start w:val="18"/>
    </w:lvl>
    <w:lvl w:ilvl="2">
      <w:lvlJc w:val="left"/>
      <w:lvlText w:val="%3"/>
      <w:numFmt w:val="lowerLetter"/>
      <w:start w:val="1"/>
    </w:lvl>
  </w:abstractNum>
  <w:abstractNum w:abstractNumId="85">
    <w:nsid w:val="60EF0119"/>
    <w:multiLevelType w:val="hybridMultilevel"/>
    <w:lvl w:ilvl="0">
      <w:lvlJc w:val="left"/>
      <w:lvlText w:val="(%1)"/>
      <w:numFmt w:val="decimal"/>
      <w:start w:val="1"/>
    </w:lvl>
    <w:lvl w:ilvl="1">
      <w:lvlJc w:val="left"/>
      <w:lvlText w:val="%2."/>
      <w:numFmt w:val="decimal"/>
      <w:start w:val="22"/>
    </w:lvl>
    <w:lvl w:ilvl="2">
      <w:lvlJc w:val="left"/>
      <w:lvlText w:val="%3"/>
      <w:numFmt w:val="lowerLetter"/>
      <w:start w:val="1"/>
    </w:lvl>
  </w:abstractNum>
  <w:abstractNum w:abstractNumId="86">
    <w:nsid w:val="26F324BA"/>
    <w:multiLevelType w:val="hybridMultilevel"/>
    <w:lvl w:ilvl="0">
      <w:lvlJc w:val="left"/>
      <w:lvlText w:val="%1."/>
      <w:numFmt w:val="decimal"/>
      <w:start w:val="23"/>
    </w:lvl>
  </w:abstractNum>
  <w:abstractNum w:abstractNumId="87">
    <w:nsid w:val="7F01579B"/>
    <w:multiLevelType w:val="hybridMultilevel"/>
    <w:lvl w:ilvl="0">
      <w:lvlJc w:val="left"/>
      <w:lvlText w:val="%1"/>
      <w:numFmt w:val="decimal"/>
      <w:start w:val="1"/>
    </w:lvl>
    <w:lvl w:ilvl="1">
      <w:lvlJc w:val="left"/>
      <w:lvlText w:val="%2."/>
      <w:numFmt w:val="decimal"/>
      <w:start w:val="1"/>
    </w:lvl>
  </w:abstractNum>
  <w:abstractNum w:abstractNumId="88">
    <w:nsid w:val="49DA307D"/>
    <w:multiLevelType w:val="hybridMultilevel"/>
    <w:lvl w:ilvl="0">
      <w:lvlJc w:val="left"/>
      <w:lvlText w:val="(%1)"/>
      <w:numFmt w:val="decimal"/>
      <w:start w:val="3"/>
    </w:lvl>
    <w:lvl w:ilvl="1">
      <w:lvlJc w:val="left"/>
      <w:lvlText w:val="%2"/>
      <w:numFmt w:val="decimal"/>
      <w:start w:val="1"/>
    </w:lvl>
  </w:abstractNum>
  <w:abstractNum w:abstractNumId="89">
    <w:nsid w:val="7055A5F5"/>
    <w:multiLevelType w:val="hybridMultilevel"/>
    <w:lvl w:ilvl="0">
      <w:lvlJc w:val="left"/>
      <w:lvlText w:val="%1."/>
      <w:numFmt w:val="decimal"/>
      <w:start w:val="3"/>
    </w:lvl>
    <w:lvl w:ilvl="1">
      <w:lvlJc w:val="left"/>
      <w:lvlText w:val="(%2)"/>
      <w:numFmt w:val="lowerLetter"/>
      <w:start w:val="1"/>
    </w:lvl>
  </w:abstractNum>
  <w:abstractNum w:abstractNumId="90">
    <w:nsid w:val="5FB8370B"/>
    <w:multiLevelType w:val="hybridMultilevel"/>
    <w:lvl w:ilvl="0">
      <w:lvlJc w:val="left"/>
      <w:lvlText w:val="(%1)"/>
      <w:numFmt w:val="lowerLetter"/>
      <w:start w:val="2"/>
    </w:lvl>
  </w:abstractNum>
  <w:abstractNum w:abstractNumId="91">
    <w:nsid w:val="50801EE1"/>
    <w:multiLevelType w:val="hybridMultilevel"/>
    <w:lvl w:ilvl="0">
      <w:lvlJc w:val="left"/>
      <w:lvlText w:val="(%1)"/>
      <w:numFmt w:val="lowerRoman"/>
      <w:start w:val="1"/>
    </w:lvl>
  </w:abstractNum>
  <w:abstractNum w:abstractNumId="92">
    <w:nsid w:val="488AC1A"/>
    <w:multiLevelType w:val="hybridMultilevel"/>
    <w:lvl w:ilvl="0">
      <w:lvlJc w:val="left"/>
      <w:lvlText w:val="%1"/>
      <w:numFmt w:val="decimal"/>
      <w:start w:val="1"/>
    </w:lvl>
    <w:lvl w:ilvl="1">
      <w:lvlJc w:val="left"/>
      <w:lvlText w:val="(%2)"/>
      <w:numFmt w:val="lowerLetter"/>
      <w:start w:val="3"/>
    </w:lvl>
  </w:abstractNum>
  <w:abstractNum w:abstractNumId="93">
    <w:nsid w:val="5FB8011C"/>
    <w:multiLevelType w:val="hybridMultilevel"/>
    <w:lvl w:ilvl="0">
      <w:lvlJc w:val="left"/>
      <w:lvlText w:val="%1."/>
      <w:numFmt w:val="decimal"/>
      <w:start w:val="7"/>
    </w:lvl>
    <w:lvl w:ilvl="1">
      <w:lvlJc w:val="left"/>
      <w:lvlText w:val="%2"/>
      <w:numFmt w:val="lowerLetter"/>
      <w:start w:val="1"/>
    </w:lvl>
  </w:abstractNum>
  <w:abstractNum w:abstractNumId="94">
    <w:nsid w:val="6AA78F7F"/>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95">
    <w:nsid w:val="7672BD2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96">
    <w:nsid w:val="6FC75AF8"/>
    <w:multiLevelType w:val="hybridMultilevel"/>
    <w:lvl w:ilvl="0">
      <w:lvlJc w:val="left"/>
      <w:lvlText w:val="%1"/>
      <w:numFmt w:val="decimal"/>
      <w:start w:val="1"/>
    </w:lvl>
    <w:lvl w:ilvl="1">
      <w:lvlJc w:val="left"/>
      <w:lvlText w:val="(%2)"/>
      <w:numFmt w:val="lowerLetter"/>
      <w:start w:val="3"/>
    </w:lvl>
  </w:abstractNum>
  <w:abstractNum w:abstractNumId="97">
    <w:nsid w:val="6A5F7029"/>
    <w:multiLevelType w:val="hybridMultilevel"/>
    <w:lvl w:ilvl="0">
      <w:lvlJc w:val="left"/>
      <w:lvlText w:val="%1."/>
      <w:numFmt w:val="decimal"/>
      <w:start w:val="12"/>
    </w:lvl>
    <w:lvl w:ilvl="1">
      <w:lvlJc w:val="left"/>
      <w:lvlText w:val="%2"/>
      <w:numFmt w:val="lowerLetter"/>
      <w:start w:val="1"/>
    </w:lvl>
  </w:abstractNum>
  <w:abstractNum w:abstractNumId="98">
    <w:nsid w:val="7D5E18F8"/>
    <w:multiLevelType w:val="hybridMultilevel"/>
    <w:lvl w:ilvl="0">
      <w:lvlJc w:val="left"/>
      <w:lvlText w:val="%1."/>
      <w:numFmt w:val="decimal"/>
      <w:start w:val="15"/>
    </w:lvl>
    <w:lvl w:ilvl="1">
      <w:lvlJc w:val="left"/>
      <w:lvlText w:val="(%2)"/>
      <w:numFmt w:val="lowerLetter"/>
      <w:start w:val="1"/>
    </w:lvl>
  </w:abstractNum>
  <w:abstractNum w:abstractNumId="99">
    <w:nsid w:val="5F3534A4"/>
    <w:multiLevelType w:val="hybridMultilevel"/>
    <w:lvl w:ilvl="0">
      <w:lvlJc w:val="left"/>
      <w:lvlText w:val="%1"/>
      <w:numFmt w:val="decimal"/>
      <w:start w:val="1"/>
    </w:lvl>
    <w:lvl w:ilvl="1">
      <w:lvlJc w:val="left"/>
      <w:lvlText w:val="%2."/>
      <w:numFmt w:val="decimal"/>
      <w:start w:val="19"/>
    </w:lvl>
  </w:abstractNum>
  <w:abstractNum w:abstractNumId="100">
    <w:nsid w:val="73A1821B"/>
    <w:multiLevelType w:val="hybridMultilevel"/>
    <w:lvl w:ilvl="0">
      <w:lvlJc w:val="left"/>
      <w:lvlText w:val="(%1)"/>
      <w:numFmt w:val="decimal"/>
      <w:start w:val="1"/>
    </w:lvl>
    <w:lvl w:ilvl="1">
      <w:lvlJc w:val="left"/>
      <w:lvlText w:val="%2."/>
      <w:numFmt w:val="decimal"/>
      <w:start w:val="22"/>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6"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8" Type="http://schemas.openxmlformats.org/officeDocument/2006/relationships/hyperlink" Target="http://www.sec.gov/Archives/edgar/data/1808158/000095017024021651/rptx-20231231.htm" TargetMode="External"/><Relationship Id="rId19" Type="http://schemas.openxmlformats.org/officeDocument/2006/relationships/hyperlink" Target="http://www.sec.gov/Archives/edgar/data/1808158/000119312524117976/d23477ddef14a.htm" TargetMode="External"/><Relationship Id="rId20" Type="http://schemas.openxmlformats.org/officeDocument/2006/relationships/hyperlink" Target="http://www.sec.gov/Archives/edgar/data/1808158/000095017024054515/rptx-20240331.htm" TargetMode="External"/><Relationship Id="rId21" Type="http://schemas.openxmlformats.org/officeDocument/2006/relationships/hyperlink" Target="http://www.sec.gov/Archives/edgar/data/1808158/000119312524007503/d730642d8k.htm" TargetMode="External"/><Relationship Id="rId22" Type="http://schemas.openxmlformats.org/officeDocument/2006/relationships/hyperlink" Target="http://www.sec.gov/Archives/edgar/data/1808158/000095017024007321/rptx-20240125.htm" TargetMode="External"/><Relationship Id="rId23" Type="http://schemas.openxmlformats.org/officeDocument/2006/relationships/hyperlink" Target="http://www.sec.gov/Archives/edgar/data/1808158/000119312524032209/d741398d8k.htm" TargetMode="External"/><Relationship Id="rId24" Type="http://schemas.openxmlformats.org/officeDocument/2006/relationships/hyperlink" Target="http://www.sec.gov/Archives/edgar/data/1808158/000119312524118073/d798198d8k.htm" TargetMode="External"/><Relationship Id="rId25" Type="http://schemas.openxmlformats.org/officeDocument/2006/relationships/hyperlink" Target="http://www.sec.gov/Archives/edgar/data/1808158/000119312520170457/d944254d8a12b.htm" TargetMode="External"/><Relationship Id="rId27" Type="http://schemas.openxmlformats.org/officeDocument/2006/relationships/hyperlink" Target="http://www.sec.gov/Archives/edgar/data/1808158/000119312520176579/d920931dex31.htm" TargetMode="External"/><Relationship Id="rId28" Type="http://schemas.openxmlformats.org/officeDocument/2006/relationships/hyperlink" Target="http://www.sec.gov/Archives/edgar/data/1808158/000119312520176579/d920931dex32.htm" TargetMode="External"/><Relationship Id="rId29" Type="http://schemas.openxmlformats.org/officeDocument/2006/relationships/hyperlink" Target="http://www.sec.gov/Archives/edgar/data/1808158/000119312520168295/d90877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2024-05-24T15:49:21Z</dcterms:created>
  <dcterms:modified xsi:type="dcterms:W3CDTF">2024-05-24T15:49:21Z</dcterms:modified>
</cp:coreProperties>
</file>