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Repare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760273102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JAMES KRATKY</w:t>
              <w:br/>
              <w:t>BVF PARTNERS L.P., 44 Montgomery St., 40th Floor</w:t>
              <w:br/>
              <w:t>San Francisco, CA, 94104</w:t>
              <w:br/>
              <w:t>415-525-8830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01/28/2026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760273102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79"/>
        <w:gridCol w:w="8126"/>
      </w:tblGrid>
      <w:tr>
        <w:trPr/>
        <w:tc>
          <w:tcPr>
            <w:tcW w:w="2079" w:type="dxa"/>
            <w:tcBorders/>
            <w:vAlign w:val="center"/>
          </w:tcPr>
          <w:p>
            <w:pPr>
              <w:pStyle w:val="TableContents"/>
              <w:bidi w:val="0"/>
              <w:spacing w:before="0" w:after="283"/>
              <w:jc w:val="left"/>
              <w:rPr/>
            </w:pPr>
            <w:r>
              <w:rPr/>
              <w:t>1</w:t>
            </w:r>
          </w:p>
        </w:tc>
        <w:tc>
          <w:tcPr>
            <w:tcW w:w="812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BIOTECHNOLOGY VALUE FUND L P</w:t>
            </w:r>
          </w:p>
        </w:tc>
      </w:tr>
      <w:tr>
        <w:trPr/>
        <w:tc>
          <w:tcPr>
            <w:tcW w:w="2079" w:type="dxa"/>
            <w:tcBorders/>
            <w:vAlign w:val="center"/>
          </w:tcPr>
          <w:p>
            <w:pPr>
              <w:pStyle w:val="TableContents"/>
              <w:bidi w:val="0"/>
              <w:spacing w:before="0" w:after="283"/>
              <w:jc w:val="left"/>
              <w:rPr/>
            </w:pPr>
            <w:r>
              <w:rPr/>
              <w:t>2</w:t>
            </w:r>
          </w:p>
        </w:tc>
        <w:tc>
          <w:tcPr>
            <w:tcW w:w="812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079" w:type="dxa"/>
            <w:tcBorders/>
            <w:vAlign w:val="center"/>
          </w:tcPr>
          <w:p>
            <w:pPr>
              <w:pStyle w:val="TableContents"/>
              <w:bidi w:val="0"/>
              <w:spacing w:before="0" w:after="283"/>
              <w:jc w:val="left"/>
              <w:rPr/>
            </w:pPr>
            <w:r>
              <w:rPr/>
              <w:t>3</w:t>
            </w:r>
          </w:p>
        </w:tc>
        <w:tc>
          <w:tcPr>
            <w:tcW w:w="8126" w:type="dxa"/>
            <w:tcBorders/>
            <w:vAlign w:val="center"/>
          </w:tcPr>
          <w:p>
            <w:pPr>
              <w:pStyle w:val="TableContents"/>
              <w:bidi w:val="0"/>
              <w:spacing w:before="0" w:after="283"/>
              <w:jc w:val="left"/>
              <w:rPr/>
            </w:pPr>
            <w:r>
              <w:rPr/>
              <w:t>SEC use only</w:t>
            </w:r>
          </w:p>
        </w:tc>
      </w:tr>
      <w:tr>
        <w:trPr/>
        <w:tc>
          <w:tcPr>
            <w:tcW w:w="2079" w:type="dxa"/>
            <w:tcBorders/>
            <w:vAlign w:val="center"/>
          </w:tcPr>
          <w:p>
            <w:pPr>
              <w:pStyle w:val="TableContents"/>
              <w:bidi w:val="0"/>
              <w:spacing w:before="0" w:after="283"/>
              <w:jc w:val="left"/>
              <w:rPr/>
            </w:pPr>
            <w:r>
              <w:rPr/>
              <w:t>4</w:t>
            </w:r>
          </w:p>
        </w:tc>
        <w:tc>
          <w:tcPr>
            <w:tcW w:w="8126" w:type="dxa"/>
            <w:tcBorders/>
            <w:vAlign w:val="center"/>
          </w:tcPr>
          <w:p>
            <w:pPr>
              <w:pStyle w:val="TableContents"/>
              <w:bidi w:val="0"/>
              <w:spacing w:before="0" w:after="283"/>
              <w:jc w:val="left"/>
              <w:rPr/>
            </w:pPr>
            <w:r>
              <w:rPr/>
              <w:t xml:space="preserve">Source of funds (See Instructions) </w:t>
            </w:r>
          </w:p>
        </w:tc>
      </w:tr>
      <w:tr>
        <w:trPr/>
        <w:tc>
          <w:tcPr>
            <w:tcW w:w="2079" w:type="dxa"/>
            <w:tcBorders/>
            <w:vAlign w:val="center"/>
          </w:tcPr>
          <w:p>
            <w:pPr>
              <w:pStyle w:val="TableContents"/>
              <w:bidi w:val="0"/>
              <w:spacing w:before="0" w:after="283"/>
              <w:jc w:val="left"/>
              <w:rPr/>
            </w:pPr>
            <w:r>
              <w:rPr/>
              <w:t>5</w:t>
            </w:r>
          </w:p>
        </w:tc>
        <w:tc>
          <w:tcPr>
            <w:tcW w:w="812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079" w:type="dxa"/>
            <w:tcBorders/>
            <w:vAlign w:val="center"/>
          </w:tcPr>
          <w:p>
            <w:pPr>
              <w:pStyle w:val="TableContents"/>
              <w:bidi w:val="0"/>
              <w:spacing w:before="0" w:after="283"/>
              <w:jc w:val="left"/>
              <w:rPr/>
            </w:pPr>
            <w:r>
              <w:rPr/>
              <w:t>6</w:t>
            </w:r>
          </w:p>
        </w:tc>
        <w:tc>
          <w:tcPr>
            <w:tcW w:w="812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7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26" w:type="dxa"/>
            <w:tcBorders/>
            <w:vAlign w:val="center"/>
          </w:tcPr>
          <w:p>
            <w:pPr>
              <w:pStyle w:val="TableContents"/>
              <w:bidi w:val="0"/>
              <w:spacing w:before="0" w:after="283"/>
              <w:jc w:val="left"/>
              <w:rPr>
                <w:sz w:val="4"/>
                <w:szCs w:val="4"/>
              </w:rPr>
            </w:pPr>
            <w:r>
              <w:rPr>
                <w:sz w:val="4"/>
                <w:szCs w:val="4"/>
              </w:rPr>
            </w:r>
          </w:p>
        </w:tc>
      </w:tr>
      <w:tr>
        <w:trPr/>
        <w:tc>
          <w:tcPr>
            <w:tcW w:w="2079" w:type="dxa"/>
            <w:tcBorders/>
            <w:vAlign w:val="center"/>
          </w:tcPr>
          <w:p>
            <w:pPr>
              <w:pStyle w:val="TableContents"/>
              <w:bidi w:val="0"/>
              <w:spacing w:before="0" w:after="283"/>
              <w:jc w:val="left"/>
              <w:rPr/>
            </w:pPr>
            <w:r>
              <w:rPr/>
              <w:t>11</w:t>
            </w:r>
          </w:p>
        </w:tc>
        <w:tc>
          <w:tcPr>
            <w:tcW w:w="812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79" w:type="dxa"/>
            <w:tcBorders/>
            <w:vAlign w:val="center"/>
          </w:tcPr>
          <w:p>
            <w:pPr>
              <w:pStyle w:val="TableContents"/>
              <w:bidi w:val="0"/>
              <w:spacing w:before="0" w:after="283"/>
              <w:jc w:val="left"/>
              <w:rPr/>
            </w:pPr>
            <w:r>
              <w:rPr/>
              <w:t>12</w:t>
            </w:r>
          </w:p>
        </w:tc>
        <w:tc>
          <w:tcPr>
            <w:tcW w:w="812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079" w:type="dxa"/>
            <w:tcBorders/>
            <w:vAlign w:val="center"/>
          </w:tcPr>
          <w:p>
            <w:pPr>
              <w:pStyle w:val="TableContents"/>
              <w:bidi w:val="0"/>
              <w:spacing w:before="0" w:after="283"/>
              <w:jc w:val="left"/>
              <w:rPr/>
            </w:pPr>
            <w:r>
              <w:rPr/>
              <w:t>13</w:t>
            </w:r>
          </w:p>
        </w:tc>
        <w:tc>
          <w:tcPr>
            <w:tcW w:w="812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079" w:type="dxa"/>
            <w:tcBorders/>
            <w:vAlign w:val="center"/>
          </w:tcPr>
          <w:p>
            <w:pPr>
              <w:pStyle w:val="TableContents"/>
              <w:bidi w:val="0"/>
              <w:spacing w:before="0" w:after="283"/>
              <w:jc w:val="left"/>
              <w:rPr/>
            </w:pPr>
            <w:r>
              <w:rPr/>
              <w:t>14</w:t>
            </w:r>
          </w:p>
        </w:tc>
        <w:tc>
          <w:tcPr>
            <w:tcW w:w="812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760273102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I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760273102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79"/>
        <w:gridCol w:w="8126"/>
      </w:tblGrid>
      <w:tr>
        <w:trPr/>
        <w:tc>
          <w:tcPr>
            <w:tcW w:w="2079" w:type="dxa"/>
            <w:tcBorders/>
            <w:vAlign w:val="center"/>
          </w:tcPr>
          <w:p>
            <w:pPr>
              <w:pStyle w:val="TableContents"/>
              <w:bidi w:val="0"/>
              <w:spacing w:before="0" w:after="283"/>
              <w:jc w:val="left"/>
              <w:rPr/>
            </w:pPr>
            <w:r>
              <w:rPr/>
              <w:t>1</w:t>
            </w:r>
          </w:p>
        </w:tc>
        <w:tc>
          <w:tcPr>
            <w:tcW w:w="812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BIOTECHNOLOGY VALUE FUND II LP</w:t>
            </w:r>
          </w:p>
        </w:tc>
      </w:tr>
      <w:tr>
        <w:trPr/>
        <w:tc>
          <w:tcPr>
            <w:tcW w:w="2079" w:type="dxa"/>
            <w:tcBorders/>
            <w:vAlign w:val="center"/>
          </w:tcPr>
          <w:p>
            <w:pPr>
              <w:pStyle w:val="TableContents"/>
              <w:bidi w:val="0"/>
              <w:spacing w:before="0" w:after="283"/>
              <w:jc w:val="left"/>
              <w:rPr/>
            </w:pPr>
            <w:r>
              <w:rPr/>
              <w:t>2</w:t>
            </w:r>
          </w:p>
        </w:tc>
        <w:tc>
          <w:tcPr>
            <w:tcW w:w="812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79" w:type="dxa"/>
            <w:tcBorders/>
            <w:vAlign w:val="center"/>
          </w:tcPr>
          <w:p>
            <w:pPr>
              <w:pStyle w:val="TableContents"/>
              <w:bidi w:val="0"/>
              <w:spacing w:before="0" w:after="283"/>
              <w:jc w:val="left"/>
              <w:rPr/>
            </w:pPr>
            <w:r>
              <w:rPr/>
              <w:t>3</w:t>
            </w:r>
          </w:p>
        </w:tc>
        <w:tc>
          <w:tcPr>
            <w:tcW w:w="8126" w:type="dxa"/>
            <w:tcBorders/>
            <w:vAlign w:val="center"/>
          </w:tcPr>
          <w:p>
            <w:pPr>
              <w:pStyle w:val="TableContents"/>
              <w:bidi w:val="0"/>
              <w:spacing w:before="0" w:after="283"/>
              <w:jc w:val="left"/>
              <w:rPr/>
            </w:pPr>
            <w:r>
              <w:rPr/>
              <w:t>SEC use only</w:t>
            </w:r>
          </w:p>
        </w:tc>
      </w:tr>
      <w:tr>
        <w:trPr/>
        <w:tc>
          <w:tcPr>
            <w:tcW w:w="2079" w:type="dxa"/>
            <w:tcBorders/>
            <w:vAlign w:val="center"/>
          </w:tcPr>
          <w:p>
            <w:pPr>
              <w:pStyle w:val="TableContents"/>
              <w:bidi w:val="0"/>
              <w:spacing w:before="0" w:after="283"/>
              <w:jc w:val="left"/>
              <w:rPr/>
            </w:pPr>
            <w:r>
              <w:rPr/>
              <w:t>4</w:t>
            </w:r>
          </w:p>
        </w:tc>
        <w:tc>
          <w:tcPr>
            <w:tcW w:w="8126" w:type="dxa"/>
            <w:tcBorders/>
            <w:vAlign w:val="center"/>
          </w:tcPr>
          <w:p>
            <w:pPr>
              <w:pStyle w:val="TableContents"/>
              <w:bidi w:val="0"/>
              <w:spacing w:before="0" w:after="283"/>
              <w:jc w:val="left"/>
              <w:rPr/>
            </w:pPr>
            <w:r>
              <w:rPr/>
              <w:t xml:space="preserve">Source of funds (See Instructions) </w:t>
            </w:r>
          </w:p>
        </w:tc>
      </w:tr>
      <w:tr>
        <w:trPr/>
        <w:tc>
          <w:tcPr>
            <w:tcW w:w="2079" w:type="dxa"/>
            <w:tcBorders/>
            <w:vAlign w:val="center"/>
          </w:tcPr>
          <w:p>
            <w:pPr>
              <w:pStyle w:val="TableContents"/>
              <w:bidi w:val="0"/>
              <w:spacing w:before="0" w:after="283"/>
              <w:jc w:val="left"/>
              <w:rPr/>
            </w:pPr>
            <w:r>
              <w:rPr/>
              <w:t>5</w:t>
            </w:r>
          </w:p>
        </w:tc>
        <w:tc>
          <w:tcPr>
            <w:tcW w:w="812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79" w:type="dxa"/>
            <w:tcBorders/>
            <w:vAlign w:val="center"/>
          </w:tcPr>
          <w:p>
            <w:pPr>
              <w:pStyle w:val="TableContents"/>
              <w:bidi w:val="0"/>
              <w:spacing w:before="0" w:after="283"/>
              <w:jc w:val="left"/>
              <w:rPr/>
            </w:pPr>
            <w:r>
              <w:rPr/>
              <w:t>6</w:t>
            </w:r>
          </w:p>
        </w:tc>
        <w:tc>
          <w:tcPr>
            <w:tcW w:w="812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7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26" w:type="dxa"/>
            <w:tcBorders/>
            <w:vAlign w:val="center"/>
          </w:tcPr>
          <w:p>
            <w:pPr>
              <w:pStyle w:val="TableContents"/>
              <w:bidi w:val="0"/>
              <w:spacing w:before="0" w:after="283"/>
              <w:jc w:val="left"/>
              <w:rPr>
                <w:sz w:val="4"/>
                <w:szCs w:val="4"/>
              </w:rPr>
            </w:pPr>
            <w:r>
              <w:rPr>
                <w:sz w:val="4"/>
                <w:szCs w:val="4"/>
              </w:rPr>
            </w:r>
          </w:p>
        </w:tc>
      </w:tr>
      <w:tr>
        <w:trPr/>
        <w:tc>
          <w:tcPr>
            <w:tcW w:w="2079" w:type="dxa"/>
            <w:tcBorders/>
            <w:vAlign w:val="center"/>
          </w:tcPr>
          <w:p>
            <w:pPr>
              <w:pStyle w:val="TableContents"/>
              <w:bidi w:val="0"/>
              <w:spacing w:before="0" w:after="283"/>
              <w:jc w:val="left"/>
              <w:rPr/>
            </w:pPr>
            <w:r>
              <w:rPr/>
              <w:t>11</w:t>
            </w:r>
          </w:p>
        </w:tc>
        <w:tc>
          <w:tcPr>
            <w:tcW w:w="812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79" w:type="dxa"/>
            <w:tcBorders/>
            <w:vAlign w:val="center"/>
          </w:tcPr>
          <w:p>
            <w:pPr>
              <w:pStyle w:val="TableContents"/>
              <w:bidi w:val="0"/>
              <w:spacing w:before="0" w:after="283"/>
              <w:jc w:val="left"/>
              <w:rPr/>
            </w:pPr>
            <w:r>
              <w:rPr/>
              <w:t>12</w:t>
            </w:r>
          </w:p>
        </w:tc>
        <w:tc>
          <w:tcPr>
            <w:tcW w:w="812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079" w:type="dxa"/>
            <w:tcBorders/>
            <w:vAlign w:val="center"/>
          </w:tcPr>
          <w:p>
            <w:pPr>
              <w:pStyle w:val="TableContents"/>
              <w:bidi w:val="0"/>
              <w:spacing w:before="0" w:after="283"/>
              <w:jc w:val="left"/>
              <w:rPr/>
            </w:pPr>
            <w:r>
              <w:rPr/>
              <w:t>13</w:t>
            </w:r>
          </w:p>
        </w:tc>
        <w:tc>
          <w:tcPr>
            <w:tcW w:w="812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079" w:type="dxa"/>
            <w:tcBorders/>
            <w:vAlign w:val="center"/>
          </w:tcPr>
          <w:p>
            <w:pPr>
              <w:pStyle w:val="TableContents"/>
              <w:bidi w:val="0"/>
              <w:spacing w:before="0" w:after="283"/>
              <w:jc w:val="left"/>
              <w:rPr/>
            </w:pPr>
            <w:r>
              <w:rPr/>
              <w:t>14</w:t>
            </w:r>
          </w:p>
        </w:tc>
        <w:tc>
          <w:tcPr>
            <w:tcW w:w="812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760273102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II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760273102</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21"/>
        <w:gridCol w:w="8084"/>
      </w:tblGrid>
      <w:tr>
        <w:trPr/>
        <w:tc>
          <w:tcPr>
            <w:tcW w:w="2121" w:type="dxa"/>
            <w:tcBorders/>
            <w:vAlign w:val="center"/>
          </w:tcPr>
          <w:p>
            <w:pPr>
              <w:pStyle w:val="TableContents"/>
              <w:bidi w:val="0"/>
              <w:spacing w:before="0" w:after="283"/>
              <w:jc w:val="left"/>
              <w:rPr/>
            </w:pPr>
            <w:r>
              <w:rPr/>
              <w:t>1</w:t>
            </w:r>
          </w:p>
        </w:tc>
        <w:tc>
          <w:tcPr>
            <w:tcW w:w="808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Biotechnology Value Trading Fund OS LP</w:t>
            </w:r>
          </w:p>
        </w:tc>
      </w:tr>
      <w:tr>
        <w:trPr/>
        <w:tc>
          <w:tcPr>
            <w:tcW w:w="2121" w:type="dxa"/>
            <w:tcBorders/>
            <w:vAlign w:val="center"/>
          </w:tcPr>
          <w:p>
            <w:pPr>
              <w:pStyle w:val="TableContents"/>
              <w:bidi w:val="0"/>
              <w:spacing w:before="0" w:after="283"/>
              <w:jc w:val="left"/>
              <w:rPr/>
            </w:pPr>
            <w:r>
              <w:rPr/>
              <w:t>2</w:t>
            </w:r>
          </w:p>
        </w:tc>
        <w:tc>
          <w:tcPr>
            <w:tcW w:w="808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21" w:type="dxa"/>
            <w:tcBorders/>
            <w:vAlign w:val="center"/>
          </w:tcPr>
          <w:p>
            <w:pPr>
              <w:pStyle w:val="TableContents"/>
              <w:bidi w:val="0"/>
              <w:spacing w:before="0" w:after="283"/>
              <w:jc w:val="left"/>
              <w:rPr/>
            </w:pPr>
            <w:r>
              <w:rPr/>
              <w:t>3</w:t>
            </w:r>
          </w:p>
        </w:tc>
        <w:tc>
          <w:tcPr>
            <w:tcW w:w="8084" w:type="dxa"/>
            <w:tcBorders/>
            <w:vAlign w:val="center"/>
          </w:tcPr>
          <w:p>
            <w:pPr>
              <w:pStyle w:val="TableContents"/>
              <w:bidi w:val="0"/>
              <w:spacing w:before="0" w:after="283"/>
              <w:jc w:val="left"/>
              <w:rPr/>
            </w:pPr>
            <w:r>
              <w:rPr/>
              <w:t>SEC use only</w:t>
            </w:r>
          </w:p>
        </w:tc>
      </w:tr>
      <w:tr>
        <w:trPr/>
        <w:tc>
          <w:tcPr>
            <w:tcW w:w="2121" w:type="dxa"/>
            <w:tcBorders/>
            <w:vAlign w:val="center"/>
          </w:tcPr>
          <w:p>
            <w:pPr>
              <w:pStyle w:val="TableContents"/>
              <w:bidi w:val="0"/>
              <w:spacing w:before="0" w:after="283"/>
              <w:jc w:val="left"/>
              <w:rPr/>
            </w:pPr>
            <w:r>
              <w:rPr/>
              <w:t>4</w:t>
            </w:r>
          </w:p>
        </w:tc>
        <w:tc>
          <w:tcPr>
            <w:tcW w:w="8084" w:type="dxa"/>
            <w:tcBorders/>
            <w:vAlign w:val="center"/>
          </w:tcPr>
          <w:p>
            <w:pPr>
              <w:pStyle w:val="TableContents"/>
              <w:bidi w:val="0"/>
              <w:spacing w:before="0" w:after="283"/>
              <w:jc w:val="left"/>
              <w:rPr/>
            </w:pPr>
            <w:r>
              <w:rPr/>
              <w:t xml:space="preserve">Source of funds (See Instructions) </w:t>
            </w:r>
          </w:p>
        </w:tc>
      </w:tr>
      <w:tr>
        <w:trPr/>
        <w:tc>
          <w:tcPr>
            <w:tcW w:w="2121" w:type="dxa"/>
            <w:tcBorders/>
            <w:vAlign w:val="center"/>
          </w:tcPr>
          <w:p>
            <w:pPr>
              <w:pStyle w:val="TableContents"/>
              <w:bidi w:val="0"/>
              <w:spacing w:before="0" w:after="283"/>
              <w:jc w:val="left"/>
              <w:rPr/>
            </w:pPr>
            <w:r>
              <w:rPr/>
              <w:t>5</w:t>
            </w:r>
          </w:p>
        </w:tc>
        <w:tc>
          <w:tcPr>
            <w:tcW w:w="808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21" w:type="dxa"/>
            <w:tcBorders/>
            <w:vAlign w:val="center"/>
          </w:tcPr>
          <w:p>
            <w:pPr>
              <w:pStyle w:val="TableContents"/>
              <w:bidi w:val="0"/>
              <w:spacing w:before="0" w:after="283"/>
              <w:jc w:val="left"/>
              <w:rPr/>
            </w:pPr>
            <w:r>
              <w:rPr/>
              <w:t>6</w:t>
            </w:r>
          </w:p>
        </w:tc>
        <w:tc>
          <w:tcPr>
            <w:tcW w:w="808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2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4" w:type="dxa"/>
            <w:tcBorders/>
            <w:vAlign w:val="center"/>
          </w:tcPr>
          <w:p>
            <w:pPr>
              <w:pStyle w:val="TableContents"/>
              <w:bidi w:val="0"/>
              <w:spacing w:before="0" w:after="283"/>
              <w:jc w:val="left"/>
              <w:rPr>
                <w:sz w:val="4"/>
                <w:szCs w:val="4"/>
              </w:rPr>
            </w:pPr>
            <w:r>
              <w:rPr>
                <w:sz w:val="4"/>
                <w:szCs w:val="4"/>
              </w:rPr>
            </w:r>
          </w:p>
        </w:tc>
      </w:tr>
      <w:tr>
        <w:trPr/>
        <w:tc>
          <w:tcPr>
            <w:tcW w:w="2121" w:type="dxa"/>
            <w:tcBorders/>
            <w:vAlign w:val="center"/>
          </w:tcPr>
          <w:p>
            <w:pPr>
              <w:pStyle w:val="TableContents"/>
              <w:bidi w:val="0"/>
              <w:spacing w:before="0" w:after="283"/>
              <w:jc w:val="left"/>
              <w:rPr/>
            </w:pPr>
            <w:r>
              <w:rPr/>
              <w:t>11</w:t>
            </w:r>
          </w:p>
        </w:tc>
        <w:tc>
          <w:tcPr>
            <w:tcW w:w="808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1" w:type="dxa"/>
            <w:tcBorders/>
            <w:vAlign w:val="center"/>
          </w:tcPr>
          <w:p>
            <w:pPr>
              <w:pStyle w:val="TableContents"/>
              <w:bidi w:val="0"/>
              <w:spacing w:before="0" w:after="283"/>
              <w:jc w:val="left"/>
              <w:rPr/>
            </w:pPr>
            <w:r>
              <w:rPr/>
              <w:t>12</w:t>
            </w:r>
          </w:p>
        </w:tc>
        <w:tc>
          <w:tcPr>
            <w:tcW w:w="808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21" w:type="dxa"/>
            <w:tcBorders/>
            <w:vAlign w:val="center"/>
          </w:tcPr>
          <w:p>
            <w:pPr>
              <w:pStyle w:val="TableContents"/>
              <w:bidi w:val="0"/>
              <w:spacing w:before="0" w:after="283"/>
              <w:jc w:val="left"/>
              <w:rPr/>
            </w:pPr>
            <w:r>
              <w:rPr/>
              <w:t>13</w:t>
            </w:r>
          </w:p>
        </w:tc>
        <w:tc>
          <w:tcPr>
            <w:tcW w:w="808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1" w:type="dxa"/>
            <w:tcBorders/>
            <w:vAlign w:val="center"/>
          </w:tcPr>
          <w:p>
            <w:pPr>
              <w:pStyle w:val="TableContents"/>
              <w:bidi w:val="0"/>
              <w:spacing w:before="0" w:after="283"/>
              <w:jc w:val="left"/>
              <w:rPr/>
            </w:pPr>
            <w:r>
              <w:rPr/>
              <w:t>14</w:t>
            </w:r>
          </w:p>
        </w:tc>
        <w:tc>
          <w:tcPr>
            <w:tcW w:w="808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760273102</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Partners OS Ltd.</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spacing w:before="0" w:after="283"/>
              <w:jc w:val="left"/>
              <w:rPr/>
            </w:pPr>
            <w:r>
              <w:rPr/>
              <w:t xml:space="preserve">Source of funds (See Instructions) </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760273102</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GP HOLDINGS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760273102</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PARTNERS L P/IL</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760273102</w:t>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INC/IL</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spacing w:before="0" w:after="283"/>
              <w:jc w:val="left"/>
              <w:rPr/>
            </w:pPr>
            <w:r>
              <w:rPr/>
              <w:t xml:space="preserve">Source of funds (See Instructions) </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760273102</w:t>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LAMPERT MARK N</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spacing w:before="0" w:after="283"/>
              <w:jc w:val="left"/>
              <w:rPr/>
            </w:pPr>
            <w:r>
              <w:rPr/>
              <w:t xml:space="preserve">Source of funds (See Instructions) </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item1to7"/>
      <w:bookmarkStart w:id="47" w:name="item1to7"/>
      <w:bookmarkEnd w:id="47"/>
    </w:p>
    <w:tbl>
      <w:tblPr>
        <w:tblW w:w="10205" w:type="dxa"/>
        <w:jc w:val="left"/>
        <w:tblInd w:w="0" w:type="dxa"/>
        <w:tblLayout w:type="fixed"/>
        <w:tblCellMar>
          <w:top w:w="28" w:type="dxa"/>
          <w:left w:w="28" w:type="dxa"/>
          <w:bottom w:w="28" w:type="dxa"/>
          <w:right w:w="28" w:type="dxa"/>
        </w:tblCellMar>
      </w:tblPr>
      <w:tblGrid>
        <w:gridCol w:w="1128"/>
        <w:gridCol w:w="9077"/>
      </w:tblGrid>
      <w:tr>
        <w:trPr/>
        <w:tc>
          <w:tcPr>
            <w:tcW w:w="1128" w:type="dxa"/>
            <w:tcBorders/>
            <w:vAlign w:val="center"/>
          </w:tcPr>
          <w:p>
            <w:pPr>
              <w:pStyle w:val="TableContents"/>
              <w:bidi w:val="0"/>
              <w:spacing w:before="0" w:after="283"/>
              <w:jc w:val="left"/>
              <w:rPr/>
            </w:pPr>
            <w:r>
              <w:rPr/>
              <w:t>Item 1.</w:t>
            </w:r>
          </w:p>
        </w:tc>
        <w:tc>
          <w:tcPr>
            <w:tcW w:w="9077" w:type="dxa"/>
            <w:tcBorders/>
            <w:vAlign w:val="center"/>
          </w:tcPr>
          <w:p>
            <w:pPr>
              <w:pStyle w:val="TableContents"/>
              <w:bidi w:val="0"/>
              <w:spacing w:before="0" w:after="283"/>
              <w:jc w:val="left"/>
              <w:rPr/>
            </w:pPr>
            <w:r>
              <w:rPr/>
              <w:t>Security and Issuer</w:t>
            </w:r>
          </w:p>
        </w:tc>
      </w:tr>
      <w:tr>
        <w:trPr/>
        <w:tc>
          <w:tcPr>
            <w:tcW w:w="1128"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r>
      <w:tr>
        <w:trPr/>
        <w:tc>
          <w:tcPr>
            <w:tcW w:w="1128"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jc w:val="left"/>
              <w:rPr/>
            </w:pPr>
            <w:r>
              <w:rPr/>
              <w:t xml:space="preserve">Name of Issuer: </w:t>
            </w:r>
          </w:p>
          <w:p>
            <w:pPr>
              <w:pStyle w:val="TableContents"/>
              <w:bidi w:val="0"/>
              <w:spacing w:before="0" w:after="0"/>
              <w:jc w:val="left"/>
              <w:rPr/>
            </w:pPr>
            <w:r>
              <w:rPr/>
              <w:t>Repare Therapeutics Inc.</w:t>
            </w:r>
          </w:p>
        </w:tc>
      </w:tr>
      <w:tr>
        <w:trPr/>
        <w:tc>
          <w:tcPr>
            <w:tcW w:w="1128" w:type="dxa"/>
            <w:tcBorders/>
            <w:vAlign w:val="center"/>
          </w:tcPr>
          <w:p>
            <w:pPr>
              <w:pStyle w:val="TableContents"/>
              <w:bidi w:val="0"/>
              <w:spacing w:before="0" w:after="283"/>
              <w:jc w:val="left"/>
              <w:rPr/>
            </w:pPr>
            <w:r>
              <w:rPr/>
              <w:t>(c)</w:t>
            </w:r>
          </w:p>
        </w:tc>
        <w:tc>
          <w:tcPr>
            <w:tcW w:w="907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7171 FREDERICK BANTING, SUITE 270, BUILDING 2, SAINT-LAURENT, QUEBEC, CANADA , H4S 1Z9.</w:t>
            </w:r>
          </w:p>
        </w:tc>
      </w:tr>
      <w:tr>
        <w:trPr/>
        <w:tc>
          <w:tcPr>
            <w:tcW w:w="1128" w:type="dxa"/>
            <w:tcBorders/>
            <w:vAlign w:val="center"/>
          </w:tcPr>
          <w:p>
            <w:pPr>
              <w:pStyle w:val="TableContents"/>
              <w:bidi w:val="0"/>
              <w:spacing w:before="0" w:after="283"/>
              <w:jc w:val="left"/>
              <w:rPr/>
            </w:pPr>
            <w:r>
              <w:rPr/>
              <w:t>Item 3.</w:t>
            </w:r>
          </w:p>
        </w:tc>
        <w:tc>
          <w:tcPr>
            <w:tcW w:w="9077" w:type="dxa"/>
            <w:tcBorders/>
            <w:vAlign w:val="center"/>
          </w:tcPr>
          <w:p>
            <w:pPr>
              <w:pStyle w:val="TableContents"/>
              <w:bidi w:val="0"/>
              <w:spacing w:before="0" w:after="283"/>
              <w:jc w:val="left"/>
              <w:rPr/>
            </w:pPr>
            <w:r>
              <w:rPr/>
              <w:t>Source and Amount of Funds or Other Consideration</w:t>
            </w:r>
          </w:p>
        </w:tc>
      </w:tr>
      <w:tr>
        <w:trPr/>
        <w:tc>
          <w:tcPr>
            <w:tcW w:w="1128"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Item 3 is hereby amended and restated to read as follows: As described in Items 4 and 5 below, the Reporting Persons no longer beneficially own any Shares.</w:t>
            </w:r>
          </w:p>
        </w:tc>
      </w:tr>
      <w:tr>
        <w:trPr/>
        <w:tc>
          <w:tcPr>
            <w:tcW w:w="1128" w:type="dxa"/>
            <w:tcBorders/>
            <w:vAlign w:val="center"/>
          </w:tcPr>
          <w:p>
            <w:pPr>
              <w:pStyle w:val="TableContents"/>
              <w:bidi w:val="0"/>
              <w:spacing w:before="0" w:after="283"/>
              <w:jc w:val="left"/>
              <w:rPr/>
            </w:pPr>
            <w:r>
              <w:rPr/>
              <w:t>Item 4.</w:t>
            </w:r>
          </w:p>
        </w:tc>
        <w:tc>
          <w:tcPr>
            <w:tcW w:w="9077" w:type="dxa"/>
            <w:tcBorders/>
            <w:vAlign w:val="center"/>
          </w:tcPr>
          <w:p>
            <w:pPr>
              <w:pStyle w:val="TableContents"/>
              <w:bidi w:val="0"/>
              <w:spacing w:before="0" w:after="283"/>
              <w:jc w:val="left"/>
              <w:rPr/>
            </w:pPr>
            <w:r>
              <w:rPr/>
              <w:t>Purpose of Transaction</w:t>
            </w:r>
          </w:p>
        </w:tc>
      </w:tr>
      <w:tr>
        <w:trPr/>
        <w:tc>
          <w:tcPr>
            <w:tcW w:w="1128"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Item 4 is hereby amended to add the following: Effective January 28, 2026, the Issuer was acquired by Xeno Acquisition Corp. ("Purchaser"), a wholly-owned subsidiary of XenoTherapeutics, Inc. ("Xeno"), pursuant to an Arrangement Agreement, dated as of November 14, 2025 (the "Agreement"), under the Business Corporations Act (Quebec), by and among the Issuer, Xeno, Purchaser, and solely for limited purposes, XOMA Royalty Corporation, pursuant to which Purchaser agreed to acquire all of the issued and outstanding Shares of the Issuer. Pursuant to the Agreement, among other things, the Purchaser acquired all of the issued and outstanding Shares of the Issuer in exchange for: (i) $2.20 in cash per Share and (ii) one contingent value right per Share for potential cash payments. Accordingly, the Reporting Persons ceased to beneficially own any securities of the Issuer.</w:t>
            </w:r>
          </w:p>
        </w:tc>
      </w:tr>
      <w:tr>
        <w:trPr/>
        <w:tc>
          <w:tcPr>
            <w:tcW w:w="1128" w:type="dxa"/>
            <w:tcBorders/>
            <w:vAlign w:val="center"/>
          </w:tcPr>
          <w:p>
            <w:pPr>
              <w:pStyle w:val="TableContents"/>
              <w:bidi w:val="0"/>
              <w:spacing w:before="0" w:after="283"/>
              <w:jc w:val="left"/>
              <w:rPr/>
            </w:pPr>
            <w:r>
              <w:rPr/>
              <w:t>Item 5.</w:t>
            </w:r>
          </w:p>
        </w:tc>
        <w:tc>
          <w:tcPr>
            <w:tcW w:w="9077" w:type="dxa"/>
            <w:tcBorders/>
            <w:vAlign w:val="center"/>
          </w:tcPr>
          <w:p>
            <w:pPr>
              <w:pStyle w:val="TableContents"/>
              <w:bidi w:val="0"/>
              <w:spacing w:before="0" w:after="283"/>
              <w:jc w:val="left"/>
              <w:rPr/>
            </w:pPr>
            <w:r>
              <w:rPr/>
              <w:t>Interest in Securities of the Issuer</w:t>
            </w:r>
          </w:p>
        </w:tc>
      </w:tr>
      <w:tr>
        <w:trPr/>
        <w:tc>
          <w:tcPr>
            <w:tcW w:w="1128"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spacing w:before="0" w:after="0"/>
              <w:jc w:val="left"/>
              <w:rPr/>
            </w:pPr>
            <w:r>
              <w:rPr/>
              <w:t>Item 5(a) is hereby amended and restated to read as follows: As described in Item 4 above, the Reporting Persons no longer beneficially own any Shares.</w:t>
            </w:r>
          </w:p>
        </w:tc>
      </w:tr>
      <w:tr>
        <w:trPr/>
        <w:tc>
          <w:tcPr>
            <w:tcW w:w="1128" w:type="dxa"/>
            <w:tcBorders/>
            <w:vAlign w:val="center"/>
          </w:tcPr>
          <w:p>
            <w:pPr>
              <w:pStyle w:val="TableContents"/>
              <w:bidi w:val="0"/>
              <w:spacing w:before="0" w:after="283"/>
              <w:jc w:val="left"/>
              <w:rPr/>
            </w:pPr>
            <w:r>
              <w:rPr/>
              <w:t>(c)</w:t>
            </w:r>
          </w:p>
        </w:tc>
        <w:tc>
          <w:tcPr>
            <w:tcW w:w="9077" w:type="dxa"/>
            <w:tcBorders/>
            <w:vAlign w:val="center"/>
          </w:tcPr>
          <w:p>
            <w:pPr>
              <w:pStyle w:val="TableContents"/>
              <w:bidi w:val="0"/>
              <w:spacing w:before="0" w:after="0"/>
              <w:jc w:val="left"/>
              <w:rPr/>
            </w:pPr>
            <w:r>
              <w:rPr/>
              <w:t>Item 5(c) is hereby amended and restated to read as follows: Except as set forth in Item 4 above, the Reporting Persons have not entered into any transactions in the securities of the Issuer during the past 60 days.</w:t>
            </w:r>
          </w:p>
        </w:tc>
      </w:tr>
      <w:tr>
        <w:trPr/>
        <w:tc>
          <w:tcPr>
            <w:tcW w:w="1128" w:type="dxa"/>
            <w:tcBorders/>
            <w:vAlign w:val="center"/>
          </w:tcPr>
          <w:p>
            <w:pPr>
              <w:pStyle w:val="TableContents"/>
              <w:bidi w:val="0"/>
              <w:spacing w:before="0" w:after="283"/>
              <w:jc w:val="left"/>
              <w:rPr/>
            </w:pPr>
            <w:r>
              <w:rPr/>
              <w:t>(e)</w:t>
            </w:r>
          </w:p>
        </w:tc>
        <w:tc>
          <w:tcPr>
            <w:tcW w:w="9077" w:type="dxa"/>
            <w:tcBorders/>
            <w:vAlign w:val="center"/>
          </w:tcPr>
          <w:p>
            <w:pPr>
              <w:pStyle w:val="TableContents"/>
              <w:bidi w:val="0"/>
              <w:spacing w:before="0" w:after="0"/>
              <w:jc w:val="left"/>
              <w:rPr/>
            </w:pPr>
            <w:r>
              <w:rPr/>
              <w:t>Item 5(e) is hereby amended and restated to read as follows: As of January 28, 2026, the Reporting Persons ceased to be the beneficial owners of more than 5% of the outstanding Shares.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signatureInfo"/>
      <w:bookmarkStart w:id="49" w:name="signatureInfo"/>
      <w:bookmarkEnd w:id="4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01/30/2026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01/30/2026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01/30/2026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01/30/2026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01/30/2026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01/30/2026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01/30/2026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01/30/2026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01/30/2026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01/30/2026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2057</Words>
  <Characters>10337</Characters>
  <CharactersWithSpaces>12160</CharactersWithSpaces>
  <Paragraphs>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